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Writing a provenance report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this research aid you find information on how to draft a report of your findings.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The provenance report</w:t>
      </w:r>
    </w:p>
    <w:p>
      <w:pPr>
        <w:autoSpaceDN w:val="0"/>
        <w:autoSpaceDE w:val="0"/>
        <w:widowControl/>
        <w:spacing w:line="288" w:lineRule="exact" w:before="29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purpose of a provenance report is to record both the research itself and the key data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produced. It is important that the report provides the most comprehensive overview possible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sources consulted, including those that did not yield anything or contained conflicting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information. Future provenance researchers can build on this.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provenance report can take different forms. There are no official guidelines for reporting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from organisations such as the Dutch Museum Association or ICOM.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Collection-managing institutions may combine different forms of reporting or use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alongside each other. For some examples, take a look at the provenance reports attached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published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advisory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reports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Committee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Textual report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textual report provides a comprehensive overview of the research. The structure depends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purpose of the study. Various considerations regarding reporting content are discussed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Clues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publication looks at various reporting options, including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reporting based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fined research question or chronological order, and the extent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contextualisation. Examples of textual reports can be found on the website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Schematic representation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schematic representation of the object's provenance is useful to show the most important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 at a glance. This can be in the form of a timeline showing key moments when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transferred or in the form of a provenance sentence: a standardised notation of known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years, possessors and their places of residence, separated by punctuation marks. Any gaps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knowledge are also included in the schematic representation.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example of a provenance sentence based on the model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Akinsha,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Gravestone (Aceh, 16th-18th century), unknown burial site in Lh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oknga,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t xml:space="preserve"> 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until 190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1; (rem</w:t>
          </w:r>
        </w:hyperlink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 xml:space="preserve">oved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Lhoknga by George Nijpels, 1901); donated to Hoofdcursus [officer training school], Kampen,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1902 to 1923; transfer to the Ethnographic Museum of the Royal Military Academy, Breda 1923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1956; transfer to Rijksmuseum voor Volkenkunde [National Museum of Ethnology]/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of a timeline:</w:t>
      </w:r>
    </w:p>
    <w:p>
      <w:pPr>
        <w:autoSpaceDN w:val="0"/>
        <w:autoSpaceDE w:val="0"/>
        <w:widowControl/>
        <w:spacing w:line="358" w:lineRule="exact" w:before="176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 century - 18th century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Manufacture of the gravestone.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16th/18th century - before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Cemetery in Lhoknga.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Removed from Lhoknga by George Nijpels.</w:t>
      </w:r>
    </w:p>
    <w:p>
      <w:pPr>
        <w:autoSpaceDN w:val="0"/>
        <w:autoSpaceDE w:val="0"/>
        <w:widowControl/>
        <w:spacing w:line="358" w:lineRule="exact" w:before="0" w:after="0"/>
        <w:ind w:left="40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Sent to the Netherlands by George Nijpels.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of the Royal Military Academy in Kampen, after donation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George Nijpels.</w:t>
      </w:r>
    </w:p>
    <w:p>
      <w:pPr>
        <w:sectPr>
          <w:pgSz w:w="11900" w:h="16840"/>
          <w:pgMar w:top="448" w:right="940" w:bottom="430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Ethnographic Museum of the Royal Military Academy in Breda, following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transfer from the Hoofdcursus in Kampen.</w:t>
      </w:r>
    </w:p>
    <w:p>
      <w:pPr>
        <w:autoSpaceDN w:val="0"/>
        <w:tabs>
          <w:tab w:pos="620" w:val="left"/>
        </w:tabs>
        <w:autoSpaceDE w:val="0"/>
        <w:widowControl/>
        <w:spacing w:line="282" w:lineRule="exact" w:before="76" w:after="0"/>
        <w:ind w:left="40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1956-present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after transfer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Royal Military Academy in Breda.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Linking data</w:t>
      </w:r>
    </w:p>
    <w:p>
      <w:pPr>
        <w:autoSpaceDN w:val="0"/>
        <w:autoSpaceDE w:val="0"/>
        <w:widowControl/>
        <w:spacing w:line="288" w:lineRule="exact" w:before="234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textual reporting it is advisable for museums to record the provenance data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collection management system by linking all individuals and institutions associated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provenance to the object. It is also useful to create links to specific events if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management system offers this option. This makes it easier to browse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data and link it to external sources.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Images</w:t>
      </w:r>
    </w:p>
    <w:p>
      <w:pPr>
        <w:autoSpaceDN w:val="0"/>
        <w:autoSpaceDE w:val="0"/>
        <w:widowControl/>
        <w:spacing w:line="288" w:lineRule="exact" w:before="23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Historical photographs, maps and other illustrations can be used to illustrate the report.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 applies to photographs of the object and its details; for example decorations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inscriptions may contain important information. However, it is good to keep in mind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depicting and/or examining certain objects may be considered undesirable by communities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origin. If it is suspected that any such restrictions exist, it is advisable to seek expert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advice. This applies in particular to the depiction of ancestral remains. In addition, if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report is made available to the public applicable copyright laws must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observed.</w:t>
      </w:r>
    </w:p>
    <w:p>
      <w:pPr>
        <w:autoSpaceDN w:val="0"/>
        <w:autoSpaceDE w:val="0"/>
        <w:widowControl/>
        <w:spacing w:line="358" w:lineRule="exact" w:before="17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Language</w:t>
      </w:r>
    </w:p>
    <w:p>
      <w:pPr>
        <w:autoSpaceDN w:val="0"/>
        <w:autoSpaceDE w:val="0"/>
        <w:widowControl/>
        <w:spacing w:line="288" w:lineRule="exact" w:before="23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sources are written from a perspective that justifies colonial rule and often use terms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 longer in use or are now considered inappropriate and offensive. The research aid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Sources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guidance on dealing with outdated language found in colonial sources.</w:t>
      </w: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When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riting a report it is important to cite historical words and terms – perhaps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quotation marks and accompanied by an explanatory note – if these are necessary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understand the object history and enable future research.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Wereldmuseum publication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Words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tips for dealing with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terminology.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72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Doing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 delineate</w:t>
      </w:r>
    </w:p>
    <w:p>
      <w:pPr>
        <w:autoSpaceDN w:val="0"/>
        <w:autoSpaceDE w:val="0"/>
        <w:widowControl/>
        <w:spacing w:line="288" w:lineRule="exact" w:before="240" w:after="0"/>
        <w:ind w:left="2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Main-text)</w:t>
      </w:r>
    </w:p>
    <w:sectPr w:rsidR="00FC693F" w:rsidRPr="0006063C" w:rsidSect="00034616">
      <w:pgSz w:w="11900" w:h="16840"/>
      <w:pgMar w:top="324" w:right="958" w:bottom="1440" w:left="94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ttee.kolonialecollecties.nl/publications?size=n_10_n&amp;filters%5B0%5D%5Bfield%5D=information_type&amp;filters%5B0%5D%5Bvalues%5D%5B0%5D=Advice&amp;filters%5B0%5D%5Btype%5D=all" TargetMode="External"/><Relationship Id="rId10" Type="http://schemas.openxmlformats.org/officeDocument/2006/relationships/hyperlink" Target="https://www.niod.nl/en/projects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en/research-aids/https%3A%2F%2Fn2t%252Enet%2Fark%3A%2F27023%2F5f0031f66044adefab19b67b1344b31d" TargetMode="External"/><Relationship Id="rId14" Type="http://schemas.openxmlformats.org/officeDocument/2006/relationships/hyperlink" Target="https://amsterdam.wereldmuseum.nl/sites/default/files/2021-04/words_matter.pdf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