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Verslagleggen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deze zoekhulp vind je informatie over hoe je een verslag opstelt naar aanleiding van 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(herkomst)onderzoek.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Herkomstverslag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doel van het herkomstverslag is om zowel het onderzoek zelf als de belangrijkste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gegevens die het heeft opgeleverd vast te leggen. Het is daarbij belangrijk om een zo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compleet mogelijk overzicht van de geraadpleegde bronnen te geven, ook als die niets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opleverden of tegenstrijdige informatie bevatten. Toekomstige herkomstonderzoekers kunnen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hierop voortbouwen.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herkomstverslag kan verschillende vormen krijgen. Er zijn geen officiële richtlijnen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verslaglegging van herkomstonderzoek van bijvoorbeeld de Nederlandse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Museumvereniging of de ICOM. In collectiebeherende instellingen worden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vormen soms gecombineerd of naast elkaar gebruikt. Voor enkele voorbeelden kan je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herkomstverslagen die zijn toegevoegd aan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gepubliceerde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adviezen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Commissie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bekijken.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Tekstueel verslag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tekstueel verslag geeft een uitgebreid overzicht van het onderzoek. De opbouw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afhankelijk van het doel van het onderzoek. Verschillende inhoudelijke overwegingen bij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verslaglegging komen aan bod in de publicatie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Sporen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Hierin worden diverse opties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besproken, zoals verslaglegging aan de hand va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 een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fgebakende onderzoeksvraag of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chronologische volgorde en de mate van historische contextualisering. Voorbeelden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tekstuele verslagen zijn via de website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NIOD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raadpleegbaar.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Schematische weergave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schematische weergave van de herkomst is nuttig om de belangrijkste gegevens in één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oogopslag weer te geven. Dat kan in de vorm van een tijdlijn met de belangrijkste momenten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bezitsovergang of in de vorm van een herkomstzin: een gestandaardiseerde notatiewijze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bekende jaartallen, bezitters en hun woonplaatsen, gescheiden door leestekens.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schematische weergave worden ook eventuele lacunes in kennis opgenomen.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voorbeeld van een herkomstzin volgens het model uit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Yeide,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Konstantin,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Walsh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(2001)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Grafsteen (Aceh, 16de-18de eeuw), onbekende begraafplaa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2" w:history="1">
          <w:r>
            <w:rPr>
              <w:rStyle w:val="Hyperlink"/>
            </w:rPr>
            <w:t>ts in 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2" w:history="1">
          <w:r>
            <w:rPr>
              <w:rStyle w:val="Hyperlink"/>
            </w:rPr>
            <w:t>oknga, tot 1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2" w:history="1">
          <w:r>
            <w:rPr>
              <w:rStyle w:val="Hyperlink"/>
            </w:rPr>
            <w:t>901; (v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2" w:history="1">
          <w:r>
            <w:rPr>
              <w:rStyle w:val="Hyperlink"/>
            </w:rPr>
            <w:t>erwijde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t>r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 Lhoknga door George Nijpels, 1901); geschonken aan Hoofdcursus, Kampen, 1902 tot 1923;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overdracht aan Etnografisch Museum Koninklijke Militaire Academie, Breda 1923 tot 1956;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overdracht aan Rijksmuseum voor Volkenkunde / Wereldmuseum Leiden, 1956.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voorbeeld van een tijdlijn is:</w:t>
      </w:r>
    </w:p>
    <w:p>
      <w:pPr>
        <w:autoSpaceDN w:val="0"/>
        <w:autoSpaceDE w:val="0"/>
        <w:widowControl/>
        <w:spacing w:line="288" w:lineRule="exact" w:before="246" w:after="0"/>
        <w:ind w:left="39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16de eeuw - 18de eeuw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Vervaardiging van de grafsteen.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16de/18de eeuw - voor 1901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Begraafplaats in Lhoknga.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1901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Verwijderd uit Lhoknga door George Nijpels.</w:t>
      </w:r>
    </w:p>
    <w:p>
      <w:pPr>
        <w:autoSpaceDN w:val="0"/>
        <w:autoSpaceDE w:val="0"/>
        <w:widowControl/>
        <w:spacing w:line="358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1902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Naar Nederland verzonden door George Nijpels.</w:t>
      </w:r>
    </w:p>
    <w:p>
      <w:pPr>
        <w:sectPr>
          <w:pgSz w:w="11900" w:h="16840"/>
          <w:pgMar w:top="448" w:right="976" w:bottom="42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tabs>
          <w:tab w:pos="600" w:val="left"/>
        </w:tabs>
        <w:autoSpaceDE w:val="0"/>
        <w:widowControl/>
        <w:spacing w:line="282" w:lineRule="exact" w:before="76" w:after="0"/>
        <w:ind w:left="388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1902-1923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Hoofdcursus van de Koninklijke Militaire Academie te Kampen, na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schenking George Nijpels.</w:t>
      </w:r>
    </w:p>
    <w:p>
      <w:pPr>
        <w:autoSpaceDN w:val="0"/>
        <w:tabs>
          <w:tab w:pos="600" w:val="left"/>
        </w:tabs>
        <w:autoSpaceDE w:val="0"/>
        <w:widowControl/>
        <w:spacing w:line="282" w:lineRule="exact" w:before="76" w:after="0"/>
        <w:ind w:left="38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1923-1956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Etnografisch Museum van de Koninklijke Militaire Academie te Breda, na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overdracht van de Hoofdcursus te Kampen.</w:t>
      </w:r>
    </w:p>
    <w:p>
      <w:pPr>
        <w:autoSpaceDN w:val="0"/>
        <w:tabs>
          <w:tab w:pos="600" w:val="left"/>
        </w:tabs>
        <w:autoSpaceDE w:val="0"/>
        <w:widowControl/>
        <w:spacing w:line="282" w:lineRule="exact" w:before="76" w:after="0"/>
        <w:ind w:left="38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1956-heden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Rijksmuseum voor Volkenkunde / Wereldmuseum Leiden, na overdracht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de Koninklijke Militaire Academie te Breda.</w:t>
      </w:r>
    </w:p>
    <w:p>
      <w:pPr>
        <w:autoSpaceDN w:val="0"/>
        <w:autoSpaceDE w:val="0"/>
        <w:widowControl/>
        <w:spacing w:line="358" w:lineRule="exact" w:before="1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Gegevens koppelen</w:t>
      </w:r>
    </w:p>
    <w:p>
      <w:pPr>
        <w:autoSpaceDN w:val="0"/>
        <w:autoSpaceDE w:val="0"/>
        <w:widowControl/>
        <w:spacing w:line="288" w:lineRule="exact" w:before="23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musea is het naast tekstuele verslaglegging aan te raden om de herkomst ook vast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leggen in het collectiemanagementsysteem via een koppeling van alle met de herkomst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verbonden personen en instellingen aan het object. Het is ook nuttig om koppelingen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maken naar herkomstgebeurtenissen indien het collectiemanagementsysteem deze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mogelijkheid biedt. Op die manier zijn de herkomstgegevens gemakkelijker doorzoekbaar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koppelbaar aan externe bronnen.</w:t>
      </w:r>
    </w:p>
    <w:p>
      <w:pPr>
        <w:autoSpaceDN w:val="0"/>
        <w:autoSpaceDE w:val="0"/>
        <w:widowControl/>
        <w:spacing w:line="358" w:lineRule="exact" w:before="1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Afbeeldingen</w:t>
      </w:r>
    </w:p>
    <w:p>
      <w:pPr>
        <w:autoSpaceDN w:val="0"/>
        <w:autoSpaceDE w:val="0"/>
        <w:widowControl/>
        <w:spacing w:line="288" w:lineRule="exact" w:before="23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Historische foto's, plattegronden en andere illustraties kunnen het verslag verduidelijken. Dit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geldt eveneens voor foto's van het object en details daarvan. Versieringen en inscripties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kunnen bijvoorbeeld belangrijke informatie bevatten. Het is evenwel goed om er rekening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 te houden dat het afbeelden en/of bekijken van bepaalde objecten door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gemeenschappen van herkomst soms als ongewenst wordt beschouwd. Als er een vermoeden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bestaat dat dergelijke restricties van toepassing zijn, dan is het raadzaam advies te zoeken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deskundigen. Dit geldt in het bijzonder voor het afbeelden van voorouderlijke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(menselijke) resten. Daarnaast moet er rekening worden gehouden met de geldende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auteursrechten, indien het verslag openbaar wordt gemaakt.</w:t>
      </w:r>
    </w:p>
    <w:p>
      <w:pPr>
        <w:autoSpaceDN w:val="0"/>
        <w:autoSpaceDE w:val="0"/>
        <w:widowControl/>
        <w:spacing w:line="358" w:lineRule="exact" w:before="1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Taalgebruik</w:t>
      </w:r>
    </w:p>
    <w:p>
      <w:pPr>
        <w:autoSpaceDN w:val="0"/>
        <w:autoSpaceDE w:val="0"/>
        <w:widowControl/>
        <w:spacing w:line="288" w:lineRule="exact" w:before="23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bronnen zijn geschreven vanuit een perspectief dat koloniale overheersing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rechtvaardigt. Vaak worden er termen gebruikt die niet meer gebruikelijk zijn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tegenwoordig als ongepast en kwetsend worden beschouwd.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Bronnen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geeft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aanwijzingen over de omgang met verouderd taalgebruik in koloniale bro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nnen.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verslaglegging is het van belang om de historische woorden en begrippen – eventueel tussen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aanhalingstekens en voorzien van toelichting – te noemen indien ze noodzakelijk zijn om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objectgeschiedenis te begrijpen en verder onderzoek mogelijk te maken.</w:t>
      </w:r>
    </w:p>
    <w:p>
      <w:pPr>
        <w:autoSpaceDN w:val="0"/>
        <w:autoSpaceDE w:val="0"/>
        <w:widowControl/>
        <w:spacing w:line="288" w:lineRule="exact" w:before="24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publicatie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Woorden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doen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ertoe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Wereldmuseum geeft tips voor de omgang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koloniale term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inologie.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66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Onderzo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eken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afbakenen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2025-12-12</w:t>
      </w:r>
    </w:p>
    <w:sectPr w:rsidR="00FC693F" w:rsidRPr="0006063C" w:rsidSect="00034616">
      <w:pgSz w:w="11900" w:h="16840"/>
      <w:pgMar w:top="324" w:right="1044" w:bottom="1118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mmissie.kolonialecollecties.nl/documenten?size=n_20_n&amp;filters%5B0%5D%5Bfield%5D=information_type&amp;filters%5B0%5D%5Bvalues%5D%5B0%5D=Advies&amp;filters%5B0%5D%5Btype%5D=all" TargetMode="External"/><Relationship Id="rId10" Type="http://schemas.openxmlformats.org/officeDocument/2006/relationships/hyperlink" Target="https://www.niod.nl/nl/projecten/pilotproject-provenance-research-objects-colonial-era-pproce" TargetMode="External"/><Relationship Id="rId11" Type="http://schemas.openxmlformats.org/officeDocument/2006/relationships/hyperlink" Target="https://niod.on.worldcat.org/search?queryString=se%3A%20PPROCE%20provenance%20reports%20%3B&amp;clusterResults=true&amp;groupVariantRecords=false&amp;page=1" TargetMode="External"/><Relationship Id="rId12" Type="http://schemas.openxmlformats.org/officeDocument/2006/relationships/hyperlink" Target="https://search.worldcat.org/title/The-AAM-guide-to-provenance-research/oclc/46671065" TargetMode="External"/><Relationship Id="rId13" Type="http://schemas.openxmlformats.org/officeDocument/2006/relationships/hyperlink" Target="https://app.colonialcollections.nl/nl/research-aids/https%3A%2F%2Fn2t%252Enet%2Fark%3A%2F27023%2F5f0031f66044adefab19b67b1344b31d" TargetMode="External"/><Relationship Id="rId14" Type="http://schemas.openxmlformats.org/officeDocument/2006/relationships/hyperlink" Target="https://www.tropenmuseum.nl/sites/default/files/2018-09/WordsMatter_DEF_Totale_PDF_NL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