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naar de Nederlandse koloniale gebieden. Tegenwoordig ligt de focus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volledige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(waaronder bijvoorbeeld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grote fotoverzameling), het doen van onderzoek naar 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en het publiceren van de onderzoeksresultaten in de 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de laatste zich uitsluitend 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onderzoek in en naar het (Nederlandse) Caraïbische gebied. Hoewel het KITLV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 op zowel de Nederlandse koloniën in Zuidoost-Azië en het Caraïbische gebied, lag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focus meer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Suriname en het Caraïbische gebied. In 1966 verhuisde het KITLV van Den Haag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waar het een onderdeel van de universiteit ging uitmaken. Ondanks de dekolonisatie,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wellicht dankzij de verbeterde betrekkingen tussen Nederland en Indonesië in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'60, 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voor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fotocollectie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delinge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Zuidoost-Aziatische po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pmuziek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ebben 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igen website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Collecties;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digitalcollections.universiteitleiden.nl/southeastasianpopmusic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