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the Netherlands undertook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missionary work.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Both Christian groups focused on the Dutch colonie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s, particul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arly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Indies, but missionaries were also active in places such as China, the United States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Congo. Missionary organisations, both Catholic and Protestant, had mutually defined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they were active although there were no official agreements.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mission ended up in trade and private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collecting practices of missionary organisations were long known as having been focused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erasing what were – in their eyes – pagan practices. Cultural heritage was destroyed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taken to Europe to prevent their continued use in non-Christian religious rituals.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Recent research, however, has nuanced this picture.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society that operated in Java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Sulaw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esi, was also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ery active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collecting.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objects it collected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although some are held in other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from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organisations had widespread international networks, in which case relevant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th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Vrije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984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en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/index_html_en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