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Geschiedenis en Kunst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 the context of research into colle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2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