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Surinamerivier werd in 1651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een plantagekolonie gesticht. Aanleiding hiervoor was het Deze kolonie diende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uitbreiding van de suikerplantages op 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suikerplantages op het kleine eiland Barbados AANPASSEN. In 1667 werd deze 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Engels-Nederlandse Oorlog door een Zeeuwse vloot veroverd. In 1683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verkochten de Zeeuwen de kolonie aan de West-Indische Compagnie (WIC), waarna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Sociëteit van Suriname werd opgericht om de kolonie te besturen. Deze sociëteit had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gelijke verhoudingen de WIC, de familie Van Aerssen van Sommelsdijck en de stad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als aandeelhouders. Na. In 1954 aanvaardde Suriname samen met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het Statuut voor het Koninkrijk der Nederlanden.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 of wijzigingen doorkomen.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in buitenland. Jaren 30 Leon-Gontran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448" w:right="9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