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Writing a provenance report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this research aid you find information on how to draft a report of your findings.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The provenance report</w:t>
      </w:r>
    </w:p>
    <w:p>
      <w:pPr>
        <w:autoSpaceDN w:val="0"/>
        <w:autoSpaceDE w:val="0"/>
        <w:widowControl/>
        <w:spacing w:line="288" w:lineRule="exact" w:before="29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purpose of a provenance report is to record both the research itself and the key data 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produced. It is important that the report provides the most comprehensive overview 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the sources consulted, including those that did not yield anything or contained conflicting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information. Future provenance researchers can build on this.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provenance report can take different forms. There are no official guidelines for reporting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provenance research from organisations such as the Dutch Museum Association or ICOM.</w:t>
      </w: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Collection-managing institutions may combine different forms of reporting or use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alongside each other. For some examples, take a look at the provenance reports attached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published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advisory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reports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Dutch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Colonial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Collections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Committee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Textual report</w:t>
      </w:r>
    </w:p>
    <w:p>
      <w:pPr>
        <w:autoSpaceDN w:val="0"/>
        <w:autoSpaceDE w:val="0"/>
        <w:widowControl/>
        <w:spacing w:line="288" w:lineRule="exact" w:before="23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textual report provides a comprehensive overview of the research. The structure depends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 the purpose of the study. Various considerations regarding reporting content are discussed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the publication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Clues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publication looks at various reporting options,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reporting based on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a 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fined research question or chronological order, and the extent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historical contextualisation. Examples of textual reports can be found on the website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NIOD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Schematic representation</w:t>
      </w:r>
    </w:p>
    <w:p>
      <w:pPr>
        <w:autoSpaceDN w:val="0"/>
        <w:autoSpaceDE w:val="0"/>
        <w:widowControl/>
        <w:spacing w:line="288" w:lineRule="exact" w:before="23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schematic representation of the object's provenance is useful to show the most important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data at a glance. This can be in the form of a timeline showing key moments when possession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transferred or in the form of a provenance sentence: a standardised notation of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years, possessors and their places of residence, separated by punctuation marks. Any gaps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knowledge are also included in the schematic representation.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 example of a provenance sentence based on the model from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Yeide,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Akinsha,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Walsh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 xml:space="preserve">(2001)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Gravestone (Aceh, 16th-18th century), unknown burial site in Lhoknga, until 1901; (rem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12" w:history="1">
          <w:r>
            <w:rPr>
              <w:rStyle w:val="Hyperlink"/>
            </w:rPr>
            <w:t xml:space="preserve">oved 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from Lhoknga by George Nijpels, 1901); donated to Hoofdcursus [officer training school], Kampen,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1902 to 1923; transfer to the Ethnographic Museum of the Royal Military Academy, Breda 1923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to 1956; transfer to Rijksmuseum voor Volkenkunde [National Museum of Ethnology]/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Wereldmuseum Leiden, 1956.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Example of a timeline:</w:t>
      </w:r>
    </w:p>
    <w:p>
      <w:pPr>
        <w:autoSpaceDN w:val="0"/>
        <w:autoSpaceDE w:val="0"/>
        <w:widowControl/>
        <w:spacing w:line="358" w:lineRule="exact" w:before="176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Bold" w:hAnsi="Charis SIL Bold" w:eastAsia="Charis SIL Bold"/>
          <w:b/>
          <w:i w:val="0"/>
          <w:color w:val="000000"/>
          <w:sz w:val="24"/>
        </w:rPr>
        <w:t>16th century - 18th century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Manufacture of the gravestone.</w:t>
      </w:r>
    </w:p>
    <w:p>
      <w:pPr>
        <w:autoSpaceDN w:val="0"/>
        <w:autoSpaceDE w:val="0"/>
        <w:widowControl/>
        <w:spacing w:line="358" w:lineRule="exact" w:before="0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Bold" w:hAnsi="Charis SIL Bold" w:eastAsia="Charis SIL Bold"/>
          <w:b/>
          <w:i w:val="0"/>
          <w:color w:val="000000"/>
          <w:sz w:val="24"/>
        </w:rPr>
        <w:t>16th/18th century - before 1901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Cemetery in Lhoknga.</w:t>
      </w:r>
    </w:p>
    <w:p>
      <w:pPr>
        <w:autoSpaceDN w:val="0"/>
        <w:autoSpaceDE w:val="0"/>
        <w:widowControl/>
        <w:spacing w:line="358" w:lineRule="exact" w:before="0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Bold" w:hAnsi="Charis SIL Bold" w:eastAsia="Charis SIL Bold"/>
          <w:b/>
          <w:i w:val="0"/>
          <w:color w:val="000000"/>
          <w:sz w:val="24"/>
        </w:rPr>
        <w:t>1901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Removed from Lhoknga by George Nijpels.</w:t>
      </w:r>
    </w:p>
    <w:p>
      <w:pPr>
        <w:autoSpaceDN w:val="0"/>
        <w:autoSpaceDE w:val="0"/>
        <w:widowControl/>
        <w:spacing w:line="358" w:lineRule="exact" w:before="0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Bold" w:hAnsi="Charis SIL Bold" w:eastAsia="Charis SIL Bold"/>
          <w:b/>
          <w:i w:val="0"/>
          <w:color w:val="000000"/>
          <w:sz w:val="24"/>
        </w:rPr>
        <w:t>1902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Sent to the Netherlands by George Nijpels.</w:t>
      </w:r>
    </w:p>
    <w:p>
      <w:pPr>
        <w:autoSpaceDN w:val="0"/>
        <w:tabs>
          <w:tab w:pos="610" w:val="left"/>
        </w:tabs>
        <w:autoSpaceDE w:val="0"/>
        <w:widowControl/>
        <w:spacing w:line="282" w:lineRule="exact" w:before="76" w:after="0"/>
        <w:ind w:left="398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Bold" w:hAnsi="Charis SIL Bold" w:eastAsia="Charis SIL Bold"/>
          <w:b/>
          <w:i w:val="0"/>
          <w:color w:val="000000"/>
          <w:sz w:val="24"/>
        </w:rPr>
        <w:t>1902-1923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Hoofdcursus of the Royal Military Academy in Kampen, after donation by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George Nijpels.</w:t>
      </w:r>
    </w:p>
    <w:p>
      <w:pPr>
        <w:sectPr>
          <w:pgSz w:w="11900" w:h="16840"/>
          <w:pgMar w:top="448" w:right="940" w:bottom="43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tabs>
          <w:tab w:pos="610" w:val="left"/>
        </w:tabs>
        <w:autoSpaceDE w:val="0"/>
        <w:widowControl/>
        <w:spacing w:line="282" w:lineRule="exact" w:before="76" w:after="0"/>
        <w:ind w:left="398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Bold" w:hAnsi="Charis SIL Bold" w:eastAsia="Charis SIL Bold"/>
          <w:b/>
          <w:i w:val="0"/>
          <w:color w:val="000000"/>
          <w:sz w:val="24"/>
        </w:rPr>
        <w:t>1923-1956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Ethnographic Museum of the Royal Military Academy in Breda, following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transfer from the Hoofdcursus in Kampen.</w:t>
      </w:r>
    </w:p>
    <w:p>
      <w:pPr>
        <w:autoSpaceDN w:val="0"/>
        <w:tabs>
          <w:tab w:pos="610" w:val="left"/>
        </w:tabs>
        <w:autoSpaceDE w:val="0"/>
        <w:widowControl/>
        <w:spacing w:line="282" w:lineRule="exact" w:before="76" w:after="0"/>
        <w:ind w:left="398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Bold" w:hAnsi="Charis SIL Bold" w:eastAsia="Charis SIL Bold"/>
          <w:b/>
          <w:i w:val="0"/>
          <w:color w:val="000000"/>
          <w:sz w:val="24"/>
        </w:rPr>
        <w:t>1956-present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Rijksmuseum voor Volkenkunde / Wereldmuseum Leiden, after transfer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from the Royal Military Academy in Breda.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Linking data</w:t>
      </w:r>
    </w:p>
    <w:p>
      <w:pPr>
        <w:autoSpaceDN w:val="0"/>
        <w:autoSpaceDE w:val="0"/>
        <w:widowControl/>
        <w:spacing w:line="288" w:lineRule="exact" w:before="234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As well as textual reporting it is advisable for museums to record the provenance data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their collection management system by linking all individuals and institutions associated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with the provenance to the object. It is also useful to create links to specific events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management system offers this option. This makes it easier to browse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provenance data and link it to external sources.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Images</w:t>
      </w:r>
    </w:p>
    <w:p>
      <w:pPr>
        <w:autoSpaceDN w:val="0"/>
        <w:autoSpaceDE w:val="0"/>
        <w:widowControl/>
        <w:spacing w:line="288" w:lineRule="exact" w:before="23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Historical photographs, maps and other illustrations can be used to illustrate the report.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same applies to photographs of the object and its details; for example decorations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inscriptions may contain important information. However, it is good to keep in mind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depicting and/or examining certain objects may be considered undesirable by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origin. If it is suspected that any such restrictions exist, it is advisable to seek expert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advice. This applies in particular to the depiction of ancestral remains. In addition, if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provenance report is made available to the public applicable copyright laws must be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observed.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Language</w:t>
      </w:r>
    </w:p>
    <w:p>
      <w:pPr>
        <w:autoSpaceDN w:val="0"/>
        <w:autoSpaceDE w:val="0"/>
        <w:widowControl/>
        <w:spacing w:line="288" w:lineRule="exact" w:before="23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Colonial sources are written from a perspective that justifies colonial rule and often use terms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that are no longer in use or are now considered inappropriate and offensive. The research aid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Sources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provides guidance on dealing with outdated language found in colonial sources.</w:t>
      </w:r>
    </w:p>
    <w:p>
      <w:pPr>
        <w:autoSpaceDN w:val="0"/>
        <w:autoSpaceDE w:val="0"/>
        <w:widowControl/>
        <w:spacing w:line="288" w:lineRule="exact" w:before="64" w:after="0"/>
        <w:ind w:left="1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When 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riting a report it is important to cite historical words and terms – perhaps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quotation marks and accompanied by an explanatory note – if these are necessary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understand the object history and enable future research.</w:t>
      </w:r>
    </w:p>
    <w:p>
      <w:pPr>
        <w:autoSpaceDN w:val="0"/>
        <w:autoSpaceDE w:val="0"/>
        <w:widowControl/>
        <w:spacing w:line="288" w:lineRule="exact" w:before="240" w:after="0"/>
        <w:ind w:left="1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Wereldmuseum publication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Words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Matter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provides tips for dealing with colonial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terminology.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720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Doing research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 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nd delineate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2024-05-01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2025-12-12</w:t>
      </w:r>
    </w:p>
    <w:sectPr w:rsidR="00FC693F" w:rsidRPr="0006063C" w:rsidSect="00034616">
      <w:pgSz w:w="11900" w:h="16840"/>
      <w:pgMar w:top="324" w:right="958" w:bottom="1440" w:left="9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mmittee.kolonialecollecties.nl/publications?size=n_10_n&amp;filters%5B0%5D%5Bfield%5D=information_type&amp;filters%5B0%5D%5Bvalues%5D%5B0%5D=Advice&amp;filters%5B0%5D%5Btype%5D=all" TargetMode="External"/><Relationship Id="rId10" Type="http://schemas.openxmlformats.org/officeDocument/2006/relationships/hyperlink" Target="https://www.niod.nl/en/projects/pilotproject-provenance-research-objects-colonial-era-pproce" TargetMode="External"/><Relationship Id="rId11" Type="http://schemas.openxmlformats.org/officeDocument/2006/relationships/hyperlink" Target="https://niod.on.worldcat.org/search?queryString=se%3A%20PPROCE%20provenance%20reports%20%3B&amp;clusterResults=true&amp;groupVariantRecords=false&amp;page=1" TargetMode="External"/><Relationship Id="rId12" Type="http://schemas.openxmlformats.org/officeDocument/2006/relationships/hyperlink" Target="https://search.worldcat.org/title/The-AAM-guide-to-provenance-research/oclc/46671065" TargetMode="External"/><Relationship Id="rId13" Type="http://schemas.openxmlformats.org/officeDocument/2006/relationships/hyperlink" Target="https://app.colonialcollections.nl/en/research-aids/https%3A%2F%2Fn2t%252Enet%2Fark%3A%2F27023%2F5f0031f66044adefab19b67b1344b31d" TargetMode="External"/><Relationship Id="rId14" Type="http://schemas.openxmlformats.org/officeDocument/2006/relationships/hyperlink" Target="https://amsterdam.wereldmuseum.nl/sites/default/files/2021-04/words_matter.pdf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