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Select and delineate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this research aid you find information on how to select objects and how to subsequently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delineate your (provenance) research.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How to recognise objects from a colonial context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museum and other collections in the Netherlands contain objects acquired in a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context. Some of these are not traceable because the registration does not mention a place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culture of manufacture. This may be due to objects having been registered using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terms such as 'oriental' or 'African', which do not provide sufficient information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specific cultural origin, or because objects have ended up in more general collections of,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example, 'swords' or ones belonging to a particular art collector.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first step in provenance research is to identify the place of manufacture. This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require specific expertise. If you have a general question about colonial collections 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institution wants to contact experts in countries of origin, or if you are a researcher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would like to get in touch with institutions in the Netherlands, then please contact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bureau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They can help you with information and possible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contacts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. If you would like to kn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ow wha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from a particular place or culture is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collections, then consult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Datahub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Two moments are of particular importance in provenance research into colonial collections: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moment the object came into European hands and the moment it was exported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country of origin to Europe. In the case of objects that entered the collection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period it is usually safe to assume that these were also exported from the area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 while it was under colonial rule. Other objects, however, may initially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acquired in a colonial context and have only entered the collection many years later.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How to select objects with a problematic provenance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If your purpose is to identify objects that were looted or otherwise involuntarily surrendered,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 will be required to obtain any clarity on this. In some cases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basic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will suffice to reveal a problematic provenance but often extensive resea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rch w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ill be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necessar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There are various categories of objects that could be prioritised in this context: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Objects and collections that are the subject of an application for restitution;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Human remains or objects suspected of containing human remains;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Objects that are to be exhibited;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Objects originating from areas known to have been subject to extensive war looting (for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example the Kingdom of Benin, Aceh or Lombok);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Statues and other decorations from buildings and monuments (for example, shrines,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temples, mosques, mausoleums or cemeteries);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Objects from excavations, especially any undocumented findings.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If the object is from a private collection, it is worth first finding out whether it is known who</w:t>
      </w:r>
    </w:p>
    <w:p>
      <w:pPr>
        <w:sectPr>
          <w:pgSz w:w="11900" w:h="16840"/>
          <w:pgMar w:top="448" w:right="974" w:bottom="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brought the object to the Netherlands and what that person’s profession was. Professions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directly linked to the colonial system, such as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military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may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grounds for further research into the object’s prov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enance.</w:t>
          </w:r>
        </w:hyperlink>
      </w:r>
    </w:p>
    <w:p>
      <w:pPr>
        <w:autoSpaceDN w:val="0"/>
        <w:autoSpaceDE w:val="0"/>
        <w:widowControl/>
        <w:spacing w:line="430" w:lineRule="exact" w:before="308" w:after="0"/>
        <w:ind w:left="0" w:right="201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How to select objects when you want to share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information</w:t>
      </w:r>
    </w:p>
    <w:p>
      <w:pPr>
        <w:autoSpaceDN w:val="0"/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If the goal is to provide transparent information to your institution’s audience, the priority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may lie with objects on display. In that case it is important that the communities of origin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consulted and that their perspectives and interests are part of the research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exhibition. Where large numbers of objects are to be published in an online database the aim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to at least carry out basic research and to make the resulting data as publicly accessible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possible.</w:t>
      </w:r>
    </w:p>
    <w:p>
      <w:pPr>
        <w:autoSpaceDN w:val="0"/>
        <w:autoSpaceDE w:val="0"/>
        <w:widowControl/>
        <w:spacing w:line="432" w:lineRule="exact" w:before="30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How to select objects when preparing an application for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restitution</w:t>
      </w:r>
    </w:p>
    <w:p>
      <w:pPr>
        <w:autoSpaceDN w:val="0"/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Sometimes priority at museums is driven by external parties, for example in the case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application for restitution or a public debate surrounding certain objects. If you yourself wish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submit an application for restitution it may also be useful to first research the provenance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relevant object, for example to determine whether it was acquired in a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context.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 can also be undertaken proactively, for example if the custodian expects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application for restitution to be made. In that case, priority may be given to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known to be of great historical, cultural or spiritual value to communities of origin. Ideally,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prioritisation of provenance research should take place on the recommendation of, 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consultation with, communities of origin and local experts.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Doing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personnel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The trade in objects from a colonial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982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lonialcollections.nl/index.php/en/contact-2/" TargetMode="External"/><Relationship Id="rId10" Type="http://schemas.openxmlformats.org/officeDocument/2006/relationships/hyperlink" Target="https://app.colonialcollections.nl/en" TargetMode="External"/><Relationship Id="rId11" Type="http://schemas.openxmlformats.org/officeDocument/2006/relationships/hyperlink" Target="https://app.colonialcollections.nl/en/research-aids/https%3A%2F%2Fn2t%252Enet%2Fark%3A%2F27023%2Fd2741eb61e9f4b63fa0d750159b2503d" TargetMode="External"/><Relationship Id="rId12" Type="http://schemas.openxmlformats.org/officeDocument/2006/relationships/hyperlink" Target="https://app.colonialcollections.nl/en/research-aids/https%3A%2F%2Fn2t%252Enet%2Fark%3A%2F27023%2F0ceff3da7d6bba371bb16767a65b619e" TargetMode="External"/><Relationship Id="rId13" Type="http://schemas.openxmlformats.org/officeDocument/2006/relationships/hyperlink" Target="https://app.colonialcollections.nl/en/research-aids/https%3A%2F%2Fn2t%252Enet%2Fark%3A%2F27023%2F4f29663e147ee9c1ee7a9eb3019fca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