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34" w:lineRule="exact" w:before="0" w:after="0"/>
        <w:ind w:left="0" w:right="0"/>
      </w:pPr>
    </w:p>
    <w:p>
      <w:pPr>
        <w:autoSpaceDN w:val="0"/>
        <w:autoSpaceDE w:val="0"/>
        <w:widowControl/>
        <w:spacing w:line="136" w:lineRule="exact" w:before="28" w:after="348"/>
        <w:ind w:left="1240" w:right="5760" w:firstLine="0"/>
        <w:jc w:val="left"/>
      </w:pPr>
      <w:r>
        <w:rPr>
          <w:w w:val="97.14285986764091"/>
          <w:rFonts w:ascii="MyriadPro-Regular-Identity-H" w:hAnsi="MyriadPro-Regular-Identity-H" w:eastAsia="MyriadPro-Regular-Identity-H"/>
          <w:b w:val="0"/>
          <w:i w:val="0"/>
          <w:color w:val="000000"/>
          <w:sz w:val="14"/>
        </w:rPr>
        <w:t xml:space="preserve">Ký bởi: Cổng Thông tin điện tử Chính phủ </w:t>
      </w:r>
      <w:r>
        <w:br/>
      </w:r>
      <w:r>
        <w:rPr>
          <w:w w:val="97.14285986764091"/>
          <w:rFonts w:ascii="MyriadPro-Regular-Identity-H" w:hAnsi="MyriadPro-Regular-Identity-H" w:eastAsia="MyriadPro-Regular-Identity-H"/>
          <w:b w:val="0"/>
          <w:i w:val="0"/>
          <w:color w:val="000000"/>
          <w:sz w:val="14"/>
        </w:rPr>
        <w:t xml:space="preserve">Email: thongtinchinhphu@chinhphu.vn </w:t>
      </w:r>
      <w:r>
        <w:br/>
      </w:r>
      <w:r>
        <w:rPr>
          <w:w w:val="97.14285986764091"/>
          <w:rFonts w:ascii="MyriadPro-Regular-Identity-H" w:hAnsi="MyriadPro-Regular-Identity-H" w:eastAsia="MyriadPro-Regular-Identity-H"/>
          <w:b w:val="0"/>
          <w:i w:val="0"/>
          <w:color w:val="000000"/>
          <w:sz w:val="14"/>
        </w:rPr>
        <w:t xml:space="preserve">Cơ quan: Văn phòng Chính phủ </w:t>
      </w:r>
      <w:r>
        <w:br/>
      </w:r>
      <w:r>
        <w:rPr>
          <w:w w:val="97.14285986764091"/>
          <w:rFonts w:ascii="MyriadPro-Regular-Identity-H" w:hAnsi="MyriadPro-Regular-Identity-H" w:eastAsia="MyriadPro-Regular-Identity-H"/>
          <w:b w:val="0"/>
          <w:i w:val="0"/>
          <w:color w:val="000000"/>
          <w:sz w:val="14"/>
        </w:rPr>
        <w:t>Thời gian ký: 19.03.2020 14:48:40 +07:00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9"/>
        <w:gridCol w:w="4729"/>
      </w:tblGrid>
      <w:tr>
        <w:trPr>
          <w:trHeight w:hRule="exact" w:val="428"/>
        </w:trPr>
        <w:tc>
          <w:tcPr>
            <w:tcW w:type="dxa" w:w="1180"/>
            <w:tcBorders>
              <w:bottom w:sz="4.0" w:val="single" w:color="#06080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2</w:t>
            </w:r>
          </w:p>
        </w:tc>
        <w:tc>
          <w:tcPr>
            <w:tcW w:type="dxa" w:w="8184"/>
            <w:tcBorders>
              <w:bottom w:sz="4.0" w:val="single" w:color="#06080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4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CÔNG BÁO/Số 283 + 284/Ngày 17-3-2020</w:t>
            </w:r>
          </w:p>
        </w:tc>
      </w:tr>
    </w:tbl>
    <w:p>
      <w:pPr>
        <w:autoSpaceDN w:val="0"/>
        <w:autoSpaceDE w:val="0"/>
        <w:widowControl/>
        <w:spacing w:line="230" w:lineRule="auto" w:before="23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6"/>
        </w:rPr>
        <w:t xml:space="preserve">VĂN BẢN QUY PHẠM PHÁP LUẬT </w:t>
      </w:r>
    </w:p>
    <w:p>
      <w:pPr>
        <w:autoSpaceDN w:val="0"/>
        <w:autoSpaceDE w:val="0"/>
        <w:widowControl/>
        <w:spacing w:line="230" w:lineRule="auto" w:before="504" w:after="53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32"/>
        </w:rPr>
        <w:t xml:space="preserve">CHÍNH PHỦ </w:t>
      </w:r>
    </w:p>
    <w:p>
      <w:pPr>
        <w:sectPr>
          <w:pgSz w:w="11904" w:h="16840"/>
          <w:pgMar w:top="32" w:right="1186" w:bottom="802" w:left="1260" w:header="720" w:footer="720" w:gutter="0"/>
          <w:cols w:space="720" w:num="1" w:equalWidth="0"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0" w:right="698" w:firstLine="0"/>
        <w:jc w:val="right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>CHÍNH PHỦ</w:t>
      </w:r>
    </w:p>
    <w:p>
      <w:pPr>
        <w:autoSpaceDN w:val="0"/>
        <w:autoSpaceDE w:val="0"/>
        <w:widowControl/>
        <w:spacing w:line="233" w:lineRule="auto" w:before="852" w:after="0"/>
        <w:ind w:left="68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6"/>
        </w:rPr>
        <w:t xml:space="preserve">Số: 30/2020/NĐ-CP </w:t>
      </w:r>
    </w:p>
    <w:p>
      <w:pPr>
        <w:sectPr>
          <w:type w:val="continuous"/>
          <w:pgSz w:w="11904" w:h="16840"/>
          <w:pgMar w:top="32" w:right="1186" w:bottom="802" w:left="1260" w:header="720" w:footer="720" w:gutter="0"/>
          <w:cols w:space="720" w:num="2" w:equalWidth="0">
            <w:col w:w="3184" w:space="0"/>
            <w:col w:w="6274" w:space="0"/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69" w:lineRule="auto" w:before="0" w:after="0"/>
        <w:ind w:left="576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6"/>
        </w:rPr>
        <w:t xml:space="preserve">CỘNG HÒA XÃ HỘI CHỦ NGHĨA VIỆT NAM </w:t>
      </w:r>
      <w:r>
        <w:rPr>
          <w:rFonts w:ascii="TimesNewRomanPS" w:hAnsi="TimesNewRomanPS" w:eastAsia="TimesNewRomanPS"/>
          <w:b/>
          <w:i w:val="0"/>
          <w:color w:val="000000"/>
          <w:sz w:val="26"/>
        </w:rPr>
        <w:t>Độc lập - Tự do - Hạnh phúc</w:t>
      </w:r>
    </w:p>
    <w:p>
      <w:pPr>
        <w:autoSpaceDN w:val="0"/>
        <w:autoSpaceDE w:val="0"/>
        <w:widowControl/>
        <w:spacing w:line="233" w:lineRule="auto" w:before="470" w:after="0"/>
        <w:ind w:left="1524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6"/>
        </w:rPr>
        <w:t>Hà Nội, ngày 05 tháng 3 năm 2020</w:t>
      </w:r>
    </w:p>
    <w:p>
      <w:pPr>
        <w:autoSpaceDN w:val="0"/>
        <w:autoSpaceDE w:val="0"/>
        <w:widowControl/>
        <w:spacing w:line="262" w:lineRule="auto" w:before="482" w:after="550"/>
        <w:ind w:left="288" w:right="3456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NGHỊ ĐỊNH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Về công tác văn thư </w:t>
      </w:r>
    </w:p>
    <w:p>
      <w:pPr>
        <w:sectPr>
          <w:type w:val="nextColumn"/>
          <w:pgSz w:w="11904" w:h="16840"/>
          <w:pgMar w:top="32" w:right="1186" w:bottom="802" w:left="1260" w:header="720" w:footer="720" w:gutter="0"/>
          <w:cols w:space="720" w:num="2" w:equalWidth="0">
            <w:col w:w="3184" w:space="0"/>
            <w:col w:w="6274" w:space="0"/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33" w:lineRule="auto" w:before="0" w:after="0"/>
        <w:ind w:left="47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8"/>
        </w:rPr>
        <w:t>Căn cứ Luật Tổ chức Chính phủ ngày 19 tháng 6 năm 2015;</w:t>
      </w:r>
    </w:p>
    <w:p>
      <w:pPr>
        <w:autoSpaceDN w:val="0"/>
        <w:autoSpaceDE w:val="0"/>
        <w:widowControl/>
        <w:spacing w:line="230" w:lineRule="auto" w:before="152" w:after="0"/>
        <w:ind w:left="47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8"/>
        </w:rPr>
        <w:t>Theo đề nghị của Bộ trưởng Bộ Nội vụ;</w:t>
      </w:r>
    </w:p>
    <w:p>
      <w:pPr>
        <w:autoSpaceDN w:val="0"/>
        <w:autoSpaceDE w:val="0"/>
        <w:widowControl/>
        <w:spacing w:line="233" w:lineRule="auto" w:before="150" w:after="0"/>
        <w:ind w:left="476" w:right="0" w:firstLine="0"/>
        <w:jc w:val="left"/>
      </w:pPr>
      <w:r>
        <w:rPr>
          <w:rFonts w:ascii="TimesNewRomanPS" w:hAnsi="TimesNewRomanPS" w:eastAsia="TimesNewRomanPS"/>
          <w:b w:val="0"/>
          <w:i/>
          <w:color w:val="000000"/>
          <w:sz w:val="28"/>
        </w:rPr>
        <w:t xml:space="preserve">Chính phủ ban hành Nghị định về công tác văn thư. </w:t>
      </w:r>
    </w:p>
    <w:p>
      <w:pPr>
        <w:autoSpaceDN w:val="0"/>
        <w:autoSpaceDE w:val="0"/>
        <w:widowControl/>
        <w:spacing w:line="257" w:lineRule="auto" w:before="450" w:after="0"/>
        <w:ind w:left="3312" w:right="3312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Chương 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QUY ĐỊNH CHUNG </w:t>
      </w:r>
    </w:p>
    <w:p>
      <w:pPr>
        <w:autoSpaceDN w:val="0"/>
        <w:autoSpaceDE w:val="0"/>
        <w:widowControl/>
        <w:spacing w:line="230" w:lineRule="auto" w:before="450" w:after="0"/>
        <w:ind w:left="4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Điều 1. Phạm vi điều chỉnh </w:t>
      </w:r>
    </w:p>
    <w:p>
      <w:pPr>
        <w:autoSpaceDN w:val="0"/>
        <w:autoSpaceDE w:val="0"/>
        <w:widowControl/>
        <w:spacing w:line="271" w:lineRule="auto" w:before="148" w:after="0"/>
        <w:ind w:left="22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Nghị định này quy định về công tác văn thư và quản lý nhà nước về công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tác văn thư. Công tác văn thư được quy định tại Nghị định này bao gồm: Soạn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thảo, ký ban hành văn bản; quản lý văn bản; lập hồ sơ và nộp lưu hồ sơ, tài liệu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vào Lưu trữ cơ quan; quản lý và sử dụng con dấu, thiết bị lưu khóa bí mật trong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công tác văn thư. </w:t>
      </w:r>
    </w:p>
    <w:p>
      <w:pPr>
        <w:autoSpaceDN w:val="0"/>
        <w:autoSpaceDE w:val="0"/>
        <w:widowControl/>
        <w:spacing w:line="230" w:lineRule="auto" w:before="148" w:after="0"/>
        <w:ind w:left="4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Điều 2. Đối tượng áp dụng </w:t>
      </w:r>
    </w:p>
    <w:p>
      <w:pPr>
        <w:autoSpaceDN w:val="0"/>
        <w:tabs>
          <w:tab w:pos="476" w:val="left"/>
        </w:tabs>
        <w:autoSpaceDE w:val="0"/>
        <w:widowControl/>
        <w:spacing w:line="257" w:lineRule="auto" w:before="150" w:after="0"/>
        <w:ind w:left="22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1. Nghị định này áp dụng đối với cơ quan, tổ chức nhà nước và doanh nghiệp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nhà nước (sau đây gọi chung là cơ quan, tổ chức). </w:t>
      </w:r>
    </w:p>
    <w:p>
      <w:pPr>
        <w:autoSpaceDN w:val="0"/>
        <w:autoSpaceDE w:val="0"/>
        <w:widowControl/>
        <w:spacing w:line="266" w:lineRule="auto" w:before="150" w:after="0"/>
        <w:ind w:left="22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2. Tổ chức chính trị, tổ chức chính trị - xã hội, tổ chức xã hội, tổ chức xã hội -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nghề nghiệp căn cứ quy định của Nghị định này và các quy định của Đảng, của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pháp luật có liên quan để áp dụng cho phù hợp. </w:t>
      </w:r>
    </w:p>
    <w:p>
      <w:pPr>
        <w:autoSpaceDN w:val="0"/>
        <w:autoSpaceDE w:val="0"/>
        <w:widowControl/>
        <w:spacing w:line="230" w:lineRule="auto" w:before="148" w:after="0"/>
        <w:ind w:left="476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8"/>
        </w:rPr>
        <w:t xml:space="preserve">Điều 3. Giải thích từ ngữ </w:t>
      </w:r>
    </w:p>
    <w:p>
      <w:pPr>
        <w:autoSpaceDN w:val="0"/>
        <w:autoSpaceDE w:val="0"/>
        <w:widowControl/>
        <w:spacing w:line="233" w:lineRule="auto" w:before="150" w:after="0"/>
        <w:ind w:left="47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Trong Nghị định này, những từ ngữ dưới đây được hiểu như sau: </w:t>
      </w:r>
    </w:p>
    <w:p>
      <w:pPr>
        <w:sectPr>
          <w:type w:val="continuous"/>
          <w:pgSz w:w="11904" w:h="16840"/>
          <w:pgMar w:top="32" w:right="1186" w:bottom="802" w:left="1260" w:header="720" w:footer="720" w:gutter="0"/>
          <w:cols w:space="720" w:num="1" w:equalWidth="0">
            <w:col w:w="9458" w:space="0"/>
            <w:col w:w="3184" w:space="0"/>
            <w:col w:w="6274" w:space="0"/>
            <w:col w:w="945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727"/>
        <w:gridCol w:w="4727"/>
      </w:tblGrid>
      <w:tr>
        <w:trPr>
          <w:trHeight w:hRule="exact" w:val="368"/>
        </w:trPr>
        <w:tc>
          <w:tcPr>
            <w:tcW w:type="dxa" w:w="8196"/>
            <w:tcBorders>
              <w:bottom w:sz="4.0" w:val="single" w:color="#06080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102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CÔNG BÁO/Số 283 + 284/Ngày 17-3-2020</w:t>
            </w:r>
          </w:p>
        </w:tc>
        <w:tc>
          <w:tcPr>
            <w:tcW w:type="dxa" w:w="1168"/>
            <w:tcBorders>
              <w:bottom w:sz="4.0" w:val="single" w:color="#060808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8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66" w:lineRule="auto" w:before="326" w:after="0"/>
        <w:ind w:left="18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1. “Văn bản” là thông tin thành văn được truyền đạt bằng ngôn ngữ hoặc ký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hiệu, hình thành trong hoạt động của các cơ quan, tổ chức và được trình bày đúng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thể thức, kỹ thuật theo quy định. </w:t>
      </w:r>
    </w:p>
    <w:p>
      <w:pPr>
        <w:autoSpaceDN w:val="0"/>
        <w:autoSpaceDE w:val="0"/>
        <w:widowControl/>
        <w:spacing w:line="266" w:lineRule="auto" w:before="146" w:after="0"/>
        <w:ind w:left="18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2. “Văn bản chuyên ngành” là văn bản hình thành trong quá trình thực hiện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hoạt động chuyên môn, nghiệp vụ của một ngành, lĩnh vực do người đứng đầu cơ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quan quản lý ngành, lĩnh vực quy định. </w:t>
      </w:r>
    </w:p>
    <w:p>
      <w:pPr>
        <w:autoSpaceDN w:val="0"/>
        <w:tabs>
          <w:tab w:pos="472" w:val="left"/>
        </w:tabs>
        <w:autoSpaceDE w:val="0"/>
        <w:widowControl/>
        <w:spacing w:line="257" w:lineRule="auto" w:before="150" w:after="0"/>
        <w:ind w:left="1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3. “Văn bản hành chính” là văn bản hình thành trong quá trình chỉ đạo, điều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hành, giải quyết công việc của các cơ quan, tổ chức. </w:t>
      </w:r>
    </w:p>
    <w:p>
      <w:pPr>
        <w:autoSpaceDN w:val="0"/>
        <w:autoSpaceDE w:val="0"/>
        <w:widowControl/>
        <w:spacing w:line="266" w:lineRule="auto" w:before="150" w:after="0"/>
        <w:ind w:left="18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4. “Văn bản điện tử” là văn bản dưới dạng thông điệp dữ liệu được tạo lập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hoặc được số hóa từ văn bản giấy và trình bày đúng thể thức, kỹ thuật, định dạng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theo quy định. </w:t>
      </w:r>
    </w:p>
    <w:p>
      <w:pPr>
        <w:autoSpaceDN w:val="0"/>
        <w:autoSpaceDE w:val="0"/>
        <w:widowControl/>
        <w:spacing w:line="230" w:lineRule="auto" w:before="148" w:after="0"/>
        <w:ind w:left="47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5. “Văn bản đi” là tất cả các loại văn bản do cơ quan, tổ chức ban hành. </w:t>
      </w:r>
    </w:p>
    <w:p>
      <w:pPr>
        <w:autoSpaceDN w:val="0"/>
        <w:tabs>
          <w:tab w:pos="472" w:val="left"/>
        </w:tabs>
        <w:autoSpaceDE w:val="0"/>
        <w:widowControl/>
        <w:spacing w:line="257" w:lineRule="auto" w:before="150" w:after="0"/>
        <w:ind w:left="1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6. “Văn bản đến” là tất cả các loại văn bản do cơ quan, tổ chức nhận được từ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cơ quan, tổ chức, cá nhân khác gửi đến. </w:t>
      </w:r>
    </w:p>
    <w:p>
      <w:pPr>
        <w:autoSpaceDN w:val="0"/>
        <w:autoSpaceDE w:val="0"/>
        <w:widowControl/>
        <w:spacing w:line="266" w:lineRule="auto" w:before="150" w:after="0"/>
        <w:ind w:left="18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7. “Bản thảo văn bản” là bản được viết hoặc đánh máy hoặc tạo lập bằng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phương tiện điện tử hình thành trong quá trình soạn thảo một văn bản của cơ quan,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tổ chức. </w:t>
      </w:r>
    </w:p>
    <w:p>
      <w:pPr>
        <w:autoSpaceDN w:val="0"/>
        <w:autoSpaceDE w:val="0"/>
        <w:widowControl/>
        <w:spacing w:line="266" w:lineRule="auto" w:before="148" w:after="0"/>
        <w:ind w:left="18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8. “Bản gốc văn bản” là bản hoàn chỉnh về nội dung, thể thức văn bản,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được người có thẩm quyền trực tiếp ký trên văn bản giấy hoặc ký số trên văn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bản điện tử. </w:t>
      </w:r>
    </w:p>
    <w:p>
      <w:pPr>
        <w:autoSpaceDN w:val="0"/>
        <w:tabs>
          <w:tab w:pos="472" w:val="left"/>
        </w:tabs>
        <w:autoSpaceDE w:val="0"/>
        <w:widowControl/>
        <w:spacing w:line="257" w:lineRule="auto" w:before="146" w:after="0"/>
        <w:ind w:left="1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9. “Bản chính văn bản giấy” là bản hoàn chỉnh về nội dung, thể thức văn bản,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được tạo từ bản có chữ ký trực tiếp của người có thẩm quyền. </w:t>
      </w:r>
    </w:p>
    <w:p>
      <w:pPr>
        <w:autoSpaceDN w:val="0"/>
        <w:tabs>
          <w:tab w:pos="472" w:val="left"/>
        </w:tabs>
        <w:autoSpaceDE w:val="0"/>
        <w:widowControl/>
        <w:spacing w:line="257" w:lineRule="auto" w:before="146" w:after="0"/>
        <w:ind w:left="1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10. “Bản sao y” là bản sao đầy đủ, chính xác nội dung của bản gốc hoặc bản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chính văn bản, được trình bày theo thể thức và kỹ thuật quy định. </w:t>
      </w:r>
    </w:p>
    <w:p>
      <w:pPr>
        <w:autoSpaceDN w:val="0"/>
        <w:tabs>
          <w:tab w:pos="472" w:val="left"/>
        </w:tabs>
        <w:autoSpaceDE w:val="0"/>
        <w:widowControl/>
        <w:spacing w:line="257" w:lineRule="auto" w:before="146" w:after="0"/>
        <w:ind w:left="1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11. “Bản sao lục” là bản sao đầy đủ, chính xác nội dung của bản sao y, được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trình bày theo thể thức và kỹ thuật quy định. </w:t>
      </w:r>
    </w:p>
    <w:p>
      <w:pPr>
        <w:autoSpaceDN w:val="0"/>
        <w:autoSpaceDE w:val="0"/>
        <w:widowControl/>
        <w:spacing w:line="266" w:lineRule="auto" w:before="146" w:after="0"/>
        <w:ind w:left="18" w:right="20" w:firstLine="454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12. “Bản trích sao” là bản sao chính xác phần nội dung của bản gốc hoặc phần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nội dung của bản chính văn bản cần trích sao, được trình bày theo thể thức và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kỹ thuật quy định. </w:t>
      </w:r>
    </w:p>
    <w:p>
      <w:pPr>
        <w:autoSpaceDN w:val="0"/>
        <w:tabs>
          <w:tab w:pos="472" w:val="left"/>
        </w:tabs>
        <w:autoSpaceDE w:val="0"/>
        <w:widowControl/>
        <w:spacing w:line="257" w:lineRule="auto" w:before="150" w:after="0"/>
        <w:ind w:left="18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13. “Danh mục hồ sơ” là bảng kê có hệ thống những hồ sơ dự kiến được lập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trong năm của cơ quan, tổ chức. </w:t>
      </w:r>
    </w:p>
    <w:p>
      <w:pPr>
        <w:autoSpaceDN w:val="0"/>
        <w:autoSpaceDE w:val="0"/>
        <w:widowControl/>
        <w:spacing w:line="257" w:lineRule="auto" w:before="150" w:after="0"/>
        <w:ind w:left="18" w:right="0" w:firstLine="454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14. “Hồ sơ” là tập hợp các văn bản, tài liệu có liên quan với nhau về một vấn </w:t>
      </w:r>
      <w:r>
        <w:rPr>
          <w:rFonts w:ascii="TimesNewRomanPSMT" w:hAnsi="TimesNewRomanPSMT" w:eastAsia="TimesNewRomanPSMT"/>
          <w:b w:val="0"/>
          <w:i w:val="0"/>
          <w:color w:val="000000"/>
          <w:sz w:val="28"/>
        </w:rPr>
        <w:t xml:space="preserve">đề, một sự việc, một đối tượng cụ thể hoặc có đặc điểm chung, hình thành trong </w:t>
      </w:r>
    </w:p>
    <w:sectPr w:rsidR="00FC693F" w:rsidRPr="0006063C" w:rsidSect="00034616">
      <w:pgSz w:w="11904" w:h="16840"/>
      <w:pgMar w:top="522" w:right="1186" w:bottom="796" w:left="1264" w:header="720" w:footer="720" w:gutter="0"/>
      <w:cols w:space="720" w:num="1" w:equalWidth="0">
        <w:col w:w="9454" w:space="0"/>
        <w:col w:w="9458" w:space="0"/>
        <w:col w:w="3184" w:space="0"/>
        <w:col w:w="6274" w:space="0"/>
        <w:col w:w="945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