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594D2" w14:textId="5B002BCA" w:rsidR="006D5ADA" w:rsidRPr="006D5ADA" w:rsidRDefault="006D5ADA" w:rsidP="006D5ADA">
      <w:pPr>
        <w:ind w:left="357" w:firstLine="0"/>
        <w:rPr>
          <w:b/>
          <w:bCs/>
        </w:rPr>
      </w:pPr>
      <w:r w:rsidRPr="006D5ADA">
        <w:rPr>
          <w:b/>
          <w:bCs/>
        </w:rPr>
        <w:t>Prozessschema: LEA</w:t>
      </w:r>
      <w:r w:rsidRPr="006D5ADA">
        <w:rPr>
          <w:rFonts w:ascii="Cambria Math" w:hAnsi="Cambria Math" w:cs="Cambria Math"/>
          <w:b/>
          <w:bCs/>
        </w:rPr>
        <w:t>‑</w:t>
      </w:r>
      <w:r w:rsidRPr="006D5ADA">
        <w:rPr>
          <w:b/>
          <w:bCs/>
        </w:rPr>
        <w:t xml:space="preserve"> </w:t>
      </w:r>
      <w:proofErr w:type="spellStart"/>
      <w:r w:rsidRPr="006D5ADA">
        <w:rPr>
          <w:b/>
          <w:bCs/>
        </w:rPr>
        <w:t>Hyper</w:t>
      </w:r>
      <w:proofErr w:type="spellEnd"/>
      <w:r w:rsidRPr="006D5ADA">
        <w:rPr>
          <w:rFonts w:ascii="Cambria Math" w:hAnsi="Cambria Math" w:cs="Cambria Math"/>
          <w:b/>
          <w:bCs/>
        </w:rPr>
        <w:t>‑</w:t>
      </w:r>
      <w:r w:rsidRPr="006D5ADA">
        <w:rPr>
          <w:b/>
          <w:bCs/>
        </w:rPr>
        <w:t>Legierung</w:t>
      </w:r>
    </w:p>
    <w:p w14:paraId="7EDBD72E" w14:textId="310AF204" w:rsidR="00025262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>Prozesskette mit Temperatur</w:t>
      </w:r>
      <w:r w:rsidRPr="006D5ADA">
        <w:rPr>
          <w:rFonts w:ascii="Cambria Math" w:hAnsi="Cambria Math" w:cs="Cambria Math"/>
          <w:sz w:val="20"/>
          <w:szCs w:val="20"/>
        </w:rPr>
        <w:t>‑</w:t>
      </w:r>
      <w:r w:rsidRPr="006D5ADA">
        <w:rPr>
          <w:sz w:val="20"/>
          <w:szCs w:val="20"/>
        </w:rPr>
        <w:t xml:space="preserve"> und Zeitfenstern (T/t)</w:t>
      </w:r>
    </w:p>
    <w:p w14:paraId="3F32846B" w14:textId="77777777" w:rsidR="006D5ADA" w:rsidRDefault="006D5ADA" w:rsidP="006D5ADA">
      <w:pPr>
        <w:ind w:left="357" w:firstLine="0"/>
        <w:rPr>
          <w:sz w:val="20"/>
          <w:szCs w:val="20"/>
        </w:rPr>
      </w:pPr>
    </w:p>
    <w:p w14:paraId="64C5C0AD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>1. Rohmaterialbereitstellung</w:t>
      </w:r>
    </w:p>
    <w:p w14:paraId="117DA410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↓</w:t>
      </w:r>
    </w:p>
    <w:p w14:paraId="1C0BACEB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>2. Schmelzmetallurgie (Schmelzen &amp; Legieren)</w:t>
      </w:r>
    </w:p>
    <w:p w14:paraId="06F56235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T = 650–700 °C</w:t>
      </w:r>
    </w:p>
    <w:p w14:paraId="0EC52C87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t = 30–120 min (je nach Ofenvolumen)</w:t>
      </w:r>
    </w:p>
    <w:p w14:paraId="3D49DD08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Atmosphäre: Luft oder Schutzgas (optional Ar)</w:t>
      </w:r>
    </w:p>
    <w:p w14:paraId="55B15944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↓</w:t>
      </w:r>
    </w:p>
    <w:p w14:paraId="0FBA6BFC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>3. Gießen (Strang- oder Blockguss)</w:t>
      </w:r>
    </w:p>
    <w:p w14:paraId="7DCD53B2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</w:t>
      </w:r>
      <w:proofErr w:type="spellStart"/>
      <w:r w:rsidRPr="006D5ADA">
        <w:rPr>
          <w:sz w:val="20"/>
          <w:szCs w:val="20"/>
        </w:rPr>
        <w:t>T_Guss</w:t>
      </w:r>
      <w:proofErr w:type="spellEnd"/>
      <w:r w:rsidRPr="006D5ADA">
        <w:rPr>
          <w:sz w:val="20"/>
          <w:szCs w:val="20"/>
        </w:rPr>
        <w:t xml:space="preserve"> = 680–700 °C (leicht über </w:t>
      </w:r>
      <w:proofErr w:type="spellStart"/>
      <w:r w:rsidRPr="006D5ADA">
        <w:rPr>
          <w:sz w:val="20"/>
          <w:szCs w:val="20"/>
        </w:rPr>
        <w:t>Liquidus</w:t>
      </w:r>
      <w:proofErr w:type="spellEnd"/>
      <w:r w:rsidRPr="006D5ADA">
        <w:rPr>
          <w:sz w:val="20"/>
          <w:szCs w:val="20"/>
        </w:rPr>
        <w:t>)</w:t>
      </w:r>
    </w:p>
    <w:p w14:paraId="4910D9DC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Abkühlung: kontrolliert, luft- oder formgekühlt</w:t>
      </w:r>
    </w:p>
    <w:p w14:paraId="2682B30D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↓</w:t>
      </w:r>
    </w:p>
    <w:p w14:paraId="7F1BC34C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>4. Homogenisierungsglühen (optional, empfohlen)</w:t>
      </w:r>
    </w:p>
    <w:p w14:paraId="6720490C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T = 480–520 °C</w:t>
      </w:r>
    </w:p>
    <w:p w14:paraId="5C9F36BC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t = 4–12 h</w:t>
      </w:r>
    </w:p>
    <w:p w14:paraId="6303C148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Ziel: Abbau von </w:t>
      </w:r>
      <w:proofErr w:type="spellStart"/>
      <w:r w:rsidRPr="006D5ADA">
        <w:rPr>
          <w:sz w:val="20"/>
          <w:szCs w:val="20"/>
        </w:rPr>
        <w:t>Seigerungen</w:t>
      </w:r>
      <w:proofErr w:type="spellEnd"/>
      <w:r w:rsidRPr="006D5ADA">
        <w:rPr>
          <w:sz w:val="20"/>
          <w:szCs w:val="20"/>
        </w:rPr>
        <w:t>, Homogenisierung der Matrix</w:t>
      </w:r>
    </w:p>
    <w:p w14:paraId="221AD215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↓</w:t>
      </w:r>
    </w:p>
    <w:p w14:paraId="79FA2AD2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>5. Warmumformung (Walzen / Extrusion)</w:t>
      </w:r>
    </w:p>
    <w:p w14:paraId="0D49A72A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</w:t>
      </w:r>
      <w:proofErr w:type="spellStart"/>
      <w:r w:rsidRPr="006D5ADA">
        <w:rPr>
          <w:sz w:val="20"/>
          <w:szCs w:val="20"/>
        </w:rPr>
        <w:t>T_Einlauf</w:t>
      </w:r>
      <w:proofErr w:type="spellEnd"/>
      <w:r w:rsidRPr="006D5ADA">
        <w:rPr>
          <w:sz w:val="20"/>
          <w:szCs w:val="20"/>
        </w:rPr>
        <w:t xml:space="preserve"> = 380–450 °C</w:t>
      </w:r>
    </w:p>
    <w:p w14:paraId="5D9EA6E3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</w:t>
      </w:r>
      <w:proofErr w:type="spellStart"/>
      <w:r w:rsidRPr="006D5ADA">
        <w:rPr>
          <w:sz w:val="20"/>
          <w:szCs w:val="20"/>
        </w:rPr>
        <w:t>T_Prozess</w:t>
      </w:r>
      <w:proofErr w:type="spellEnd"/>
      <w:r w:rsidRPr="006D5ADA">
        <w:rPr>
          <w:sz w:val="20"/>
          <w:szCs w:val="20"/>
        </w:rPr>
        <w:t xml:space="preserve"> = 400–450 °C</w:t>
      </w:r>
    </w:p>
    <w:p w14:paraId="2A7527E2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t = abhängig von Querschnitt / Umformgrad</w:t>
      </w:r>
    </w:p>
    <w:p w14:paraId="6B87E5A3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↓</w:t>
      </w:r>
    </w:p>
    <w:p w14:paraId="57818491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>6. Lösungsglühen</w:t>
      </w:r>
    </w:p>
    <w:p w14:paraId="1EC78D50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T = 500–520 °C</w:t>
      </w:r>
    </w:p>
    <w:p w14:paraId="6884F959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t = 30–90 min (abhängig von Querschnittdicke)</w:t>
      </w:r>
    </w:p>
    <w:p w14:paraId="505EA984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Ziel: </w:t>
      </w:r>
      <w:proofErr w:type="spellStart"/>
      <w:r w:rsidRPr="006D5ADA">
        <w:rPr>
          <w:sz w:val="20"/>
          <w:szCs w:val="20"/>
        </w:rPr>
        <w:t>Cu</w:t>
      </w:r>
      <w:proofErr w:type="spellEnd"/>
      <w:r w:rsidRPr="006D5ADA">
        <w:rPr>
          <w:sz w:val="20"/>
          <w:szCs w:val="20"/>
        </w:rPr>
        <w:t xml:space="preserve"> und Mg weitgehend im Mischkristall lösen</w:t>
      </w:r>
    </w:p>
    <w:p w14:paraId="5A9A1327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↓</w:t>
      </w:r>
    </w:p>
    <w:p w14:paraId="63DDB614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>7. Abschrecken</w:t>
      </w:r>
    </w:p>
    <w:p w14:paraId="4B9F0138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Medium: Wasser (10–40 °C) oder Luft (formentlastet)</w:t>
      </w:r>
    </w:p>
    <w:p w14:paraId="2DFEA706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</w:t>
      </w:r>
      <w:proofErr w:type="spellStart"/>
      <w:r w:rsidRPr="006D5ADA">
        <w:rPr>
          <w:sz w:val="20"/>
          <w:szCs w:val="20"/>
        </w:rPr>
        <w:t>t_effektiv</w:t>
      </w:r>
      <w:proofErr w:type="spellEnd"/>
      <w:r w:rsidRPr="006D5ADA">
        <w:rPr>
          <w:sz w:val="20"/>
          <w:szCs w:val="20"/>
        </w:rPr>
        <w:t>: Sekunden bis wenige Minuten</w:t>
      </w:r>
    </w:p>
    <w:p w14:paraId="1D5A5751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Ziel: Erhalt des übersättigten Mischkristalls</w:t>
      </w:r>
    </w:p>
    <w:p w14:paraId="2DD47281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↓</w:t>
      </w:r>
    </w:p>
    <w:p w14:paraId="4A397B8E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>8. Künstliches Altern / Überaltern</w:t>
      </w:r>
    </w:p>
    <w:p w14:paraId="1A45D55F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T = 150–200 °C</w:t>
      </w:r>
    </w:p>
    <w:p w14:paraId="04176EBD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t = 4–12 h</w:t>
      </w:r>
    </w:p>
    <w:p w14:paraId="11FFF83E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Ziel LEA</w:t>
      </w:r>
      <w:r w:rsidRPr="006D5ADA">
        <w:rPr>
          <w:rFonts w:ascii="Cambria Math" w:hAnsi="Cambria Math" w:cs="Cambria Math"/>
          <w:sz w:val="20"/>
          <w:szCs w:val="20"/>
        </w:rPr>
        <w:t>‑</w:t>
      </w:r>
      <w:r w:rsidRPr="006D5ADA">
        <w:rPr>
          <w:sz w:val="20"/>
          <w:szCs w:val="20"/>
        </w:rPr>
        <w:t>90: eher h</w:t>
      </w:r>
      <w:r w:rsidRPr="006D5ADA">
        <w:rPr>
          <w:rFonts w:ascii="Aptos" w:hAnsi="Aptos" w:cs="Aptos"/>
          <w:sz w:val="20"/>
          <w:szCs w:val="20"/>
        </w:rPr>
        <w:t>ö</w:t>
      </w:r>
      <w:r w:rsidRPr="006D5ADA">
        <w:rPr>
          <w:sz w:val="20"/>
          <w:szCs w:val="20"/>
        </w:rPr>
        <w:t>heres T / l</w:t>
      </w:r>
      <w:r w:rsidRPr="006D5ADA">
        <w:rPr>
          <w:rFonts w:ascii="Aptos" w:hAnsi="Aptos" w:cs="Aptos"/>
          <w:sz w:val="20"/>
          <w:szCs w:val="20"/>
        </w:rPr>
        <w:t>ä</w:t>
      </w:r>
      <w:r w:rsidRPr="006D5ADA">
        <w:rPr>
          <w:sz w:val="20"/>
          <w:szCs w:val="20"/>
        </w:rPr>
        <w:t xml:space="preserve">ngeres t </w:t>
      </w:r>
      <w:r w:rsidRPr="006D5ADA">
        <w:rPr>
          <w:rFonts w:ascii="Aptos" w:hAnsi="Aptos" w:cs="Aptos"/>
          <w:sz w:val="20"/>
          <w:szCs w:val="20"/>
        </w:rPr>
        <w:t>→</w:t>
      </w:r>
      <w:r w:rsidRPr="006D5ADA">
        <w:rPr>
          <w:sz w:val="20"/>
          <w:szCs w:val="20"/>
        </w:rPr>
        <w:t xml:space="preserve"> maximale Leitf</w:t>
      </w:r>
      <w:r w:rsidRPr="006D5ADA">
        <w:rPr>
          <w:rFonts w:ascii="Aptos" w:hAnsi="Aptos" w:cs="Aptos"/>
          <w:sz w:val="20"/>
          <w:szCs w:val="20"/>
        </w:rPr>
        <w:t>ä</w:t>
      </w:r>
      <w:r w:rsidRPr="006D5ADA">
        <w:rPr>
          <w:sz w:val="20"/>
          <w:szCs w:val="20"/>
        </w:rPr>
        <w:t>higkeit</w:t>
      </w:r>
    </w:p>
    <w:p w14:paraId="23E3231D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Ziel LEA</w:t>
      </w:r>
      <w:r w:rsidRPr="006D5ADA">
        <w:rPr>
          <w:rFonts w:ascii="Cambria Math" w:hAnsi="Cambria Math" w:cs="Cambria Math"/>
          <w:sz w:val="20"/>
          <w:szCs w:val="20"/>
        </w:rPr>
        <w:t>‑</w:t>
      </w:r>
      <w:r w:rsidRPr="006D5ADA">
        <w:rPr>
          <w:sz w:val="20"/>
          <w:szCs w:val="20"/>
        </w:rPr>
        <w:t>120: eher niedrigeres T / k</w:t>
      </w:r>
      <w:r w:rsidRPr="006D5ADA">
        <w:rPr>
          <w:rFonts w:ascii="Aptos" w:hAnsi="Aptos" w:cs="Aptos"/>
          <w:sz w:val="20"/>
          <w:szCs w:val="20"/>
        </w:rPr>
        <w:t>ü</w:t>
      </w:r>
      <w:r w:rsidRPr="006D5ADA">
        <w:rPr>
          <w:sz w:val="20"/>
          <w:szCs w:val="20"/>
        </w:rPr>
        <w:t xml:space="preserve">rzeres t </w:t>
      </w:r>
      <w:r w:rsidRPr="006D5ADA">
        <w:rPr>
          <w:rFonts w:ascii="Aptos" w:hAnsi="Aptos" w:cs="Aptos"/>
          <w:sz w:val="20"/>
          <w:szCs w:val="20"/>
        </w:rPr>
        <w:t>→</w:t>
      </w:r>
      <w:r w:rsidRPr="006D5ADA">
        <w:rPr>
          <w:sz w:val="20"/>
          <w:szCs w:val="20"/>
        </w:rPr>
        <w:t xml:space="preserve"> h</w:t>
      </w:r>
      <w:r w:rsidRPr="006D5ADA">
        <w:rPr>
          <w:rFonts w:ascii="Aptos" w:hAnsi="Aptos" w:cs="Aptos"/>
          <w:sz w:val="20"/>
          <w:szCs w:val="20"/>
        </w:rPr>
        <w:t>ö</w:t>
      </w:r>
      <w:r w:rsidRPr="006D5ADA">
        <w:rPr>
          <w:sz w:val="20"/>
          <w:szCs w:val="20"/>
        </w:rPr>
        <w:t>here Festigkeit</w:t>
      </w:r>
    </w:p>
    <w:p w14:paraId="5BC6D90A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↓</w:t>
      </w:r>
    </w:p>
    <w:p w14:paraId="768135BD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>9. Endbearbeitung</w:t>
      </w:r>
    </w:p>
    <w:p w14:paraId="55F77D15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Mechanische Bearbeitung (Sägen, Drehen, Fräsen)</w:t>
      </w:r>
    </w:p>
    <w:p w14:paraId="12867E5A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- Oberflächenbehandlung (optional: </w:t>
      </w:r>
      <w:proofErr w:type="spellStart"/>
      <w:r w:rsidRPr="006D5ADA">
        <w:rPr>
          <w:sz w:val="20"/>
          <w:szCs w:val="20"/>
        </w:rPr>
        <w:t>Anodisation</w:t>
      </w:r>
      <w:proofErr w:type="spellEnd"/>
      <w:r w:rsidRPr="006D5ADA">
        <w:rPr>
          <w:sz w:val="20"/>
          <w:szCs w:val="20"/>
        </w:rPr>
        <w:t>, Beschichtung)</w:t>
      </w:r>
    </w:p>
    <w:p w14:paraId="4CA9EF81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↓</w:t>
      </w:r>
    </w:p>
    <w:p w14:paraId="2E55F32B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>10. Qualitätsprüfung</w:t>
      </w:r>
    </w:p>
    <w:p w14:paraId="325E8127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 - Leitfähigkeit (IACS)</w:t>
      </w:r>
    </w:p>
    <w:p w14:paraId="6E8D8869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 - Zugversuch (</w:t>
      </w:r>
      <w:proofErr w:type="spellStart"/>
      <w:r w:rsidRPr="006D5ADA">
        <w:rPr>
          <w:sz w:val="20"/>
          <w:szCs w:val="20"/>
        </w:rPr>
        <w:t>Rm</w:t>
      </w:r>
      <w:proofErr w:type="spellEnd"/>
      <w:r w:rsidRPr="006D5ADA">
        <w:rPr>
          <w:sz w:val="20"/>
          <w:szCs w:val="20"/>
        </w:rPr>
        <w:t>, Rp0,2, A)</w:t>
      </w:r>
    </w:p>
    <w:p w14:paraId="46B71CC7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 - Härte (HB)</w:t>
      </w:r>
    </w:p>
    <w:p w14:paraId="2601E243" w14:textId="79D7E936" w:rsid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   - Metallographie (Gefüge, Ausscheidungen)</w:t>
      </w:r>
    </w:p>
    <w:p w14:paraId="7CF2A8C9" w14:textId="77777777" w:rsidR="006D5ADA" w:rsidRDefault="006D5ADA" w:rsidP="006D5ADA">
      <w:pPr>
        <w:ind w:left="357" w:firstLine="0"/>
        <w:rPr>
          <w:sz w:val="20"/>
          <w:szCs w:val="20"/>
        </w:rPr>
      </w:pPr>
    </w:p>
    <w:p w14:paraId="7B94FF89" w14:textId="77777777" w:rsidR="006D5ADA" w:rsidRPr="006D5ADA" w:rsidRDefault="006D5ADA" w:rsidP="006D5ADA">
      <w:pPr>
        <w:ind w:left="357" w:firstLine="0"/>
        <w:rPr>
          <w:b/>
          <w:bCs/>
          <w:sz w:val="22"/>
          <w:szCs w:val="22"/>
        </w:rPr>
      </w:pPr>
      <w:r w:rsidRPr="006D5ADA">
        <w:rPr>
          <w:b/>
          <w:bCs/>
          <w:sz w:val="22"/>
          <w:szCs w:val="22"/>
        </w:rPr>
        <w:lastRenderedPageBreak/>
        <w:t>Kurzfassung als formale Prozesskette (kompakt formulierbar im Patent)</w:t>
      </w:r>
    </w:p>
    <w:p w14:paraId="66C70F01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</w:p>
    <w:p w14:paraId="1E1C1D1D" w14:textId="0CC68E01" w:rsid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>Prozess zur Herstellung einer leitfähigen LEA</w:t>
      </w:r>
      <w:r w:rsidRPr="006D5ADA">
        <w:rPr>
          <w:rFonts w:ascii="Cambria Math" w:hAnsi="Cambria Math" w:cs="Cambria Math"/>
          <w:sz w:val="20"/>
          <w:szCs w:val="20"/>
        </w:rPr>
        <w:t>‑</w:t>
      </w:r>
      <w:r w:rsidR="00D921F3" w:rsidRPr="006D5ADA">
        <w:rPr>
          <w:sz w:val="20"/>
          <w:szCs w:val="20"/>
        </w:rPr>
        <w:t xml:space="preserve"> </w:t>
      </w:r>
      <w:r w:rsidRPr="006D5ADA">
        <w:rPr>
          <w:sz w:val="20"/>
          <w:szCs w:val="20"/>
        </w:rPr>
        <w:t>Legierung umfassend die Schritte:</w:t>
      </w:r>
    </w:p>
    <w:p w14:paraId="38A0E73E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</w:p>
    <w:p w14:paraId="37959C34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1. </w:t>
      </w:r>
      <w:r w:rsidRPr="006D5ADA">
        <w:rPr>
          <w:sz w:val="20"/>
          <w:szCs w:val="20"/>
        </w:rPr>
        <w:tab/>
        <w:t xml:space="preserve">Schmelzen </w:t>
      </w:r>
      <w:proofErr w:type="gramStart"/>
      <w:r w:rsidRPr="006D5ADA">
        <w:rPr>
          <w:sz w:val="20"/>
          <w:szCs w:val="20"/>
        </w:rPr>
        <w:t>einer Aluminium</w:t>
      </w:r>
      <w:proofErr w:type="gramEnd"/>
      <w:r w:rsidRPr="006D5ADA">
        <w:rPr>
          <w:rFonts w:ascii="Cambria Math" w:hAnsi="Cambria Math" w:cs="Cambria Math"/>
          <w:sz w:val="20"/>
          <w:szCs w:val="20"/>
        </w:rPr>
        <w:t>‑</w:t>
      </w:r>
      <w:r w:rsidRPr="006D5ADA">
        <w:rPr>
          <w:sz w:val="20"/>
          <w:szCs w:val="20"/>
        </w:rPr>
        <w:t>Kupfer</w:t>
      </w:r>
      <w:r w:rsidRPr="006D5ADA">
        <w:rPr>
          <w:rFonts w:ascii="Cambria Math" w:hAnsi="Cambria Math" w:cs="Cambria Math"/>
          <w:sz w:val="20"/>
          <w:szCs w:val="20"/>
        </w:rPr>
        <w:t>‑</w:t>
      </w:r>
      <w:r w:rsidRPr="006D5ADA">
        <w:rPr>
          <w:sz w:val="20"/>
          <w:szCs w:val="20"/>
        </w:rPr>
        <w:t>Magnesium</w:t>
      </w:r>
      <w:r w:rsidRPr="006D5ADA">
        <w:rPr>
          <w:rFonts w:ascii="Cambria Math" w:hAnsi="Cambria Math" w:cs="Cambria Math"/>
          <w:sz w:val="20"/>
          <w:szCs w:val="20"/>
        </w:rPr>
        <w:t>‑</w:t>
      </w:r>
      <w:r w:rsidRPr="006D5ADA">
        <w:rPr>
          <w:sz w:val="20"/>
          <w:szCs w:val="20"/>
        </w:rPr>
        <w:t>Legierung bei 650</w:t>
      </w:r>
      <w:r w:rsidRPr="006D5ADA">
        <w:rPr>
          <w:rFonts w:ascii="Aptos" w:hAnsi="Aptos" w:cs="Aptos"/>
          <w:sz w:val="20"/>
          <w:szCs w:val="20"/>
        </w:rPr>
        <w:t>–</w:t>
      </w:r>
      <w:r w:rsidRPr="006D5ADA">
        <w:rPr>
          <w:sz w:val="20"/>
          <w:szCs w:val="20"/>
        </w:rPr>
        <w:t>700</w:t>
      </w:r>
      <w:r w:rsidRPr="006D5ADA">
        <w:rPr>
          <w:rFonts w:ascii="Arial" w:hAnsi="Arial" w:cs="Arial"/>
          <w:sz w:val="20"/>
          <w:szCs w:val="20"/>
        </w:rPr>
        <w:t> </w:t>
      </w:r>
      <w:r w:rsidRPr="006D5ADA">
        <w:rPr>
          <w:rFonts w:ascii="Aptos" w:hAnsi="Aptos" w:cs="Aptos"/>
          <w:sz w:val="20"/>
          <w:szCs w:val="20"/>
        </w:rPr>
        <w:t>°</w:t>
      </w:r>
      <w:r w:rsidRPr="006D5ADA">
        <w:rPr>
          <w:sz w:val="20"/>
          <w:szCs w:val="20"/>
        </w:rPr>
        <w:t>C,</w:t>
      </w:r>
    </w:p>
    <w:p w14:paraId="0196595A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2. </w:t>
      </w:r>
      <w:r w:rsidRPr="006D5ADA">
        <w:rPr>
          <w:sz w:val="20"/>
          <w:szCs w:val="20"/>
        </w:rPr>
        <w:tab/>
        <w:t>Gießen der Schmelze zu Vorprodukten bei 680–700</w:t>
      </w:r>
      <w:r w:rsidRPr="006D5ADA">
        <w:rPr>
          <w:rFonts w:ascii="Arial" w:hAnsi="Arial" w:cs="Arial"/>
          <w:sz w:val="20"/>
          <w:szCs w:val="20"/>
        </w:rPr>
        <w:t> </w:t>
      </w:r>
      <w:r w:rsidRPr="006D5ADA">
        <w:rPr>
          <w:rFonts w:ascii="Aptos" w:hAnsi="Aptos" w:cs="Aptos"/>
          <w:sz w:val="20"/>
          <w:szCs w:val="20"/>
        </w:rPr>
        <w:t>°</w:t>
      </w:r>
      <w:r w:rsidRPr="006D5ADA">
        <w:rPr>
          <w:sz w:val="20"/>
          <w:szCs w:val="20"/>
        </w:rPr>
        <w:t>C,</w:t>
      </w:r>
    </w:p>
    <w:p w14:paraId="7FEE78BB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3. </w:t>
      </w:r>
      <w:r w:rsidRPr="006D5ADA">
        <w:rPr>
          <w:sz w:val="20"/>
          <w:szCs w:val="20"/>
        </w:rPr>
        <w:tab/>
        <w:t>optionales Homogenisierungsglühen bei 480–520</w:t>
      </w:r>
      <w:r w:rsidRPr="006D5ADA">
        <w:rPr>
          <w:rFonts w:ascii="Arial" w:hAnsi="Arial" w:cs="Arial"/>
          <w:sz w:val="20"/>
          <w:szCs w:val="20"/>
        </w:rPr>
        <w:t> </w:t>
      </w:r>
      <w:r w:rsidRPr="006D5ADA">
        <w:rPr>
          <w:rFonts w:ascii="Aptos" w:hAnsi="Aptos" w:cs="Aptos"/>
          <w:sz w:val="20"/>
          <w:szCs w:val="20"/>
        </w:rPr>
        <w:t>°</w:t>
      </w:r>
      <w:r w:rsidRPr="006D5ADA">
        <w:rPr>
          <w:sz w:val="20"/>
          <w:szCs w:val="20"/>
        </w:rPr>
        <w:t>C f</w:t>
      </w:r>
      <w:r w:rsidRPr="006D5ADA">
        <w:rPr>
          <w:rFonts w:ascii="Aptos" w:hAnsi="Aptos" w:cs="Aptos"/>
          <w:sz w:val="20"/>
          <w:szCs w:val="20"/>
        </w:rPr>
        <w:t>ü</w:t>
      </w:r>
      <w:r w:rsidRPr="006D5ADA">
        <w:rPr>
          <w:sz w:val="20"/>
          <w:szCs w:val="20"/>
        </w:rPr>
        <w:t>r 4</w:t>
      </w:r>
      <w:r w:rsidRPr="006D5ADA">
        <w:rPr>
          <w:rFonts w:ascii="Aptos" w:hAnsi="Aptos" w:cs="Aptos"/>
          <w:sz w:val="20"/>
          <w:szCs w:val="20"/>
        </w:rPr>
        <w:t>–</w:t>
      </w:r>
      <w:r w:rsidRPr="006D5ADA">
        <w:rPr>
          <w:sz w:val="20"/>
          <w:szCs w:val="20"/>
        </w:rPr>
        <w:t>12</w:t>
      </w:r>
      <w:r w:rsidRPr="006D5ADA">
        <w:rPr>
          <w:rFonts w:ascii="Arial" w:hAnsi="Arial" w:cs="Arial"/>
          <w:sz w:val="20"/>
          <w:szCs w:val="20"/>
        </w:rPr>
        <w:t> </w:t>
      </w:r>
      <w:r w:rsidRPr="006D5ADA">
        <w:rPr>
          <w:sz w:val="20"/>
          <w:szCs w:val="20"/>
        </w:rPr>
        <w:t>h,</w:t>
      </w:r>
    </w:p>
    <w:p w14:paraId="7A9A901F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4. </w:t>
      </w:r>
      <w:r w:rsidRPr="006D5ADA">
        <w:rPr>
          <w:sz w:val="20"/>
          <w:szCs w:val="20"/>
        </w:rPr>
        <w:tab/>
        <w:t>Warmumformung der Vorprodukte bei 400–450</w:t>
      </w:r>
      <w:r w:rsidRPr="006D5ADA">
        <w:rPr>
          <w:rFonts w:ascii="Arial" w:hAnsi="Arial" w:cs="Arial"/>
          <w:sz w:val="20"/>
          <w:szCs w:val="20"/>
        </w:rPr>
        <w:t> </w:t>
      </w:r>
      <w:r w:rsidRPr="006D5ADA">
        <w:rPr>
          <w:rFonts w:ascii="Aptos" w:hAnsi="Aptos" w:cs="Aptos"/>
          <w:sz w:val="20"/>
          <w:szCs w:val="20"/>
        </w:rPr>
        <w:t>°</w:t>
      </w:r>
      <w:r w:rsidRPr="006D5ADA">
        <w:rPr>
          <w:sz w:val="20"/>
          <w:szCs w:val="20"/>
        </w:rPr>
        <w:t>C,</w:t>
      </w:r>
    </w:p>
    <w:p w14:paraId="1697FA1D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5. </w:t>
      </w:r>
      <w:r w:rsidRPr="006D5ADA">
        <w:rPr>
          <w:sz w:val="20"/>
          <w:szCs w:val="20"/>
        </w:rPr>
        <w:tab/>
        <w:t>Lösungsglühen bei 500–520</w:t>
      </w:r>
      <w:r w:rsidRPr="006D5ADA">
        <w:rPr>
          <w:rFonts w:ascii="Arial" w:hAnsi="Arial" w:cs="Arial"/>
          <w:sz w:val="20"/>
          <w:szCs w:val="20"/>
        </w:rPr>
        <w:t> </w:t>
      </w:r>
      <w:r w:rsidRPr="006D5ADA">
        <w:rPr>
          <w:rFonts w:ascii="Aptos" w:hAnsi="Aptos" w:cs="Aptos"/>
          <w:sz w:val="20"/>
          <w:szCs w:val="20"/>
        </w:rPr>
        <w:t>°</w:t>
      </w:r>
      <w:r w:rsidRPr="006D5ADA">
        <w:rPr>
          <w:sz w:val="20"/>
          <w:szCs w:val="20"/>
        </w:rPr>
        <w:t>C f</w:t>
      </w:r>
      <w:r w:rsidRPr="006D5ADA">
        <w:rPr>
          <w:rFonts w:ascii="Aptos" w:hAnsi="Aptos" w:cs="Aptos"/>
          <w:sz w:val="20"/>
          <w:szCs w:val="20"/>
        </w:rPr>
        <w:t>ü</w:t>
      </w:r>
      <w:r w:rsidRPr="006D5ADA">
        <w:rPr>
          <w:sz w:val="20"/>
          <w:szCs w:val="20"/>
        </w:rPr>
        <w:t>r 30</w:t>
      </w:r>
      <w:r w:rsidRPr="006D5ADA">
        <w:rPr>
          <w:rFonts w:ascii="Aptos" w:hAnsi="Aptos" w:cs="Aptos"/>
          <w:sz w:val="20"/>
          <w:szCs w:val="20"/>
        </w:rPr>
        <w:t>–</w:t>
      </w:r>
      <w:r w:rsidRPr="006D5ADA">
        <w:rPr>
          <w:sz w:val="20"/>
          <w:szCs w:val="20"/>
        </w:rPr>
        <w:t>90</w:t>
      </w:r>
      <w:r w:rsidRPr="006D5ADA">
        <w:rPr>
          <w:rFonts w:ascii="Arial" w:hAnsi="Arial" w:cs="Arial"/>
          <w:sz w:val="20"/>
          <w:szCs w:val="20"/>
        </w:rPr>
        <w:t> </w:t>
      </w:r>
      <w:r w:rsidRPr="006D5ADA">
        <w:rPr>
          <w:sz w:val="20"/>
          <w:szCs w:val="20"/>
        </w:rPr>
        <w:t>min,</w:t>
      </w:r>
    </w:p>
    <w:p w14:paraId="5F62DFF5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6. </w:t>
      </w:r>
      <w:r w:rsidRPr="006D5ADA">
        <w:rPr>
          <w:sz w:val="20"/>
          <w:szCs w:val="20"/>
        </w:rPr>
        <w:tab/>
        <w:t>Abschrecken in Wasser oder Luft zur Erzeugung eines übersättigten Mischkristalls,</w:t>
      </w:r>
    </w:p>
    <w:p w14:paraId="53CC0E1B" w14:textId="77777777" w:rsid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7. </w:t>
      </w:r>
      <w:r w:rsidRPr="006D5ADA">
        <w:rPr>
          <w:sz w:val="20"/>
          <w:szCs w:val="20"/>
        </w:rPr>
        <w:tab/>
        <w:t>künstliches Altern / Überaltern bei 150–200</w:t>
      </w:r>
      <w:r w:rsidRPr="006D5ADA">
        <w:rPr>
          <w:rFonts w:ascii="Arial" w:hAnsi="Arial" w:cs="Arial"/>
          <w:sz w:val="20"/>
          <w:szCs w:val="20"/>
        </w:rPr>
        <w:t> </w:t>
      </w:r>
      <w:r w:rsidRPr="006D5ADA">
        <w:rPr>
          <w:rFonts w:ascii="Aptos" w:hAnsi="Aptos" w:cs="Aptos"/>
          <w:sz w:val="20"/>
          <w:szCs w:val="20"/>
        </w:rPr>
        <w:t>°</w:t>
      </w:r>
      <w:r w:rsidRPr="006D5ADA">
        <w:rPr>
          <w:sz w:val="20"/>
          <w:szCs w:val="20"/>
        </w:rPr>
        <w:t>C f</w:t>
      </w:r>
      <w:r w:rsidRPr="006D5ADA">
        <w:rPr>
          <w:rFonts w:ascii="Aptos" w:hAnsi="Aptos" w:cs="Aptos"/>
          <w:sz w:val="20"/>
          <w:szCs w:val="20"/>
        </w:rPr>
        <w:t>ü</w:t>
      </w:r>
      <w:r w:rsidRPr="006D5ADA">
        <w:rPr>
          <w:sz w:val="20"/>
          <w:szCs w:val="20"/>
        </w:rPr>
        <w:t>r 4</w:t>
      </w:r>
      <w:r w:rsidRPr="006D5ADA">
        <w:rPr>
          <w:rFonts w:ascii="Aptos" w:hAnsi="Aptos" w:cs="Aptos"/>
          <w:sz w:val="20"/>
          <w:szCs w:val="20"/>
        </w:rPr>
        <w:t>–</w:t>
      </w:r>
      <w:r w:rsidRPr="006D5ADA">
        <w:rPr>
          <w:sz w:val="20"/>
          <w:szCs w:val="20"/>
        </w:rPr>
        <w:t>12</w:t>
      </w:r>
      <w:r w:rsidRPr="006D5ADA">
        <w:rPr>
          <w:rFonts w:ascii="Arial" w:hAnsi="Arial" w:cs="Arial"/>
          <w:sz w:val="20"/>
          <w:szCs w:val="20"/>
        </w:rPr>
        <w:t> </w:t>
      </w:r>
      <w:r w:rsidRPr="006D5ADA">
        <w:rPr>
          <w:sz w:val="20"/>
          <w:szCs w:val="20"/>
        </w:rPr>
        <w:t>h zur Einstellung der gew</w:t>
      </w:r>
      <w:r w:rsidRPr="006D5ADA">
        <w:rPr>
          <w:rFonts w:ascii="Aptos" w:hAnsi="Aptos" w:cs="Aptos"/>
          <w:sz w:val="20"/>
          <w:szCs w:val="20"/>
        </w:rPr>
        <w:t>ü</w:t>
      </w:r>
      <w:r w:rsidRPr="006D5ADA">
        <w:rPr>
          <w:sz w:val="20"/>
          <w:szCs w:val="20"/>
        </w:rPr>
        <w:t>nschten</w:t>
      </w:r>
    </w:p>
    <w:p w14:paraId="544732D3" w14:textId="77777777" w:rsidR="006D5ADA" w:rsidRDefault="006D5ADA" w:rsidP="006D5ADA">
      <w:pPr>
        <w:ind w:left="357" w:firstLine="0"/>
        <w:rPr>
          <w:sz w:val="20"/>
          <w:szCs w:val="20"/>
        </w:rPr>
      </w:pPr>
    </w:p>
    <w:p w14:paraId="7A90F44F" w14:textId="5645F14E" w:rsidR="006D5ADA" w:rsidRDefault="006D5ADA" w:rsidP="006D5ADA">
      <w:pPr>
        <w:ind w:left="357" w:firstLine="0"/>
        <w:rPr>
          <w:sz w:val="20"/>
          <w:szCs w:val="20"/>
        </w:rPr>
      </w:pPr>
      <w:r w:rsidRPr="006D5ADA">
        <w:rPr>
          <w:sz w:val="20"/>
          <w:szCs w:val="20"/>
        </w:rPr>
        <w:t xml:space="preserve"> Kombination aus elektrischer Leitf</w:t>
      </w:r>
      <w:r w:rsidRPr="006D5ADA">
        <w:rPr>
          <w:rFonts w:ascii="Aptos" w:hAnsi="Aptos" w:cs="Aptos"/>
          <w:sz w:val="20"/>
          <w:szCs w:val="20"/>
        </w:rPr>
        <w:t>ä</w:t>
      </w:r>
      <w:r w:rsidRPr="006D5ADA">
        <w:rPr>
          <w:sz w:val="20"/>
          <w:szCs w:val="20"/>
        </w:rPr>
        <w:t>higkeit und mechanischer Festigkeit.</w:t>
      </w:r>
    </w:p>
    <w:p w14:paraId="45CD3873" w14:textId="77777777" w:rsidR="006D5ADA" w:rsidRDefault="006D5ADA" w:rsidP="006D5ADA">
      <w:pPr>
        <w:ind w:left="357" w:firstLine="0"/>
        <w:rPr>
          <w:sz w:val="20"/>
          <w:szCs w:val="20"/>
        </w:rPr>
      </w:pPr>
    </w:p>
    <w:p w14:paraId="0689227A" w14:textId="77777777" w:rsidR="006D5ADA" w:rsidRPr="006D5ADA" w:rsidRDefault="006D5ADA" w:rsidP="006D5ADA">
      <w:pPr>
        <w:ind w:left="357" w:firstLine="0"/>
        <w:rPr>
          <w:sz w:val="20"/>
          <w:szCs w:val="20"/>
        </w:rPr>
      </w:pPr>
    </w:p>
    <w:sectPr w:rsidR="006D5ADA" w:rsidRPr="006D5A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447"/>
    <w:rsid w:val="00025262"/>
    <w:rsid w:val="00067BE5"/>
    <w:rsid w:val="001B2A77"/>
    <w:rsid w:val="00257FFB"/>
    <w:rsid w:val="00474305"/>
    <w:rsid w:val="00552657"/>
    <w:rsid w:val="006D5ADA"/>
    <w:rsid w:val="00702879"/>
    <w:rsid w:val="007807DD"/>
    <w:rsid w:val="007C2DB3"/>
    <w:rsid w:val="00A6391E"/>
    <w:rsid w:val="00A941B1"/>
    <w:rsid w:val="00B84253"/>
    <w:rsid w:val="00BD65D8"/>
    <w:rsid w:val="00D921F3"/>
    <w:rsid w:val="00DA3447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0A895"/>
  <w15:chartTrackingRefBased/>
  <w15:docId w15:val="{DD470070-AFDD-4A36-B964-AD9703F12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A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3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3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34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34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34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34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3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3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3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34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34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34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34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34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34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3447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34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34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34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34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3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344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3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4</cp:revision>
  <dcterms:created xsi:type="dcterms:W3CDTF">2026-02-09T23:20:00Z</dcterms:created>
  <dcterms:modified xsi:type="dcterms:W3CDTF">2026-02-10T00:30:00Z</dcterms:modified>
</cp:coreProperties>
</file>