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CC4FC" w14:textId="77777777" w:rsidR="00463E3E" w:rsidRPr="00463E3E" w:rsidRDefault="00463E3E" w:rsidP="00463E3E">
      <w:pPr>
        <w:rPr>
          <w:b/>
          <w:bCs/>
          <w:lang w:val="en-US"/>
        </w:rPr>
      </w:pPr>
      <w:r w:rsidRPr="00463E3E">
        <w:rPr>
          <w:b/>
          <w:bCs/>
          <w:lang w:val="en-US"/>
        </w:rPr>
        <w:t>Patent-Ready Process Description: LEA-Cu-Mg-Al Hyper-Alloy</w:t>
      </w:r>
    </w:p>
    <w:p w14:paraId="024A7B3D" w14:textId="77777777" w:rsidR="00463E3E" w:rsidRDefault="00463E3E" w:rsidP="00463E3E">
      <w:pPr>
        <w:rPr>
          <w:b/>
          <w:bCs/>
          <w:sz w:val="22"/>
          <w:szCs w:val="22"/>
          <w:lang w:val="en-US"/>
        </w:rPr>
      </w:pPr>
    </w:p>
    <w:p w14:paraId="2CBDBBCF" w14:textId="0B9F88A9" w:rsidR="00463E3E" w:rsidRPr="00463E3E" w:rsidRDefault="00463E3E" w:rsidP="00463E3E">
      <w:pPr>
        <w:rPr>
          <w:b/>
          <w:bCs/>
          <w:sz w:val="22"/>
          <w:szCs w:val="22"/>
          <w:lang w:val="en-US"/>
        </w:rPr>
      </w:pPr>
      <w:r w:rsidRPr="00463E3E">
        <w:rPr>
          <w:b/>
          <w:bCs/>
          <w:sz w:val="22"/>
          <w:szCs w:val="22"/>
          <w:lang w:val="en-US"/>
        </w:rPr>
        <w:t>Title:</w:t>
      </w:r>
    </w:p>
    <w:p w14:paraId="05DAB9E3" w14:textId="77777777" w:rsidR="00463E3E" w:rsidRPr="00463E3E" w:rsidRDefault="00463E3E" w:rsidP="00463E3E">
      <w:pPr>
        <w:ind w:left="357" w:firstLine="0"/>
        <w:rPr>
          <w:sz w:val="20"/>
          <w:szCs w:val="20"/>
          <w:lang w:val="en-US"/>
        </w:rPr>
      </w:pPr>
      <w:r w:rsidRPr="00463E3E">
        <w:rPr>
          <w:sz w:val="20"/>
          <w:szCs w:val="20"/>
          <w:lang w:val="en-US"/>
        </w:rPr>
        <w:t>Method for Producing a Conductive Aluminum-Copper-Magnesium Alloy with Tunable Mechanical and Electrical Properties</w:t>
      </w:r>
    </w:p>
    <w:p w14:paraId="3319EA18" w14:textId="77777777" w:rsidR="00463E3E" w:rsidRPr="00463E3E" w:rsidRDefault="00463E3E" w:rsidP="00463E3E">
      <w:pPr>
        <w:rPr>
          <w:lang w:val="en-US"/>
        </w:rPr>
      </w:pPr>
    </w:p>
    <w:p w14:paraId="04367024" w14:textId="77777777" w:rsidR="00463E3E" w:rsidRPr="00463E3E" w:rsidRDefault="00463E3E" w:rsidP="00463E3E">
      <w:pPr>
        <w:rPr>
          <w:b/>
          <w:bCs/>
          <w:lang w:val="en-US"/>
        </w:rPr>
      </w:pPr>
      <w:r w:rsidRPr="00463E3E">
        <w:rPr>
          <w:b/>
          <w:bCs/>
          <w:lang w:val="en-US"/>
        </w:rPr>
        <w:t>Abstract (optional):</w:t>
      </w:r>
    </w:p>
    <w:p w14:paraId="3778CB41" w14:textId="77777777" w:rsidR="00463E3E" w:rsidRPr="00463E3E" w:rsidRDefault="00463E3E" w:rsidP="00463E3E">
      <w:pPr>
        <w:ind w:left="357" w:firstLine="0"/>
        <w:rPr>
          <w:sz w:val="20"/>
          <w:szCs w:val="20"/>
          <w:lang w:val="en-US"/>
        </w:rPr>
      </w:pPr>
      <w:r w:rsidRPr="00463E3E">
        <w:rPr>
          <w:sz w:val="20"/>
          <w:szCs w:val="20"/>
          <w:lang w:val="en-US"/>
        </w:rPr>
        <w:t>The invention relates to a method for producing a conductive aluminum-based alloy comprising copper and magnesium, designed to achieve a balance between electrical conductivity and mechanical strength. The process includes controlled melting, casting, thermal homogenization, deformation, solution treatment, quenching, and artificial aging, with defined temperature and time windows to tailor alloy performance.</w:t>
      </w:r>
    </w:p>
    <w:p w14:paraId="301A3C9A" w14:textId="77777777" w:rsidR="00463E3E" w:rsidRPr="00463E3E" w:rsidRDefault="00463E3E" w:rsidP="00463E3E">
      <w:pPr>
        <w:rPr>
          <w:lang w:val="en-US"/>
        </w:rPr>
      </w:pPr>
    </w:p>
    <w:p w14:paraId="7993BE6D" w14:textId="77777777" w:rsidR="00463E3E" w:rsidRDefault="00463E3E" w:rsidP="00463E3E">
      <w:pPr>
        <w:rPr>
          <w:b/>
          <w:bCs/>
          <w:sz w:val="20"/>
          <w:szCs w:val="20"/>
          <w:lang w:val="en-US"/>
        </w:rPr>
      </w:pPr>
      <w:r w:rsidRPr="00463E3E">
        <w:rPr>
          <w:b/>
          <w:bCs/>
          <w:sz w:val="20"/>
          <w:szCs w:val="20"/>
          <w:lang w:val="en-US"/>
        </w:rPr>
        <w:t>Process Claims (formal language):</w:t>
      </w:r>
    </w:p>
    <w:p w14:paraId="638DD1DE" w14:textId="77777777" w:rsidR="00463E3E" w:rsidRPr="00463E3E" w:rsidRDefault="00463E3E" w:rsidP="00463E3E">
      <w:pPr>
        <w:rPr>
          <w:b/>
          <w:bCs/>
          <w:sz w:val="20"/>
          <w:szCs w:val="20"/>
          <w:lang w:val="en-US"/>
        </w:rPr>
      </w:pPr>
    </w:p>
    <w:p w14:paraId="33FD5DAD" w14:textId="77777777" w:rsidR="00463E3E" w:rsidRPr="00463E3E" w:rsidRDefault="00463E3E" w:rsidP="00463E3E">
      <w:pPr>
        <w:rPr>
          <w:b/>
          <w:bCs/>
          <w:sz w:val="20"/>
          <w:szCs w:val="20"/>
          <w:lang w:val="en-US"/>
        </w:rPr>
      </w:pPr>
      <w:r w:rsidRPr="00463E3E">
        <w:rPr>
          <w:b/>
          <w:bCs/>
          <w:sz w:val="20"/>
          <w:szCs w:val="20"/>
          <w:lang w:val="en-US"/>
        </w:rPr>
        <w:t>Claim 1:</w:t>
      </w:r>
    </w:p>
    <w:p w14:paraId="19FF75EA" w14:textId="77777777" w:rsidR="00463E3E" w:rsidRPr="00463E3E" w:rsidRDefault="00463E3E" w:rsidP="00463E3E">
      <w:pPr>
        <w:ind w:left="357" w:firstLine="0"/>
        <w:rPr>
          <w:sz w:val="20"/>
          <w:szCs w:val="20"/>
          <w:lang w:val="en-US"/>
        </w:rPr>
      </w:pPr>
      <w:r w:rsidRPr="00463E3E">
        <w:rPr>
          <w:sz w:val="20"/>
          <w:szCs w:val="20"/>
          <w:lang w:val="en-US"/>
        </w:rPr>
        <w:t>A method for producing a conductive aluminum-copper-magnesium alloy, comprising the steps of:</w:t>
      </w:r>
    </w:p>
    <w:p w14:paraId="03801292" w14:textId="77777777" w:rsidR="00463E3E" w:rsidRPr="00463E3E" w:rsidRDefault="00463E3E" w:rsidP="00463E3E">
      <w:pPr>
        <w:rPr>
          <w:lang w:val="en-US"/>
        </w:rPr>
      </w:pPr>
    </w:p>
    <w:p w14:paraId="785B5118" w14:textId="77777777" w:rsidR="00463E3E" w:rsidRPr="00463E3E" w:rsidRDefault="00463E3E" w:rsidP="00463E3E">
      <w:pPr>
        <w:rPr>
          <w:sz w:val="20"/>
          <w:szCs w:val="20"/>
          <w:lang w:val="en-US"/>
        </w:rPr>
      </w:pPr>
      <w:r w:rsidRPr="00463E3E">
        <w:rPr>
          <w:sz w:val="20"/>
          <w:szCs w:val="20"/>
          <w:lang w:val="en-US"/>
        </w:rPr>
        <w:t xml:space="preserve">- Melting a composition consisting of 93.5–96.5 </w:t>
      </w:r>
      <w:proofErr w:type="spellStart"/>
      <w:r w:rsidRPr="00463E3E">
        <w:rPr>
          <w:sz w:val="20"/>
          <w:szCs w:val="20"/>
          <w:lang w:val="en-US"/>
        </w:rPr>
        <w:t>wt</w:t>
      </w:r>
      <w:proofErr w:type="spellEnd"/>
      <w:r w:rsidRPr="00463E3E">
        <w:rPr>
          <w:sz w:val="20"/>
          <w:szCs w:val="20"/>
          <w:lang w:val="en-US"/>
        </w:rPr>
        <w:t xml:space="preserve">% aluminum, 1.5–3.5 </w:t>
      </w:r>
      <w:proofErr w:type="spellStart"/>
      <w:r w:rsidRPr="00463E3E">
        <w:rPr>
          <w:sz w:val="20"/>
          <w:szCs w:val="20"/>
          <w:lang w:val="en-US"/>
        </w:rPr>
        <w:t>wt</w:t>
      </w:r>
      <w:proofErr w:type="spellEnd"/>
      <w:r w:rsidRPr="00463E3E">
        <w:rPr>
          <w:sz w:val="20"/>
          <w:szCs w:val="20"/>
          <w:lang w:val="en-US"/>
        </w:rPr>
        <w:t xml:space="preserve">% copper, 1.0–2.0 </w:t>
      </w:r>
      <w:proofErr w:type="spellStart"/>
      <w:r w:rsidRPr="00463E3E">
        <w:rPr>
          <w:sz w:val="20"/>
          <w:szCs w:val="20"/>
          <w:lang w:val="en-US"/>
        </w:rPr>
        <w:t>wt</w:t>
      </w:r>
      <w:proofErr w:type="spellEnd"/>
      <w:r w:rsidRPr="00463E3E">
        <w:rPr>
          <w:sz w:val="20"/>
          <w:szCs w:val="20"/>
          <w:lang w:val="en-US"/>
        </w:rPr>
        <w:t xml:space="preserve">% magnesium, and ≤0.2 </w:t>
      </w:r>
      <w:proofErr w:type="spellStart"/>
      <w:r w:rsidRPr="00463E3E">
        <w:rPr>
          <w:sz w:val="20"/>
          <w:szCs w:val="20"/>
          <w:lang w:val="en-US"/>
        </w:rPr>
        <w:t>wt</w:t>
      </w:r>
      <w:proofErr w:type="spellEnd"/>
      <w:r w:rsidRPr="00463E3E">
        <w:rPr>
          <w:sz w:val="20"/>
          <w:szCs w:val="20"/>
          <w:lang w:val="en-US"/>
        </w:rPr>
        <w:t>% trace elements, at a temperature between 650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and 700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w:t>
      </w:r>
    </w:p>
    <w:p w14:paraId="220B744A" w14:textId="77777777" w:rsidR="00463E3E" w:rsidRPr="00463E3E" w:rsidRDefault="00463E3E" w:rsidP="00463E3E">
      <w:pPr>
        <w:rPr>
          <w:lang w:val="en-US"/>
        </w:rPr>
      </w:pPr>
    </w:p>
    <w:p w14:paraId="624303AC" w14:textId="77777777" w:rsidR="00463E3E" w:rsidRPr="00463E3E" w:rsidRDefault="00463E3E" w:rsidP="00463E3E">
      <w:pPr>
        <w:rPr>
          <w:sz w:val="20"/>
          <w:szCs w:val="20"/>
          <w:lang w:val="en-US"/>
        </w:rPr>
      </w:pPr>
      <w:r w:rsidRPr="00463E3E">
        <w:rPr>
          <w:sz w:val="20"/>
          <w:szCs w:val="20"/>
          <w:lang w:val="en-US"/>
        </w:rPr>
        <w:t>- Casting the molten alloy into billets or ingots at a temperature between 680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and 700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w:t>
      </w:r>
    </w:p>
    <w:p w14:paraId="37A4C25A" w14:textId="77777777" w:rsidR="00463E3E" w:rsidRPr="00463E3E" w:rsidRDefault="00463E3E" w:rsidP="00463E3E">
      <w:pPr>
        <w:rPr>
          <w:lang w:val="en-US"/>
        </w:rPr>
      </w:pPr>
    </w:p>
    <w:p w14:paraId="3FF0C45C" w14:textId="77777777" w:rsidR="00463E3E" w:rsidRPr="00463E3E" w:rsidRDefault="00463E3E" w:rsidP="00463E3E">
      <w:pPr>
        <w:rPr>
          <w:sz w:val="20"/>
          <w:szCs w:val="20"/>
          <w:lang w:val="en-US"/>
        </w:rPr>
      </w:pPr>
      <w:r w:rsidRPr="00463E3E">
        <w:rPr>
          <w:sz w:val="20"/>
          <w:szCs w:val="20"/>
          <w:lang w:val="en-US"/>
        </w:rPr>
        <w:t>- Optionally performing homogenization annealing at 480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to 520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for a duration of 4 to 12 hours;</w:t>
      </w:r>
    </w:p>
    <w:p w14:paraId="6C917A83" w14:textId="77777777" w:rsidR="00463E3E" w:rsidRPr="00463E3E" w:rsidRDefault="00463E3E" w:rsidP="00463E3E">
      <w:pPr>
        <w:rPr>
          <w:sz w:val="20"/>
          <w:szCs w:val="20"/>
          <w:lang w:val="en-US"/>
        </w:rPr>
      </w:pPr>
    </w:p>
    <w:p w14:paraId="12A9E653" w14:textId="77777777" w:rsidR="00463E3E" w:rsidRPr="00463E3E" w:rsidRDefault="00463E3E" w:rsidP="00463E3E">
      <w:pPr>
        <w:rPr>
          <w:sz w:val="20"/>
          <w:szCs w:val="20"/>
          <w:lang w:val="en-US"/>
        </w:rPr>
      </w:pPr>
      <w:r w:rsidRPr="00463E3E">
        <w:rPr>
          <w:sz w:val="20"/>
          <w:szCs w:val="20"/>
          <w:lang w:val="en-US"/>
        </w:rPr>
        <w:t>- Hot forming the cast alloy by extrusion or rolling at a temperature between 400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and 450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w:t>
      </w:r>
    </w:p>
    <w:p w14:paraId="746DFB95" w14:textId="77777777" w:rsidR="00463E3E" w:rsidRPr="00463E3E" w:rsidRDefault="00463E3E" w:rsidP="00463E3E">
      <w:pPr>
        <w:rPr>
          <w:sz w:val="20"/>
          <w:szCs w:val="20"/>
          <w:lang w:val="en-US"/>
        </w:rPr>
      </w:pPr>
    </w:p>
    <w:p w14:paraId="1AF5BD05" w14:textId="77777777" w:rsidR="00463E3E" w:rsidRDefault="00463E3E" w:rsidP="00463E3E">
      <w:pPr>
        <w:rPr>
          <w:sz w:val="20"/>
          <w:szCs w:val="20"/>
          <w:lang w:val="en-US"/>
        </w:rPr>
      </w:pPr>
      <w:r w:rsidRPr="00463E3E">
        <w:rPr>
          <w:sz w:val="20"/>
          <w:szCs w:val="20"/>
          <w:lang w:val="en-US"/>
        </w:rPr>
        <w:t>- Subjecting the formed alloy to solution heat treatment at 500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to 520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for 30 to 90 minutes;</w:t>
      </w:r>
    </w:p>
    <w:p w14:paraId="08565528" w14:textId="77777777" w:rsidR="00463E3E" w:rsidRPr="00463E3E" w:rsidRDefault="00463E3E" w:rsidP="00463E3E">
      <w:pPr>
        <w:rPr>
          <w:sz w:val="20"/>
          <w:szCs w:val="20"/>
          <w:lang w:val="en-US"/>
        </w:rPr>
      </w:pPr>
    </w:p>
    <w:p w14:paraId="60612B80" w14:textId="4DDCF170" w:rsidR="00463E3E" w:rsidRDefault="00463E3E" w:rsidP="00463E3E">
      <w:pPr>
        <w:ind w:left="0" w:firstLine="357"/>
        <w:rPr>
          <w:sz w:val="20"/>
          <w:szCs w:val="20"/>
          <w:lang w:val="en-US"/>
        </w:rPr>
      </w:pPr>
      <w:r w:rsidRPr="00463E3E">
        <w:rPr>
          <w:sz w:val="20"/>
          <w:szCs w:val="20"/>
          <w:lang w:val="en-US"/>
        </w:rPr>
        <w:t>- Quenching the alloy in water or air to retain a supersaturated solid solution;</w:t>
      </w:r>
    </w:p>
    <w:p w14:paraId="6A8E483E" w14:textId="77777777" w:rsidR="00463E3E" w:rsidRPr="00463E3E" w:rsidRDefault="00463E3E" w:rsidP="00463E3E">
      <w:pPr>
        <w:ind w:left="0" w:firstLine="357"/>
        <w:rPr>
          <w:sz w:val="20"/>
          <w:szCs w:val="20"/>
          <w:lang w:val="en-US"/>
        </w:rPr>
      </w:pPr>
    </w:p>
    <w:p w14:paraId="0ACEC0AB" w14:textId="77777777" w:rsidR="00463E3E" w:rsidRPr="00463E3E" w:rsidRDefault="00463E3E" w:rsidP="00463E3E">
      <w:pPr>
        <w:rPr>
          <w:sz w:val="20"/>
          <w:szCs w:val="20"/>
          <w:lang w:val="en-US"/>
        </w:rPr>
      </w:pPr>
      <w:r w:rsidRPr="00463E3E">
        <w:rPr>
          <w:sz w:val="20"/>
          <w:szCs w:val="20"/>
          <w:lang w:val="en-US"/>
        </w:rPr>
        <w:t>- Performing artificial aging at 150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to 200</w:t>
      </w:r>
      <w:r w:rsidRPr="00463E3E">
        <w:rPr>
          <w:rFonts w:ascii="Arial" w:hAnsi="Arial" w:cs="Arial"/>
          <w:sz w:val="20"/>
          <w:szCs w:val="20"/>
          <w:lang w:val="en-US"/>
        </w:rPr>
        <w:t> </w:t>
      </w:r>
      <w:r w:rsidRPr="00463E3E">
        <w:rPr>
          <w:rFonts w:ascii="Aptos" w:hAnsi="Aptos" w:cs="Aptos"/>
          <w:sz w:val="20"/>
          <w:szCs w:val="20"/>
          <w:lang w:val="en-US"/>
        </w:rPr>
        <w:t>°</w:t>
      </w:r>
      <w:r w:rsidRPr="00463E3E">
        <w:rPr>
          <w:sz w:val="20"/>
          <w:szCs w:val="20"/>
          <w:lang w:val="en-US"/>
        </w:rPr>
        <w:t>C for 4 to 12 hours to adjust the balance between electrical conductivity and mechanical strength.</w:t>
      </w:r>
    </w:p>
    <w:p w14:paraId="38C21A91" w14:textId="77777777" w:rsidR="00463E3E" w:rsidRPr="00463E3E" w:rsidRDefault="00463E3E" w:rsidP="00463E3E">
      <w:pPr>
        <w:rPr>
          <w:sz w:val="20"/>
          <w:szCs w:val="20"/>
          <w:lang w:val="en-US"/>
        </w:rPr>
      </w:pPr>
    </w:p>
    <w:p w14:paraId="0981FA3B" w14:textId="77777777" w:rsidR="00463E3E" w:rsidRPr="00463E3E" w:rsidRDefault="00463E3E" w:rsidP="00463E3E">
      <w:pPr>
        <w:rPr>
          <w:sz w:val="20"/>
          <w:szCs w:val="20"/>
          <w:lang w:val="en-US"/>
        </w:rPr>
      </w:pPr>
      <w:r w:rsidRPr="00463E3E">
        <w:rPr>
          <w:sz w:val="20"/>
          <w:szCs w:val="20"/>
          <w:lang w:val="en-US"/>
        </w:rPr>
        <w:t>Technical Description (for specification section):</w:t>
      </w:r>
    </w:p>
    <w:p w14:paraId="7805F639" w14:textId="77777777" w:rsidR="00463E3E" w:rsidRPr="00463E3E" w:rsidRDefault="00463E3E" w:rsidP="00463E3E">
      <w:pPr>
        <w:rPr>
          <w:sz w:val="20"/>
          <w:szCs w:val="20"/>
          <w:lang w:val="en-US"/>
        </w:rPr>
      </w:pPr>
      <w:r w:rsidRPr="00463E3E">
        <w:rPr>
          <w:sz w:val="20"/>
          <w:szCs w:val="20"/>
          <w:lang w:val="en-US"/>
        </w:rPr>
        <w:t xml:space="preserve">The process enables the production of a hyper-conductive aluminum alloy with tunable properties by adjusting copper and magnesium content and thermal </w:t>
      </w:r>
    </w:p>
    <w:p w14:paraId="4FD11B27" w14:textId="77777777" w:rsidR="00463E3E" w:rsidRDefault="00463E3E" w:rsidP="00463E3E">
      <w:pPr>
        <w:rPr>
          <w:lang w:val="en-US"/>
        </w:rPr>
      </w:pPr>
    </w:p>
    <w:p w14:paraId="68D1165A" w14:textId="77777777" w:rsidR="00463E3E" w:rsidRDefault="00463E3E" w:rsidP="00463E3E">
      <w:pPr>
        <w:rPr>
          <w:lang w:val="en-US"/>
        </w:rPr>
      </w:pPr>
    </w:p>
    <w:p w14:paraId="7476888B" w14:textId="77777777" w:rsidR="00463E3E" w:rsidRDefault="00463E3E" w:rsidP="00463E3E">
      <w:pPr>
        <w:rPr>
          <w:lang w:val="en-US"/>
        </w:rPr>
      </w:pPr>
    </w:p>
    <w:p w14:paraId="5A695CD5" w14:textId="3853732E" w:rsidR="00463E3E" w:rsidRPr="00463E3E" w:rsidRDefault="00463E3E" w:rsidP="00463E3E">
      <w:pPr>
        <w:rPr>
          <w:sz w:val="20"/>
          <w:szCs w:val="20"/>
          <w:lang w:val="en-US"/>
        </w:rPr>
      </w:pPr>
      <w:r w:rsidRPr="00463E3E">
        <w:rPr>
          <w:sz w:val="20"/>
          <w:szCs w:val="20"/>
          <w:lang w:val="en-US"/>
        </w:rPr>
        <w:t>treatment parameters. The artificial aging step may be optimized for either:</w:t>
      </w:r>
    </w:p>
    <w:p w14:paraId="1FB54377" w14:textId="77777777" w:rsidR="00463E3E" w:rsidRPr="00463E3E" w:rsidRDefault="00463E3E" w:rsidP="00463E3E">
      <w:pPr>
        <w:rPr>
          <w:sz w:val="20"/>
          <w:szCs w:val="20"/>
          <w:lang w:val="en-US"/>
        </w:rPr>
      </w:pPr>
    </w:p>
    <w:p w14:paraId="171B4873" w14:textId="77777777" w:rsidR="00463E3E" w:rsidRPr="00463E3E" w:rsidRDefault="00463E3E" w:rsidP="00463E3E">
      <w:pPr>
        <w:rPr>
          <w:sz w:val="20"/>
          <w:szCs w:val="20"/>
          <w:lang w:val="en-US"/>
        </w:rPr>
      </w:pPr>
      <w:r w:rsidRPr="00463E3E">
        <w:rPr>
          <w:sz w:val="20"/>
          <w:szCs w:val="20"/>
          <w:lang w:val="en-US"/>
        </w:rPr>
        <w:t>- High-conductivity grade (LEA-90): longer aging time and higher temperature to reduce precipitate density and maximize electron mobility;</w:t>
      </w:r>
    </w:p>
    <w:p w14:paraId="332C496F" w14:textId="77777777" w:rsidR="00463E3E" w:rsidRPr="00463E3E" w:rsidRDefault="00463E3E" w:rsidP="00463E3E">
      <w:pPr>
        <w:rPr>
          <w:sz w:val="20"/>
          <w:szCs w:val="20"/>
          <w:lang w:val="en-US"/>
        </w:rPr>
      </w:pPr>
    </w:p>
    <w:p w14:paraId="0CB71AEE" w14:textId="77777777" w:rsidR="00463E3E" w:rsidRPr="00463E3E" w:rsidRDefault="00463E3E" w:rsidP="00463E3E">
      <w:pPr>
        <w:rPr>
          <w:sz w:val="20"/>
          <w:szCs w:val="20"/>
          <w:lang w:val="en-US"/>
        </w:rPr>
      </w:pPr>
      <w:r w:rsidRPr="00463E3E">
        <w:rPr>
          <w:sz w:val="20"/>
          <w:szCs w:val="20"/>
          <w:lang w:val="en-US"/>
        </w:rPr>
        <w:t>- Balanced grade (LEA-100): intermediate aging conditions for dual performance;</w:t>
      </w:r>
    </w:p>
    <w:p w14:paraId="5F7328D6" w14:textId="77777777" w:rsidR="00463E3E" w:rsidRDefault="00463E3E" w:rsidP="00463E3E">
      <w:pPr>
        <w:rPr>
          <w:lang w:val="en-US"/>
        </w:rPr>
      </w:pPr>
    </w:p>
    <w:p w14:paraId="6790C3F2" w14:textId="53397CBC" w:rsidR="00463E3E" w:rsidRPr="00463E3E" w:rsidRDefault="00463E3E" w:rsidP="00463E3E">
      <w:pPr>
        <w:rPr>
          <w:sz w:val="20"/>
          <w:szCs w:val="20"/>
          <w:lang w:val="en-US"/>
        </w:rPr>
      </w:pPr>
      <w:r w:rsidRPr="00463E3E">
        <w:rPr>
          <w:sz w:val="20"/>
          <w:szCs w:val="20"/>
          <w:lang w:val="en-US"/>
        </w:rPr>
        <w:lastRenderedPageBreak/>
        <w:t>- High-strength grade (LEA-120): shorter aging time and lower temperature to retain fine precipitates and increase yield strength.</w:t>
      </w:r>
    </w:p>
    <w:p w14:paraId="6FDCCCDD" w14:textId="77777777" w:rsidR="00463E3E" w:rsidRPr="00463E3E" w:rsidRDefault="00463E3E" w:rsidP="00463E3E">
      <w:pPr>
        <w:ind w:left="357" w:firstLine="0"/>
        <w:rPr>
          <w:sz w:val="20"/>
          <w:szCs w:val="20"/>
          <w:lang w:val="en-US"/>
        </w:rPr>
      </w:pPr>
    </w:p>
    <w:p w14:paraId="60E3FFB9" w14:textId="4A59BE0D" w:rsidR="00025262" w:rsidRDefault="00463E3E" w:rsidP="00463E3E">
      <w:pPr>
        <w:ind w:left="357" w:firstLine="0"/>
        <w:rPr>
          <w:sz w:val="20"/>
          <w:szCs w:val="20"/>
          <w:lang w:val="en-US"/>
        </w:rPr>
      </w:pPr>
      <w:r w:rsidRPr="00463E3E">
        <w:rPr>
          <w:sz w:val="20"/>
          <w:szCs w:val="20"/>
          <w:lang w:val="en-US"/>
        </w:rPr>
        <w:t>The alloy is suitable for applications in lightweight power transmission, thermal management, and structural electronics.</w:t>
      </w:r>
    </w:p>
    <w:p w14:paraId="5F5F3A21" w14:textId="77777777" w:rsidR="00463E3E" w:rsidRDefault="00463E3E" w:rsidP="00463E3E">
      <w:pPr>
        <w:ind w:left="357" w:firstLine="0"/>
        <w:rPr>
          <w:sz w:val="20"/>
          <w:szCs w:val="20"/>
          <w:lang w:val="en-US"/>
        </w:rPr>
      </w:pPr>
    </w:p>
    <w:p w14:paraId="02793BA4" w14:textId="77777777" w:rsidR="00463E3E" w:rsidRDefault="00463E3E" w:rsidP="00463E3E">
      <w:pPr>
        <w:ind w:left="357" w:firstLine="0"/>
        <w:rPr>
          <w:b/>
          <w:bCs/>
          <w:sz w:val="22"/>
          <w:szCs w:val="22"/>
          <w:lang w:val="en-US"/>
        </w:rPr>
      </w:pPr>
      <w:r w:rsidRPr="00463E3E">
        <w:rPr>
          <w:b/>
          <w:bCs/>
          <w:sz w:val="22"/>
          <w:szCs w:val="22"/>
          <w:lang w:val="en-US"/>
        </w:rPr>
        <w:t>Technical Description (for specification section):</w:t>
      </w:r>
    </w:p>
    <w:p w14:paraId="1CB5449D" w14:textId="77777777" w:rsidR="00463E3E" w:rsidRPr="00463E3E" w:rsidRDefault="00463E3E" w:rsidP="00463E3E">
      <w:pPr>
        <w:ind w:left="357" w:firstLine="0"/>
        <w:rPr>
          <w:b/>
          <w:bCs/>
          <w:sz w:val="22"/>
          <w:szCs w:val="22"/>
          <w:lang w:val="en-US"/>
        </w:rPr>
      </w:pPr>
    </w:p>
    <w:p w14:paraId="7FF1A4AB" w14:textId="77777777" w:rsidR="00463E3E" w:rsidRDefault="00463E3E" w:rsidP="00463E3E">
      <w:pPr>
        <w:ind w:left="357" w:firstLine="0"/>
        <w:rPr>
          <w:sz w:val="20"/>
          <w:szCs w:val="20"/>
          <w:lang w:val="en-US"/>
        </w:rPr>
      </w:pPr>
      <w:r w:rsidRPr="00463E3E">
        <w:rPr>
          <w:sz w:val="20"/>
          <w:szCs w:val="20"/>
          <w:lang w:val="en-US"/>
        </w:rPr>
        <w:t>The process enables the production of a hyper-conductive aluminum alloy with tunable properties by adjusting copper and magnesium content and thermal treatment parameters. The artificial aging step may be optimized for either:</w:t>
      </w:r>
    </w:p>
    <w:p w14:paraId="3C19401B" w14:textId="77777777" w:rsidR="00463E3E" w:rsidRPr="00463E3E" w:rsidRDefault="00463E3E" w:rsidP="00463E3E">
      <w:pPr>
        <w:ind w:left="357" w:firstLine="0"/>
        <w:rPr>
          <w:sz w:val="20"/>
          <w:szCs w:val="20"/>
          <w:lang w:val="en-US"/>
        </w:rPr>
      </w:pPr>
    </w:p>
    <w:p w14:paraId="744726C3" w14:textId="77777777" w:rsidR="00463E3E" w:rsidRDefault="00463E3E" w:rsidP="00463E3E">
      <w:pPr>
        <w:ind w:left="357" w:firstLine="0"/>
        <w:rPr>
          <w:sz w:val="20"/>
          <w:szCs w:val="20"/>
          <w:lang w:val="en-US"/>
        </w:rPr>
      </w:pPr>
      <w:r w:rsidRPr="00463E3E">
        <w:rPr>
          <w:sz w:val="20"/>
          <w:szCs w:val="20"/>
          <w:lang w:val="en-US"/>
        </w:rPr>
        <w:t xml:space="preserve">• </w:t>
      </w:r>
      <w:r w:rsidRPr="00463E3E">
        <w:rPr>
          <w:sz w:val="20"/>
          <w:szCs w:val="20"/>
          <w:lang w:val="en-US"/>
        </w:rPr>
        <w:tab/>
        <w:t>High-conductivity grade (LEA-90): longer aging time and higher temperature to reduce precipitate density and maximize electron mobility;</w:t>
      </w:r>
    </w:p>
    <w:p w14:paraId="7531BDCE" w14:textId="77777777" w:rsidR="00463E3E" w:rsidRPr="00463E3E" w:rsidRDefault="00463E3E" w:rsidP="00463E3E">
      <w:pPr>
        <w:ind w:left="357" w:firstLine="0"/>
        <w:rPr>
          <w:sz w:val="20"/>
          <w:szCs w:val="20"/>
          <w:lang w:val="en-US"/>
        </w:rPr>
      </w:pPr>
    </w:p>
    <w:p w14:paraId="68A6F44F" w14:textId="77777777" w:rsidR="00463E3E" w:rsidRDefault="00463E3E" w:rsidP="00463E3E">
      <w:pPr>
        <w:ind w:left="357" w:firstLine="0"/>
        <w:rPr>
          <w:sz w:val="20"/>
          <w:szCs w:val="20"/>
          <w:lang w:val="en-US"/>
        </w:rPr>
      </w:pPr>
      <w:r w:rsidRPr="00463E3E">
        <w:rPr>
          <w:sz w:val="20"/>
          <w:szCs w:val="20"/>
          <w:lang w:val="en-US"/>
        </w:rPr>
        <w:t xml:space="preserve">• </w:t>
      </w:r>
      <w:r w:rsidRPr="00463E3E">
        <w:rPr>
          <w:sz w:val="20"/>
          <w:szCs w:val="20"/>
          <w:lang w:val="en-US"/>
        </w:rPr>
        <w:tab/>
        <w:t>Balanced grade (LEA-100): intermediate aging conditions for dual performance;</w:t>
      </w:r>
    </w:p>
    <w:p w14:paraId="5A05EC40" w14:textId="77777777" w:rsidR="00463E3E" w:rsidRPr="00463E3E" w:rsidRDefault="00463E3E" w:rsidP="00463E3E">
      <w:pPr>
        <w:ind w:left="357" w:firstLine="0"/>
        <w:rPr>
          <w:sz w:val="20"/>
          <w:szCs w:val="20"/>
          <w:lang w:val="en-US"/>
        </w:rPr>
      </w:pPr>
    </w:p>
    <w:p w14:paraId="04F2D325" w14:textId="77777777" w:rsidR="00463E3E" w:rsidRDefault="00463E3E" w:rsidP="00463E3E">
      <w:pPr>
        <w:ind w:left="357" w:firstLine="0"/>
        <w:rPr>
          <w:sz w:val="20"/>
          <w:szCs w:val="20"/>
          <w:lang w:val="en-US"/>
        </w:rPr>
      </w:pPr>
      <w:r w:rsidRPr="00463E3E">
        <w:rPr>
          <w:sz w:val="20"/>
          <w:szCs w:val="20"/>
          <w:lang w:val="en-US"/>
        </w:rPr>
        <w:t xml:space="preserve">• </w:t>
      </w:r>
      <w:r w:rsidRPr="00463E3E">
        <w:rPr>
          <w:sz w:val="20"/>
          <w:szCs w:val="20"/>
          <w:lang w:val="en-US"/>
        </w:rPr>
        <w:tab/>
        <w:t>High-strength grade (LEA-120):</w:t>
      </w:r>
    </w:p>
    <w:p w14:paraId="3DD77E7F" w14:textId="77777777" w:rsidR="00463E3E" w:rsidRDefault="00463E3E" w:rsidP="00463E3E">
      <w:pPr>
        <w:ind w:left="357" w:firstLine="0"/>
        <w:rPr>
          <w:sz w:val="20"/>
          <w:szCs w:val="20"/>
          <w:lang w:val="en-US"/>
        </w:rPr>
      </w:pPr>
    </w:p>
    <w:p w14:paraId="67F76312" w14:textId="2FBD1C48" w:rsidR="00463E3E" w:rsidRPr="00463E3E" w:rsidRDefault="00463E3E" w:rsidP="00463E3E">
      <w:pPr>
        <w:ind w:left="357" w:firstLine="0"/>
        <w:rPr>
          <w:sz w:val="20"/>
          <w:szCs w:val="20"/>
          <w:lang w:val="en-US"/>
        </w:rPr>
      </w:pPr>
      <w:r w:rsidRPr="00463E3E">
        <w:rPr>
          <w:sz w:val="20"/>
          <w:szCs w:val="20"/>
          <w:lang w:val="en-US"/>
        </w:rPr>
        <w:t xml:space="preserve"> shorter aging time and lower temperature to retain fine precipitates and increase yield strength.</w:t>
      </w:r>
    </w:p>
    <w:p w14:paraId="0BFF8CCF" w14:textId="18A0AAB8" w:rsidR="00463E3E" w:rsidRDefault="00463E3E" w:rsidP="00463E3E">
      <w:pPr>
        <w:ind w:left="357" w:firstLine="0"/>
        <w:rPr>
          <w:sz w:val="20"/>
          <w:szCs w:val="20"/>
          <w:lang w:val="en-US"/>
        </w:rPr>
      </w:pPr>
      <w:r w:rsidRPr="00463E3E">
        <w:rPr>
          <w:sz w:val="20"/>
          <w:szCs w:val="20"/>
          <w:lang w:val="en-US"/>
        </w:rPr>
        <w:t>The alloy is suitable for applications in lightweight power transmission, thermal management, and structural electronics.</w:t>
      </w:r>
    </w:p>
    <w:p w14:paraId="50C607FE" w14:textId="5CA3684B" w:rsidR="00463E3E" w:rsidRPr="00463E3E" w:rsidRDefault="00463E3E" w:rsidP="00463E3E">
      <w:pPr>
        <w:ind w:left="357" w:firstLine="0"/>
        <w:rPr>
          <w:sz w:val="20"/>
          <w:szCs w:val="20"/>
          <w:lang w:val="en-US"/>
        </w:rPr>
      </w:pPr>
      <w:r>
        <w:rPr>
          <w:noProof/>
          <w:sz w:val="20"/>
          <w:szCs w:val="20"/>
          <w:lang w:val="en-US"/>
        </w:rPr>
        <w:lastRenderedPageBreak/>
        <w:drawing>
          <wp:inline distT="0" distB="0" distL="0" distR="0" wp14:anchorId="098A8762" wp14:editId="469FFC93">
            <wp:extent cx="5756275" cy="575627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6275" cy="5756275"/>
                    </a:xfrm>
                    <a:prstGeom prst="rect">
                      <a:avLst/>
                    </a:prstGeom>
                    <a:noFill/>
                    <a:ln>
                      <a:noFill/>
                    </a:ln>
                  </pic:spPr>
                </pic:pic>
              </a:graphicData>
            </a:graphic>
          </wp:inline>
        </w:drawing>
      </w:r>
      <w:r>
        <w:rPr>
          <w:noProof/>
          <w:sz w:val="20"/>
          <w:szCs w:val="20"/>
          <w:lang w:val="en-US"/>
        </w:rPr>
        <w:lastRenderedPageBreak/>
        <w:drawing>
          <wp:inline distT="0" distB="0" distL="0" distR="0" wp14:anchorId="651AE4CE" wp14:editId="5173A590">
            <wp:extent cx="5756275" cy="575627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6275" cy="5756275"/>
                    </a:xfrm>
                    <a:prstGeom prst="rect">
                      <a:avLst/>
                    </a:prstGeom>
                    <a:noFill/>
                    <a:ln>
                      <a:noFill/>
                    </a:ln>
                  </pic:spPr>
                </pic:pic>
              </a:graphicData>
            </a:graphic>
          </wp:inline>
        </w:drawing>
      </w:r>
    </w:p>
    <w:sectPr w:rsidR="00463E3E" w:rsidRPr="00463E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11"/>
    <w:rsid w:val="00025262"/>
    <w:rsid w:val="001B2A77"/>
    <w:rsid w:val="00257FFB"/>
    <w:rsid w:val="003D5A37"/>
    <w:rsid w:val="00463E3E"/>
    <w:rsid w:val="00474305"/>
    <w:rsid w:val="00552657"/>
    <w:rsid w:val="00702879"/>
    <w:rsid w:val="007807DD"/>
    <w:rsid w:val="00B84253"/>
    <w:rsid w:val="00BD65D8"/>
    <w:rsid w:val="00D52611"/>
    <w:rsid w:val="00DD6C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9ACD"/>
  <w15:chartTrackingRefBased/>
  <w15:docId w15:val="{4417FDE4-9734-41FD-BCB1-FCE6432E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8"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2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52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526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526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526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5261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5261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5261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5261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526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526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526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526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526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526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526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526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52611"/>
    <w:rPr>
      <w:rFonts w:eastAsiaTheme="majorEastAsia" w:cstheme="majorBidi"/>
      <w:color w:val="272727" w:themeColor="text1" w:themeTint="D8"/>
    </w:rPr>
  </w:style>
  <w:style w:type="paragraph" w:styleId="Titel">
    <w:name w:val="Title"/>
    <w:basedOn w:val="Standard"/>
    <w:next w:val="Standard"/>
    <w:link w:val="TitelZchn"/>
    <w:uiPriority w:val="10"/>
    <w:qFormat/>
    <w:rsid w:val="00D52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26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52611"/>
    <w:pPr>
      <w:numPr>
        <w:ilvl w:val="1"/>
      </w:numPr>
      <w:spacing w:after="160"/>
      <w:ind w:left="714" w:hanging="357"/>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526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5261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52611"/>
    <w:rPr>
      <w:i/>
      <w:iCs/>
      <w:color w:val="404040" w:themeColor="text1" w:themeTint="BF"/>
    </w:rPr>
  </w:style>
  <w:style w:type="paragraph" w:styleId="Listenabsatz">
    <w:name w:val="List Paragraph"/>
    <w:basedOn w:val="Standard"/>
    <w:uiPriority w:val="34"/>
    <w:qFormat/>
    <w:rsid w:val="00D52611"/>
    <w:pPr>
      <w:ind w:left="720"/>
      <w:contextualSpacing/>
    </w:pPr>
  </w:style>
  <w:style w:type="character" w:styleId="IntensiveHervorhebung">
    <w:name w:val="Intense Emphasis"/>
    <w:basedOn w:val="Absatz-Standardschriftart"/>
    <w:uiPriority w:val="21"/>
    <w:qFormat/>
    <w:rsid w:val="00D52611"/>
    <w:rPr>
      <w:i/>
      <w:iCs/>
      <w:color w:val="0F4761" w:themeColor="accent1" w:themeShade="BF"/>
    </w:rPr>
  </w:style>
  <w:style w:type="paragraph" w:styleId="IntensivesZitat">
    <w:name w:val="Intense Quote"/>
    <w:basedOn w:val="Standard"/>
    <w:next w:val="Standard"/>
    <w:link w:val="IntensivesZitatZchn"/>
    <w:uiPriority w:val="30"/>
    <w:qFormat/>
    <w:rsid w:val="00D52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52611"/>
    <w:rPr>
      <w:i/>
      <w:iCs/>
      <w:color w:val="0F4761" w:themeColor="accent1" w:themeShade="BF"/>
    </w:rPr>
  </w:style>
  <w:style w:type="character" w:styleId="IntensiverVerweis">
    <w:name w:val="Intense Reference"/>
    <w:basedOn w:val="Absatz-Standardschriftart"/>
    <w:uiPriority w:val="32"/>
    <w:qFormat/>
    <w:rsid w:val="00D52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422</Words>
  <Characters>2662</Characters>
  <Application>Microsoft Office Word</Application>
  <DocSecurity>0</DocSecurity>
  <Lines>22</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Schaaf</dc:creator>
  <cp:keywords/>
  <dc:description/>
  <cp:lastModifiedBy>Emanuel Schaaf</cp:lastModifiedBy>
  <cp:revision>2</cp:revision>
  <dcterms:created xsi:type="dcterms:W3CDTF">2026-02-09T23:42:00Z</dcterms:created>
  <dcterms:modified xsi:type="dcterms:W3CDTF">2026-02-09T23:48:00Z</dcterms:modified>
</cp:coreProperties>
</file>