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Analysis</w:t>
      </w:r>
      <w:r>
        <w:rPr>
          <w:b w:val="0"/>
          <w:spacing w:val="-5"/>
        </w:rPr>
        <w:t> </w:t>
      </w:r>
      <w:r>
        <w:rPr/>
        <w:t>of</w:t>
      </w:r>
      <w:r>
        <w:rPr>
          <w:b w:val="0"/>
          <w:spacing w:val="-6"/>
        </w:rPr>
        <w:t> </w:t>
      </w:r>
      <w:r>
        <w:rPr/>
        <w:t>Sesame</w:t>
      </w:r>
      <w:r>
        <w:rPr>
          <w:b w:val="0"/>
          <w:spacing w:val="-5"/>
        </w:rPr>
        <w:t> </w:t>
      </w:r>
      <w:r>
        <w:rPr/>
        <w:t>Marketing</w:t>
      </w:r>
      <w:r>
        <w:rPr>
          <w:b w:val="0"/>
          <w:spacing w:val="-4"/>
        </w:rPr>
        <w:t> </w:t>
      </w:r>
      <w:r>
        <w:rPr/>
        <w:t>Chain</w:t>
      </w:r>
      <w:r>
        <w:rPr>
          <w:b w:val="0"/>
          <w:spacing w:val="-5"/>
        </w:rPr>
        <w:t> </w:t>
      </w:r>
      <w:r>
        <w:rPr/>
        <w:t>in</w:t>
      </w:r>
      <w:r>
        <w:rPr>
          <w:b w:val="0"/>
          <w:spacing w:val="-5"/>
        </w:rPr>
        <w:t> </w:t>
      </w:r>
      <w:r>
        <w:rPr/>
        <w:t>Case</w:t>
      </w:r>
      <w:r>
        <w:rPr>
          <w:b w:val="0"/>
          <w:spacing w:val="-5"/>
        </w:rPr>
        <w:t> </w:t>
      </w:r>
      <w:r>
        <w:rPr/>
        <w:t>of</w:t>
      </w:r>
      <w:r>
        <w:rPr>
          <w:b w:val="0"/>
          <w:spacing w:val="-2"/>
        </w:rPr>
        <w:t> </w:t>
      </w:r>
      <w:r>
        <w:rPr/>
        <w:t>Gimbi</w:t>
      </w:r>
      <w:r>
        <w:rPr>
          <w:b w:val="0"/>
          <w:spacing w:val="-5"/>
        </w:rPr>
        <w:t> </w:t>
      </w:r>
      <w:r>
        <w:rPr/>
        <w:t>Districts,</w:t>
      </w:r>
      <w:r>
        <w:rPr>
          <w:b w:val="0"/>
        </w:rPr>
        <w:t> </w:t>
      </w:r>
      <w:r>
        <w:rPr>
          <w:spacing w:val="-2"/>
        </w:rPr>
        <w:t>Ethiopia</w:t>
      </w:r>
    </w:p>
    <w:p>
      <w:pPr>
        <w:pStyle w:val="BodyText"/>
        <w:tabs>
          <w:tab w:pos="1774" w:val="left" w:leader="none"/>
          <w:tab w:pos="3190" w:val="left" w:leader="none"/>
        </w:tabs>
        <w:spacing w:before="223"/>
        <w:ind w:left="8"/>
        <w:jc w:val="center"/>
      </w:pPr>
      <w:r>
        <w:rPr/>
        <w:t>Fikru</w:t>
      </w:r>
      <w:r>
        <w:rPr>
          <w:spacing w:val="-7"/>
        </w:rPr>
        <w:t> </w:t>
      </w:r>
      <w:r>
        <w:rPr>
          <w:spacing w:val="-2"/>
        </w:rPr>
        <w:t>Temesgen</w:t>
      </w:r>
      <w:r>
        <w:rPr>
          <w:spacing w:val="-2"/>
          <w:vertAlign w:val="superscript"/>
        </w:rPr>
        <w:t>*1</w:t>
      </w:r>
      <w:r>
        <w:rPr>
          <w:vertAlign w:val="baseline"/>
        </w:rPr>
        <w:tab/>
        <w:t>Efa</w:t>
      </w:r>
      <w:r>
        <w:rPr>
          <w:spacing w:val="-5"/>
          <w:vertAlign w:val="baseline"/>
        </w:rPr>
        <w:t> </w:t>
      </w:r>
      <w:r>
        <w:rPr>
          <w:spacing w:val="-2"/>
          <w:vertAlign w:val="baseline"/>
        </w:rPr>
        <w:t>Gobena</w:t>
      </w:r>
      <w:r>
        <w:rPr>
          <w:spacing w:val="-2"/>
          <w:vertAlign w:val="superscript"/>
        </w:rPr>
        <w:t>1</w:t>
      </w:r>
      <w:r>
        <w:rPr>
          <w:vertAlign w:val="baseline"/>
        </w:rPr>
        <w:tab/>
        <w:t>Hailu</w:t>
      </w:r>
      <w:r>
        <w:rPr>
          <w:spacing w:val="-8"/>
          <w:vertAlign w:val="baseline"/>
        </w:rPr>
        <w:t> </w:t>
      </w:r>
      <w:r>
        <w:rPr>
          <w:spacing w:val="-2"/>
          <w:vertAlign w:val="baseline"/>
        </w:rPr>
        <w:t>Megersa</w:t>
      </w:r>
      <w:r>
        <w:rPr>
          <w:spacing w:val="-2"/>
          <w:vertAlign w:val="superscript"/>
        </w:rPr>
        <w:t>2</w:t>
      </w:r>
    </w:p>
    <w:p>
      <w:pPr>
        <w:pStyle w:val="BodyText"/>
        <w:spacing w:before="1"/>
        <w:ind w:left="13"/>
        <w:jc w:val="center"/>
      </w:pPr>
      <w:r>
        <w:rPr/>
        <w:t>1.Department</w:t>
      </w:r>
      <w:r>
        <w:rPr>
          <w:spacing w:val="-4"/>
        </w:rPr>
        <w:t> </w:t>
      </w:r>
      <w:r>
        <w:rPr/>
        <w:t>of</w:t>
      </w:r>
      <w:r>
        <w:rPr>
          <w:spacing w:val="-3"/>
        </w:rPr>
        <w:t> </w:t>
      </w:r>
      <w:r>
        <w:rPr/>
        <w:t>Agribusiness</w:t>
      </w:r>
      <w:r>
        <w:rPr>
          <w:spacing w:val="-3"/>
        </w:rPr>
        <w:t> </w:t>
      </w:r>
      <w:r>
        <w:rPr/>
        <w:t>and</w:t>
      </w:r>
      <w:r>
        <w:rPr>
          <w:spacing w:val="-3"/>
        </w:rPr>
        <w:t> </w:t>
      </w:r>
      <w:r>
        <w:rPr/>
        <w:t>Value</w:t>
      </w:r>
      <w:r>
        <w:rPr>
          <w:spacing w:val="-2"/>
        </w:rPr>
        <w:t> </w:t>
      </w:r>
      <w:r>
        <w:rPr/>
        <w:t>Chain</w:t>
      </w:r>
      <w:r>
        <w:rPr>
          <w:spacing w:val="-5"/>
        </w:rPr>
        <w:t> </w:t>
      </w:r>
      <w:r>
        <w:rPr/>
        <w:t>Management,</w:t>
      </w:r>
      <w:r>
        <w:rPr>
          <w:spacing w:val="-3"/>
        </w:rPr>
        <w:t> </w:t>
      </w:r>
      <w:r>
        <w:rPr/>
        <w:t>Ambo</w:t>
      </w:r>
      <w:r>
        <w:rPr>
          <w:spacing w:val="-3"/>
        </w:rPr>
        <w:t> </w:t>
      </w:r>
      <w:r>
        <w:rPr/>
        <w:t>University,</w:t>
      </w:r>
      <w:r>
        <w:rPr>
          <w:spacing w:val="-3"/>
        </w:rPr>
        <w:t> </w:t>
      </w:r>
      <w:r>
        <w:rPr/>
        <w:t>P.O.Box:</w:t>
      </w:r>
      <w:r>
        <w:rPr>
          <w:spacing w:val="-7"/>
        </w:rPr>
        <w:t> </w:t>
      </w:r>
      <w:r>
        <w:rPr/>
        <w:t>19,</w:t>
      </w:r>
      <w:r>
        <w:rPr>
          <w:spacing w:val="-3"/>
        </w:rPr>
        <w:t> </w:t>
      </w:r>
      <w:r>
        <w:rPr/>
        <w:t>Ambo,</w:t>
      </w:r>
      <w:r>
        <w:rPr>
          <w:spacing w:val="-3"/>
        </w:rPr>
        <w:t> </w:t>
      </w:r>
      <w:r>
        <w:rPr/>
        <w:t>Ethiopia 2.Department of management Ambo University, P.O.Box: 19, Ambo, Ethiopia</w:t>
      </w:r>
    </w:p>
    <w:p>
      <w:pPr>
        <w:pStyle w:val="BodyText"/>
        <w:spacing w:before="6"/>
        <w:ind w:left="0"/>
        <w:jc w:val="left"/>
      </w:pPr>
    </w:p>
    <w:p>
      <w:pPr>
        <w:pStyle w:val="Heading3"/>
        <w:spacing w:line="227" w:lineRule="exact"/>
        <w:jc w:val="left"/>
      </w:pPr>
      <w:r>
        <w:rPr>
          <w:spacing w:val="-2"/>
        </w:rPr>
        <w:t>Abstract</w:t>
      </w:r>
    </w:p>
    <w:p>
      <w:pPr>
        <w:pStyle w:val="BodyText"/>
        <w:ind w:right="225"/>
      </w:pPr>
      <w:r>
        <w:rPr/>
        <w:t>This study was aimed at marketing chain of sesames in Gimbi Woredas of Oromia Region with specific objectives of identifying marketing channels and factors affecting outlet choice decisions of farm households. The data were collected from both primary and secondary sources. The primary data for this study were</w:t>
      </w:r>
      <w:r>
        <w:rPr>
          <w:spacing w:val="80"/>
        </w:rPr>
        <w:t> </w:t>
      </w:r>
      <w:r>
        <w:rPr/>
        <w:t>collected from 127 farmers, 17 traders and 22 consumers through application of appropriate statistical procedures. The study result showed that sesame producers are faced with lack of improved seed variety and</w:t>
      </w:r>
      <w:r>
        <w:rPr>
          <w:spacing w:val="40"/>
        </w:rPr>
        <w:t> </w:t>
      </w:r>
      <w:r>
        <w:rPr/>
        <w:t>high diseases and pests. On marketing side, limited access to market, low price of product, lack of storage, lack of transport and low quality of product are the major problems. The multinomial logit model results indicated</w:t>
      </w:r>
      <w:r>
        <w:rPr>
          <w:spacing w:val="40"/>
        </w:rPr>
        <w:t> </w:t>
      </w:r>
      <w:r>
        <w:rPr/>
        <w:t>that the probability to choose the collector outlet was significantly affected by Land, Market price of sesame, Membership to any Cooperatives, Credit Access, and Owning Transport Facility compared to wholesale outlet. Similarly,</w:t>
      </w:r>
      <w:r>
        <w:rPr>
          <w:spacing w:val="-1"/>
        </w:rPr>
        <w:t> </w:t>
      </w:r>
      <w:r>
        <w:rPr/>
        <w:t>the</w:t>
      </w:r>
      <w:r>
        <w:rPr>
          <w:spacing w:val="-2"/>
        </w:rPr>
        <w:t> </w:t>
      </w:r>
      <w:r>
        <w:rPr/>
        <w:t>probability</w:t>
      </w:r>
      <w:r>
        <w:rPr>
          <w:spacing w:val="-6"/>
        </w:rPr>
        <w:t> </w:t>
      </w:r>
      <w:r>
        <w:rPr/>
        <w:t>of</w:t>
      </w:r>
      <w:r>
        <w:rPr>
          <w:spacing w:val="-4"/>
        </w:rPr>
        <w:t> </w:t>
      </w:r>
      <w:r>
        <w:rPr/>
        <w:t>choosing</w:t>
      </w:r>
      <w:r>
        <w:rPr>
          <w:spacing w:val="-3"/>
        </w:rPr>
        <w:t> </w:t>
      </w:r>
      <w:r>
        <w:rPr/>
        <w:t>cooperatives marketing</w:t>
      </w:r>
      <w:r>
        <w:rPr>
          <w:spacing w:val="-3"/>
        </w:rPr>
        <w:t> </w:t>
      </w:r>
      <w:r>
        <w:rPr/>
        <w:t>outlet was</w:t>
      </w:r>
      <w:r>
        <w:rPr>
          <w:spacing w:val="-3"/>
        </w:rPr>
        <w:t> </w:t>
      </w:r>
      <w:r>
        <w:rPr/>
        <w:t>affected</w:t>
      </w:r>
      <w:r>
        <w:rPr>
          <w:spacing w:val="-1"/>
        </w:rPr>
        <w:t> </w:t>
      </w:r>
      <w:r>
        <w:rPr/>
        <w:t>by</w:t>
      </w:r>
      <w:r>
        <w:rPr>
          <w:spacing w:val="-6"/>
        </w:rPr>
        <w:t> </w:t>
      </w:r>
      <w:r>
        <w:rPr/>
        <w:t>land</w:t>
      </w:r>
      <w:r>
        <w:rPr>
          <w:spacing w:val="-1"/>
        </w:rPr>
        <w:t> </w:t>
      </w:r>
      <w:r>
        <w:rPr/>
        <w:t>and</w:t>
      </w:r>
      <w:r>
        <w:rPr>
          <w:spacing w:val="-1"/>
        </w:rPr>
        <w:t> </w:t>
      </w:r>
      <w:r>
        <w:rPr/>
        <w:t>Quantity</w:t>
      </w:r>
      <w:r>
        <w:rPr>
          <w:spacing w:val="-3"/>
        </w:rPr>
        <w:t> </w:t>
      </w:r>
      <w:r>
        <w:rPr/>
        <w:t>of</w:t>
      </w:r>
      <w:r>
        <w:rPr>
          <w:spacing w:val="-1"/>
        </w:rPr>
        <w:t> </w:t>
      </w:r>
      <w:r>
        <w:rPr/>
        <w:t>sesame produced compared to wholesale</w:t>
      </w:r>
      <w:r>
        <w:rPr>
          <w:spacing w:val="-1"/>
        </w:rPr>
        <w:t> </w:t>
      </w:r>
      <w:r>
        <w:rPr/>
        <w:t>outlet.</w:t>
      </w:r>
      <w:r>
        <w:rPr>
          <w:spacing w:val="-1"/>
        </w:rPr>
        <w:t> </w:t>
      </w:r>
      <w:r>
        <w:rPr/>
        <w:t>Therefore,</w:t>
      </w:r>
      <w:r>
        <w:rPr>
          <w:spacing w:val="-3"/>
        </w:rPr>
        <w:t> </w:t>
      </w:r>
      <w:r>
        <w:rPr/>
        <w:t>policy</w:t>
      </w:r>
      <w:r>
        <w:rPr>
          <w:spacing w:val="-4"/>
        </w:rPr>
        <w:t> </w:t>
      </w:r>
      <w:r>
        <w:rPr/>
        <w:t>aiming</w:t>
      </w:r>
      <w:r>
        <w:rPr>
          <w:spacing w:val="-2"/>
        </w:rPr>
        <w:t> </w:t>
      </w:r>
      <w:r>
        <w:rPr/>
        <w:t>at</w:t>
      </w:r>
      <w:r>
        <w:rPr>
          <w:spacing w:val="-2"/>
        </w:rPr>
        <w:t> </w:t>
      </w:r>
      <w:r>
        <w:rPr/>
        <w:t>increasing</w:t>
      </w:r>
      <w:r>
        <w:rPr>
          <w:spacing w:val="-2"/>
        </w:rPr>
        <w:t> </w:t>
      </w:r>
      <w:r>
        <w:rPr/>
        <w:t>farmers’</w:t>
      </w:r>
      <w:r>
        <w:rPr>
          <w:spacing w:val="-2"/>
        </w:rPr>
        <w:t> </w:t>
      </w:r>
      <w:r>
        <w:rPr/>
        <w:t>access</w:t>
      </w:r>
      <w:r>
        <w:rPr>
          <w:spacing w:val="-2"/>
        </w:rPr>
        <w:t> </w:t>
      </w:r>
      <w:r>
        <w:rPr/>
        <w:t>to modern</w:t>
      </w:r>
      <w:r>
        <w:rPr>
          <w:spacing w:val="-2"/>
        </w:rPr>
        <w:t> </w:t>
      </w:r>
      <w:r>
        <w:rPr/>
        <w:t>inputs, developing and improving infrastructure, gender consideration, cooperative development and improving extension system are recommended to accelerate the chain’s development.</w:t>
      </w:r>
    </w:p>
    <w:p>
      <w:pPr>
        <w:pStyle w:val="BodyText"/>
      </w:pPr>
      <w:r>
        <w:rPr>
          <w:b/>
        </w:rPr>
        <w:t>Keywords:</w:t>
      </w:r>
      <w:r>
        <w:rPr>
          <w:spacing w:val="-8"/>
        </w:rPr>
        <w:t> </w:t>
      </w:r>
      <w:r>
        <w:rPr/>
        <w:t>Gimbi,</w:t>
      </w:r>
      <w:r>
        <w:rPr>
          <w:spacing w:val="-8"/>
        </w:rPr>
        <w:t> </w:t>
      </w:r>
      <w:r>
        <w:rPr/>
        <w:t>Marketing</w:t>
      </w:r>
      <w:r>
        <w:rPr>
          <w:spacing w:val="-8"/>
        </w:rPr>
        <w:t> </w:t>
      </w:r>
      <w:r>
        <w:rPr/>
        <w:t>Channel,</w:t>
      </w:r>
      <w:r>
        <w:rPr>
          <w:spacing w:val="-8"/>
        </w:rPr>
        <w:t> </w:t>
      </w:r>
      <w:r>
        <w:rPr/>
        <w:t>Outlet,</w:t>
      </w:r>
      <w:r>
        <w:rPr>
          <w:spacing w:val="-7"/>
        </w:rPr>
        <w:t> </w:t>
      </w:r>
      <w:r>
        <w:rPr>
          <w:spacing w:val="-2"/>
        </w:rPr>
        <w:t>Sesame</w:t>
      </w:r>
    </w:p>
    <w:p>
      <w:pPr>
        <w:pStyle w:val="BodyText"/>
        <w:spacing w:before="3"/>
        <w:ind w:left="0"/>
        <w:jc w:val="left"/>
      </w:pPr>
    </w:p>
    <w:p>
      <w:pPr>
        <w:pStyle w:val="Heading2"/>
      </w:pPr>
      <w:r>
        <w:rPr/>
        <w:t>1.</w:t>
      </w:r>
      <w:r>
        <w:rPr>
          <w:b w:val="0"/>
        </w:rPr>
        <w:t> </w:t>
      </w:r>
      <w:r>
        <w:rPr>
          <w:spacing w:val="-2"/>
        </w:rPr>
        <w:t>INTRODUCTION</w:t>
      </w:r>
    </w:p>
    <w:p>
      <w:pPr>
        <w:pStyle w:val="BodyText"/>
        <w:ind w:right="225" w:hanging="1"/>
      </w:pPr>
      <w:r>
        <w:rPr/>
        <w:t>More than 85% of the Ethiopian population, residing in the rural area, is engaged in agricultural production as a major</w:t>
      </w:r>
      <w:r>
        <w:rPr>
          <w:spacing w:val="-1"/>
        </w:rPr>
        <w:t> </w:t>
      </w:r>
      <w:r>
        <w:rPr/>
        <w:t>means</w:t>
      </w:r>
      <w:r>
        <w:rPr>
          <w:spacing w:val="-3"/>
        </w:rPr>
        <w:t> </w:t>
      </w:r>
      <w:r>
        <w:rPr/>
        <w:t>of</w:t>
      </w:r>
      <w:r>
        <w:rPr>
          <w:spacing w:val="-1"/>
        </w:rPr>
        <w:t> </w:t>
      </w:r>
      <w:r>
        <w:rPr/>
        <w:t>livelihood. Agriculture, which</w:t>
      </w:r>
      <w:r>
        <w:rPr>
          <w:spacing w:val="-3"/>
        </w:rPr>
        <w:t> </w:t>
      </w:r>
      <w:r>
        <w:rPr/>
        <w:t>accounts for</w:t>
      </w:r>
      <w:r>
        <w:rPr>
          <w:spacing w:val="-1"/>
        </w:rPr>
        <w:t> </w:t>
      </w:r>
      <w:r>
        <w:rPr/>
        <w:t>about</w:t>
      </w:r>
      <w:r>
        <w:rPr>
          <w:spacing w:val="-2"/>
        </w:rPr>
        <w:t> </w:t>
      </w:r>
      <w:r>
        <w:rPr/>
        <w:t>47%</w:t>
      </w:r>
      <w:r>
        <w:rPr>
          <w:spacing w:val="-2"/>
        </w:rPr>
        <w:t> </w:t>
      </w:r>
      <w:r>
        <w:rPr/>
        <w:t>of</w:t>
      </w:r>
      <w:r>
        <w:rPr>
          <w:spacing w:val="-4"/>
        </w:rPr>
        <w:t> </w:t>
      </w:r>
      <w:r>
        <w:rPr/>
        <w:t>GDP,</w:t>
      </w:r>
      <w:r>
        <w:rPr>
          <w:spacing w:val="-1"/>
        </w:rPr>
        <w:t> </w:t>
      </w:r>
      <w:r>
        <w:rPr/>
        <w:t>80%</w:t>
      </w:r>
      <w:r>
        <w:rPr>
          <w:spacing w:val="-2"/>
        </w:rPr>
        <w:t> </w:t>
      </w:r>
      <w:r>
        <w:rPr/>
        <w:t>of</w:t>
      </w:r>
      <w:r>
        <w:rPr>
          <w:spacing w:val="-4"/>
        </w:rPr>
        <w:t> </w:t>
      </w:r>
      <w:r>
        <w:rPr/>
        <w:t>export</w:t>
      </w:r>
      <w:r>
        <w:rPr>
          <w:spacing w:val="-2"/>
        </w:rPr>
        <w:t> </w:t>
      </w:r>
      <w:r>
        <w:rPr/>
        <w:t>earnings</w:t>
      </w:r>
      <w:r>
        <w:rPr>
          <w:spacing w:val="-3"/>
        </w:rPr>
        <w:t> </w:t>
      </w:r>
      <w:r>
        <w:rPr/>
        <w:t>and</w:t>
      </w:r>
      <w:r>
        <w:rPr>
          <w:spacing w:val="-1"/>
        </w:rPr>
        <w:t> </w:t>
      </w:r>
      <w:r>
        <w:rPr/>
        <w:t>85% of employment is the backbone of the economy (MoARD, 2010).The industrial sector which comprises of textiles, food processing, cement manufacturing, construction and hydroelectric power generation, among others accounted for only 12% of GDP in 2004 (Emana, 2010).</w:t>
      </w:r>
    </w:p>
    <w:p>
      <w:pPr>
        <w:pStyle w:val="BodyText"/>
        <w:ind w:right="225" w:firstLine="720"/>
      </w:pPr>
      <w:r>
        <w:rPr/>
        <w:t>Different reports indicate that Ethiopia is among the top-five sesame producing countries in the world, ranked at fourth place in 2011/2012 (FAOSTAT, 2012). And it is the third world exporter of sesame seed after India and Sudan (Alemu and Meijerink, 2010). Accordingly, sesame is the major oilseeds crop in the country in terms of exports next to coffee, accounting for over 90 percent of the value of oilseeds exports (Mheen_et al., 2011). In addition, different reports indicate that there is still potential arable land in different areas of the</w:t>
      </w:r>
      <w:r>
        <w:rPr>
          <w:spacing w:val="40"/>
        </w:rPr>
        <w:t> </w:t>
      </w:r>
      <w:r>
        <w:rPr/>
        <w:t>country to grow the crop and there is a considerable demand for Ethiopian sesame seed at international markets (Sorsa, 2009). This indicates that, growth and improvement of the sesame sector can substantially contribute to the economic development at national, regional and family levels.</w:t>
      </w:r>
    </w:p>
    <w:p>
      <w:pPr>
        <w:pStyle w:val="BodyText"/>
        <w:ind w:right="222" w:firstLine="720"/>
      </w:pPr>
      <w:r>
        <w:rPr/>
        <w:t>In this regard, the empirical record suggests that export potential cash crops can provide higher returns to land and labor than food grains and thus present major opportunities to promote smallholders income growth, food security, and national foreign exchange generation (Poulton et al., 2001, Lukanu et al., 2004; Poulton et al., 2006, Schneider and Gugerty, 2010). According to Chauvin (2012), cash crops are a major source of export revenue for a large number of sub-Saharan African countries and the livelihood basis for millions of rural households who grow</w:t>
      </w:r>
      <w:r>
        <w:rPr>
          <w:spacing w:val="-5"/>
        </w:rPr>
        <w:t> </w:t>
      </w:r>
      <w:r>
        <w:rPr/>
        <w:t>those crops</w:t>
      </w:r>
      <w:r>
        <w:rPr>
          <w:spacing w:val="-1"/>
        </w:rPr>
        <w:t> </w:t>
      </w:r>
      <w:r>
        <w:rPr/>
        <w:t>(Chauvin, 2012).</w:t>
      </w:r>
      <w:r>
        <w:rPr>
          <w:spacing w:val="-2"/>
        </w:rPr>
        <w:t> </w:t>
      </w:r>
      <w:r>
        <w:rPr/>
        <w:t>It</w:t>
      </w:r>
      <w:r>
        <w:rPr>
          <w:spacing w:val="-1"/>
        </w:rPr>
        <w:t> </w:t>
      </w:r>
      <w:r>
        <w:rPr/>
        <w:t>is</w:t>
      </w:r>
      <w:r>
        <w:rPr>
          <w:spacing w:val="-4"/>
        </w:rPr>
        <w:t> </w:t>
      </w:r>
      <w:r>
        <w:rPr/>
        <w:t>currently</w:t>
      </w:r>
      <w:r>
        <w:rPr>
          <w:spacing w:val="-4"/>
        </w:rPr>
        <w:t> </w:t>
      </w:r>
      <w:r>
        <w:rPr/>
        <w:t>among</w:t>
      </w:r>
      <w:r>
        <w:rPr>
          <w:spacing w:val="-2"/>
        </w:rPr>
        <w:t> </w:t>
      </w:r>
      <w:r>
        <w:rPr/>
        <w:t>the major Ethiopian</w:t>
      </w:r>
      <w:r>
        <w:rPr>
          <w:spacing w:val="-2"/>
        </w:rPr>
        <w:t> </w:t>
      </w:r>
      <w:r>
        <w:rPr/>
        <w:t>export</w:t>
      </w:r>
      <w:r>
        <w:rPr>
          <w:spacing w:val="-1"/>
        </w:rPr>
        <w:t> </w:t>
      </w:r>
      <w:r>
        <w:rPr/>
        <w:t>crops</w:t>
      </w:r>
      <w:r>
        <w:rPr>
          <w:spacing w:val="-1"/>
        </w:rPr>
        <w:t> </w:t>
      </w:r>
      <w:r>
        <w:rPr/>
        <w:t>and is one among the agricultural crops in which Ethiopia is known in international markets (Sorsa, 2009).</w:t>
      </w:r>
    </w:p>
    <w:p>
      <w:pPr>
        <w:pStyle w:val="BodyText"/>
        <w:ind w:right="225" w:firstLine="720"/>
      </w:pPr>
      <w:r>
        <w:rPr/>
        <w:t>The major sesame growing areas in Ethiopia are located in the Humera, Gondor and Wollega type are well-known in the world markets. On one hand, the Humera and Metema sesame seeds are suitable for bakery and confectionary purposes due to their white color, sweet taste and aroma. On the other hand, the high oil content of the Wollega sesame gives it a major competitive advantage for edible oil production (USAID, 2010). From these zones my study will be mainly focused on the sesame value chain analysis in Gimbi Woreda,</w:t>
      </w:r>
      <w:r>
        <w:rPr>
          <w:spacing w:val="40"/>
        </w:rPr>
        <w:t> </w:t>
      </w:r>
      <w:r>
        <w:rPr/>
        <w:t>Western Wollega zone in the Oromia national regional state. Among the available marketing study approaches, commodity approach will be employed due to its combination nature of both functional and institutional </w:t>
      </w:r>
      <w:r>
        <w:rPr>
          <w:spacing w:val="-2"/>
        </w:rPr>
        <w:t>approaches.</w:t>
      </w:r>
    </w:p>
    <w:p>
      <w:pPr>
        <w:pStyle w:val="BodyText"/>
        <w:ind w:right="225" w:firstLine="720"/>
      </w:pPr>
      <w:r>
        <w:rPr/>
        <w:t>It is among the major cash crops by which Ethiopia is known at international markets. Sesame is currently the country’s principal export oilseed and is mainly raised by small scale farmers. Thus, as a smallholder farmer’s crop and an export potential crop, it is an opportunity for smallholder farmers to produce sesame and improve their livelihood (Sorsa, 2009).</w:t>
      </w:r>
    </w:p>
    <w:p>
      <w:pPr>
        <w:pStyle w:val="BodyText"/>
        <w:ind w:right="228" w:firstLine="720"/>
      </w:pPr>
      <w:r>
        <w:rPr/>
        <w:t>Different reports indicate that sesame production and marketing in Ethiopia (Kindie, 2007; Amare, 2009;</w:t>
      </w:r>
      <w:r>
        <w:rPr>
          <w:spacing w:val="20"/>
        </w:rPr>
        <w:t> </w:t>
      </w:r>
      <w:r>
        <w:rPr/>
        <w:t>Sorsa,</w:t>
      </w:r>
      <w:r>
        <w:rPr>
          <w:spacing w:val="23"/>
        </w:rPr>
        <w:t> </w:t>
      </w:r>
      <w:r>
        <w:rPr/>
        <w:t>2009,</w:t>
      </w:r>
      <w:r>
        <w:rPr>
          <w:spacing w:val="21"/>
        </w:rPr>
        <w:t> </w:t>
      </w:r>
      <w:r>
        <w:rPr/>
        <w:t>Wijnands</w:t>
      </w:r>
      <w:r>
        <w:rPr>
          <w:spacing w:val="22"/>
        </w:rPr>
        <w:t> </w:t>
      </w:r>
      <w:r>
        <w:rPr/>
        <w:t>et</w:t>
      </w:r>
      <w:r>
        <w:rPr>
          <w:spacing w:val="22"/>
        </w:rPr>
        <w:t> </w:t>
      </w:r>
      <w:r>
        <w:rPr/>
        <w:t>al.,</w:t>
      </w:r>
      <w:r>
        <w:rPr>
          <w:spacing w:val="23"/>
        </w:rPr>
        <w:t> </w:t>
      </w:r>
      <w:r>
        <w:rPr/>
        <w:t>2007</w:t>
      </w:r>
      <w:r>
        <w:rPr>
          <w:spacing w:val="21"/>
        </w:rPr>
        <w:t> </w:t>
      </w:r>
      <w:r>
        <w:rPr/>
        <w:t>and</w:t>
      </w:r>
      <w:r>
        <w:rPr>
          <w:spacing w:val="24"/>
        </w:rPr>
        <w:t> </w:t>
      </w:r>
      <w:r>
        <w:rPr/>
        <w:t>2009;</w:t>
      </w:r>
      <w:r>
        <w:rPr>
          <w:spacing w:val="20"/>
        </w:rPr>
        <w:t> </w:t>
      </w:r>
      <w:r>
        <w:rPr/>
        <w:t>Alemu</w:t>
      </w:r>
      <w:r>
        <w:rPr>
          <w:spacing w:val="21"/>
        </w:rPr>
        <w:t> </w:t>
      </w:r>
      <w:r>
        <w:rPr/>
        <w:t>and</w:t>
      </w:r>
      <w:r>
        <w:rPr>
          <w:spacing w:val="24"/>
        </w:rPr>
        <w:t> </w:t>
      </w:r>
      <w:r>
        <w:rPr/>
        <w:t>Meijerink,</w:t>
      </w:r>
      <w:r>
        <w:rPr>
          <w:spacing w:val="23"/>
        </w:rPr>
        <w:t> </w:t>
      </w:r>
      <w:r>
        <w:rPr/>
        <w:t>2010;</w:t>
      </w:r>
      <w:r>
        <w:rPr>
          <w:spacing w:val="20"/>
        </w:rPr>
        <w:t> </w:t>
      </w:r>
      <w:r>
        <w:rPr/>
        <w:t>Thomas,</w:t>
      </w:r>
      <w:r>
        <w:rPr>
          <w:spacing w:val="23"/>
        </w:rPr>
        <w:t> </w:t>
      </w:r>
      <w:r>
        <w:rPr/>
        <w:t>2011;</w:t>
      </w:r>
      <w:r>
        <w:rPr>
          <w:spacing w:val="22"/>
        </w:rPr>
        <w:t> </w:t>
      </w:r>
      <w:r>
        <w:rPr/>
        <w:t>and</w:t>
      </w:r>
      <w:r>
        <w:rPr>
          <w:spacing w:val="24"/>
        </w:rPr>
        <w:t> </w:t>
      </w:r>
      <w:r>
        <w:rPr/>
        <w:t>Mheen,</w:t>
      </w:r>
    </w:p>
    <w:p>
      <w:pPr>
        <w:spacing w:after="0"/>
        <w:sectPr>
          <w:headerReference w:type="default" r:id="rId5"/>
          <w:footerReference w:type="default" r:id="rId6"/>
          <w:type w:val="continuous"/>
          <w:pgSz w:w="11900" w:h="16840"/>
          <w:pgMar w:header="846" w:footer="819" w:top="1640" w:bottom="1000" w:left="1180" w:right="1180"/>
          <w:pgNumType w:start="86"/>
        </w:sectPr>
      </w:pPr>
    </w:p>
    <w:p>
      <w:pPr>
        <w:pStyle w:val="BodyText"/>
        <w:spacing w:before="98"/>
        <w:ind w:right="225"/>
      </w:pPr>
      <w:r>
        <w:rPr/>
        <w:t>2011). However, the majority of these studies mainly focused on production aspect of the crop and some have considered the common sesame production related problems, ignoring factors affecting sesame market outlet choice decisions at individual household level. The main efforts made by these authors were on general production and trade arrangement problems. This allowed them to examine factors which are mainly external to individual farm households and common to all farmers in the area. However, identifying household specific factors, which are responsible for limiting some households from sesame market outlet choice decisions, is essential. This were analyzed by considering specific sesame marketing channels by connecting between all the actors</w:t>
      </w:r>
      <w:r>
        <w:rPr>
          <w:spacing w:val="-3"/>
        </w:rPr>
        <w:t> </w:t>
      </w:r>
      <w:r>
        <w:rPr/>
        <w:t>in</w:t>
      </w:r>
      <w:r>
        <w:rPr>
          <w:spacing w:val="-3"/>
        </w:rPr>
        <w:t> </w:t>
      </w:r>
      <w:r>
        <w:rPr/>
        <w:t>a</w:t>
      </w:r>
      <w:r>
        <w:rPr>
          <w:spacing w:val="-2"/>
        </w:rPr>
        <w:t> </w:t>
      </w:r>
      <w:r>
        <w:rPr/>
        <w:t>particular</w:t>
      </w:r>
      <w:r>
        <w:rPr>
          <w:spacing w:val="-1"/>
        </w:rPr>
        <w:t> </w:t>
      </w:r>
      <w:r>
        <w:rPr/>
        <w:t>chain</w:t>
      </w:r>
      <w:r>
        <w:rPr>
          <w:spacing w:val="-3"/>
        </w:rPr>
        <w:t> </w:t>
      </w:r>
      <w:r>
        <w:rPr/>
        <w:t>of</w:t>
      </w:r>
      <w:r>
        <w:rPr>
          <w:spacing w:val="-1"/>
        </w:rPr>
        <w:t> </w:t>
      </w:r>
      <w:r>
        <w:rPr/>
        <w:t>production</w:t>
      </w:r>
      <w:r>
        <w:rPr>
          <w:spacing w:val="-3"/>
        </w:rPr>
        <w:t> </w:t>
      </w:r>
      <w:r>
        <w:rPr/>
        <w:t>to</w:t>
      </w:r>
      <w:r>
        <w:rPr>
          <w:spacing w:val="-1"/>
        </w:rPr>
        <w:t> </w:t>
      </w:r>
      <w:r>
        <w:rPr/>
        <w:t>final</w:t>
      </w:r>
      <w:r>
        <w:rPr>
          <w:spacing w:val="-2"/>
        </w:rPr>
        <w:t> </w:t>
      </w:r>
      <w:r>
        <w:rPr/>
        <w:t>consumer</w:t>
      </w:r>
      <w:r>
        <w:rPr>
          <w:spacing w:val="-1"/>
        </w:rPr>
        <w:t> </w:t>
      </w:r>
      <w:r>
        <w:rPr/>
        <w:t>in</w:t>
      </w:r>
      <w:r>
        <w:rPr>
          <w:spacing w:val="-1"/>
        </w:rPr>
        <w:t> </w:t>
      </w:r>
      <w:r>
        <w:rPr/>
        <w:t>which</w:t>
      </w:r>
      <w:r>
        <w:rPr>
          <w:spacing w:val="-1"/>
        </w:rPr>
        <w:t> </w:t>
      </w:r>
      <w:r>
        <w:rPr/>
        <w:t>producers will</w:t>
      </w:r>
      <w:r>
        <w:rPr>
          <w:spacing w:val="-2"/>
        </w:rPr>
        <w:t> </w:t>
      </w:r>
      <w:r>
        <w:rPr/>
        <w:t>sell</w:t>
      </w:r>
      <w:r>
        <w:rPr>
          <w:spacing w:val="-2"/>
        </w:rPr>
        <w:t> </w:t>
      </w:r>
      <w:r>
        <w:rPr/>
        <w:t>their</w:t>
      </w:r>
      <w:r>
        <w:rPr>
          <w:spacing w:val="-1"/>
        </w:rPr>
        <w:t> </w:t>
      </w:r>
      <w:r>
        <w:rPr/>
        <w:t>products</w:t>
      </w:r>
      <w:r>
        <w:rPr>
          <w:spacing w:val="-3"/>
        </w:rPr>
        <w:t> </w:t>
      </w:r>
      <w:r>
        <w:rPr/>
        <w:t>to</w:t>
      </w:r>
      <w:r>
        <w:rPr>
          <w:spacing w:val="-1"/>
        </w:rPr>
        <w:t> </w:t>
      </w:r>
      <w:r>
        <w:rPr/>
        <w:t>either</w:t>
      </w:r>
      <w:r>
        <w:rPr>
          <w:spacing w:val="-1"/>
        </w:rPr>
        <w:t> </w:t>
      </w:r>
      <w:r>
        <w:rPr/>
        <w:t>of the market.</w:t>
      </w:r>
    </w:p>
    <w:p>
      <w:pPr>
        <w:pStyle w:val="BodyText"/>
        <w:ind w:right="226" w:firstLine="720"/>
      </w:pPr>
      <w:r>
        <w:rPr/>
        <w:t>A review of literature in agro-industry value chain in Ethiopia indicates that the sector faces many challenges due to limited market outlets, limited efforts in market linkage activities and poor</w:t>
      </w:r>
      <w:r>
        <w:rPr>
          <w:spacing w:val="-1"/>
        </w:rPr>
        <w:t> </w:t>
      </w:r>
      <w:r>
        <w:rPr/>
        <w:t>market information among actors (Dereje, 2007; Kaleb, 2008; Dendena </w:t>
      </w:r>
      <w:r>
        <w:rPr>
          <w:i/>
        </w:rPr>
        <w:t>et</w:t>
      </w:r>
      <w:r>
        <w:rPr/>
        <w:t> </w:t>
      </w:r>
      <w:r>
        <w:rPr>
          <w:i/>
        </w:rPr>
        <w:t>al</w:t>
      </w:r>
      <w:r>
        <w:rPr/>
        <w:t>., 2009). Correspondingly, Mamo (2009) argued that small scale, dispersed and unorganized producers are unlikely to exploit market opportunities as they cannot attain the necessary economies of scale and lack bargaining power in negotiating prices.</w:t>
      </w:r>
    </w:p>
    <w:p>
      <w:pPr>
        <w:pStyle w:val="BodyText"/>
        <w:ind w:right="224" w:firstLine="720"/>
      </w:pPr>
      <w:r>
        <w:rPr/>
        <w:t>According to Kindie (2007), Farmers in Gimbi Woreda (part of Western Wellega), in general are affected</w:t>
      </w:r>
      <w:r>
        <w:rPr>
          <w:spacing w:val="-2"/>
        </w:rPr>
        <w:t> </w:t>
      </w:r>
      <w:r>
        <w:rPr/>
        <w:t>by,</w:t>
      </w:r>
      <w:r>
        <w:rPr>
          <w:spacing w:val="-3"/>
        </w:rPr>
        <w:t> </w:t>
      </w:r>
      <w:r>
        <w:rPr/>
        <w:t>poor</w:t>
      </w:r>
      <w:r>
        <w:rPr>
          <w:spacing w:val="-2"/>
        </w:rPr>
        <w:t> </w:t>
      </w:r>
      <w:r>
        <w:rPr/>
        <w:t>quality</w:t>
      </w:r>
      <w:r>
        <w:rPr>
          <w:spacing w:val="-4"/>
        </w:rPr>
        <w:t> </w:t>
      </w:r>
      <w:r>
        <w:rPr/>
        <w:t>of</w:t>
      </w:r>
      <w:r>
        <w:rPr>
          <w:spacing w:val="-5"/>
        </w:rPr>
        <w:t> </w:t>
      </w:r>
      <w:r>
        <w:rPr/>
        <w:t>agricultural</w:t>
      </w:r>
      <w:r>
        <w:rPr>
          <w:spacing w:val="-3"/>
        </w:rPr>
        <w:t> </w:t>
      </w:r>
      <w:r>
        <w:rPr/>
        <w:t>produce,</w:t>
      </w:r>
      <w:r>
        <w:rPr>
          <w:spacing w:val="-2"/>
        </w:rPr>
        <w:t> </w:t>
      </w:r>
      <w:r>
        <w:rPr/>
        <w:t>lack</w:t>
      </w:r>
      <w:r>
        <w:rPr>
          <w:spacing w:val="-4"/>
        </w:rPr>
        <w:t> </w:t>
      </w:r>
      <w:r>
        <w:rPr/>
        <w:t>of</w:t>
      </w:r>
      <w:r>
        <w:rPr>
          <w:spacing w:val="-2"/>
        </w:rPr>
        <w:t> </w:t>
      </w:r>
      <w:r>
        <w:rPr/>
        <w:t>market</w:t>
      </w:r>
      <w:r>
        <w:rPr>
          <w:spacing w:val="-2"/>
        </w:rPr>
        <w:t> </w:t>
      </w:r>
      <w:r>
        <w:rPr/>
        <w:t>facilities,</w:t>
      </w:r>
      <w:r>
        <w:rPr>
          <w:spacing w:val="-1"/>
        </w:rPr>
        <w:t> </w:t>
      </w:r>
      <w:r>
        <w:rPr/>
        <w:t>weak</w:t>
      </w:r>
      <w:r>
        <w:rPr>
          <w:spacing w:val="-4"/>
        </w:rPr>
        <w:t> </w:t>
      </w:r>
      <w:r>
        <w:rPr/>
        <w:t>extension</w:t>
      </w:r>
      <w:r>
        <w:rPr>
          <w:spacing w:val="-2"/>
        </w:rPr>
        <w:t> </w:t>
      </w:r>
      <w:r>
        <w:rPr/>
        <w:t>services</w:t>
      </w:r>
      <w:r>
        <w:rPr>
          <w:spacing w:val="-2"/>
        </w:rPr>
        <w:t> </w:t>
      </w:r>
      <w:r>
        <w:rPr/>
        <w:t>which</w:t>
      </w:r>
      <w:r>
        <w:rPr>
          <w:spacing w:val="-4"/>
        </w:rPr>
        <w:t> </w:t>
      </w:r>
      <w:r>
        <w:rPr/>
        <w:t>ignored marketing development, poor linkage of research and extension, absence of marketing information and</w:t>
      </w:r>
      <w:r>
        <w:rPr>
          <w:spacing w:val="40"/>
        </w:rPr>
        <w:t> </w:t>
      </w:r>
      <w:r>
        <w:rPr/>
        <w:t>intelligent services, excessive price and supply fluctuations, limited access to credit, inefficient handling including, storage, packaging and transportation problems. Therefore, it is important that this range will be examined how sesame marketing system is organized and functioning in terms of market structure, conduct and performance of the product in the specific location. Cognizant of these facts, this study were undertaken to seek possible answers to the following problems by conducting sesame value chain analysis in the Gimbi Woreda.</w:t>
      </w:r>
      <w:r>
        <w:rPr>
          <w:spacing w:val="40"/>
        </w:rPr>
        <w:t> </w:t>
      </w:r>
      <w:r>
        <w:rPr/>
        <w:t>The study tries to answer the following questions:</w:t>
      </w:r>
    </w:p>
    <w:p>
      <w:pPr>
        <w:pStyle w:val="ListParagraph"/>
        <w:numPr>
          <w:ilvl w:val="0"/>
          <w:numId w:val="1"/>
        </w:numPr>
        <w:tabs>
          <w:tab w:pos="871" w:val="left" w:leader="none"/>
        </w:tabs>
        <w:spacing w:line="240" w:lineRule="auto" w:before="1" w:after="0"/>
        <w:ind w:left="871" w:right="0" w:hanging="359"/>
        <w:jc w:val="left"/>
        <w:rPr>
          <w:sz w:val="20"/>
        </w:rPr>
      </w:pPr>
      <w:r>
        <w:rPr>
          <w:sz w:val="20"/>
        </w:rPr>
        <w:t>What</w:t>
      </w:r>
      <w:r>
        <w:rPr>
          <w:spacing w:val="-6"/>
          <w:sz w:val="20"/>
        </w:rPr>
        <w:t> </w:t>
      </w:r>
      <w:r>
        <w:rPr>
          <w:sz w:val="20"/>
        </w:rPr>
        <w:t>does</w:t>
      </w:r>
      <w:r>
        <w:rPr>
          <w:spacing w:val="-6"/>
          <w:sz w:val="20"/>
        </w:rPr>
        <w:t> </w:t>
      </w:r>
      <w:r>
        <w:rPr>
          <w:sz w:val="20"/>
        </w:rPr>
        <w:t>sesame</w:t>
      </w:r>
      <w:r>
        <w:rPr>
          <w:spacing w:val="-3"/>
          <w:sz w:val="20"/>
        </w:rPr>
        <w:t> </w:t>
      </w:r>
      <w:r>
        <w:rPr>
          <w:sz w:val="20"/>
        </w:rPr>
        <w:t>marketing</w:t>
      </w:r>
      <w:r>
        <w:rPr>
          <w:spacing w:val="-5"/>
          <w:sz w:val="20"/>
        </w:rPr>
        <w:t> </w:t>
      </w:r>
      <w:r>
        <w:rPr>
          <w:sz w:val="20"/>
        </w:rPr>
        <w:t>channel</w:t>
      </w:r>
      <w:r>
        <w:rPr>
          <w:spacing w:val="-5"/>
          <w:sz w:val="20"/>
        </w:rPr>
        <w:t> </w:t>
      </w:r>
      <w:r>
        <w:rPr>
          <w:sz w:val="20"/>
        </w:rPr>
        <w:t>look</w:t>
      </w:r>
      <w:r>
        <w:rPr>
          <w:spacing w:val="-7"/>
          <w:sz w:val="20"/>
        </w:rPr>
        <w:t> </w:t>
      </w:r>
      <w:r>
        <w:rPr>
          <w:sz w:val="20"/>
        </w:rPr>
        <w:t>like</w:t>
      </w:r>
      <w:r>
        <w:rPr>
          <w:spacing w:val="-5"/>
          <w:sz w:val="20"/>
        </w:rPr>
        <w:t> </w:t>
      </w:r>
      <w:r>
        <w:rPr>
          <w:sz w:val="20"/>
        </w:rPr>
        <w:t>and</w:t>
      </w:r>
      <w:r>
        <w:rPr>
          <w:spacing w:val="-2"/>
          <w:sz w:val="20"/>
        </w:rPr>
        <w:t> </w:t>
      </w:r>
      <w:r>
        <w:rPr>
          <w:sz w:val="20"/>
        </w:rPr>
        <w:t>who</w:t>
      </w:r>
      <w:r>
        <w:rPr>
          <w:spacing w:val="-4"/>
          <w:sz w:val="20"/>
        </w:rPr>
        <w:t> </w:t>
      </w:r>
      <w:r>
        <w:rPr>
          <w:sz w:val="20"/>
        </w:rPr>
        <w:t>are</w:t>
      </w:r>
      <w:r>
        <w:rPr>
          <w:spacing w:val="-3"/>
          <w:sz w:val="20"/>
        </w:rPr>
        <w:t> </w:t>
      </w:r>
      <w:r>
        <w:rPr>
          <w:sz w:val="20"/>
        </w:rPr>
        <w:t>the</w:t>
      </w:r>
      <w:r>
        <w:rPr>
          <w:spacing w:val="-3"/>
          <w:sz w:val="20"/>
        </w:rPr>
        <w:t> </w:t>
      </w:r>
      <w:r>
        <w:rPr>
          <w:sz w:val="20"/>
        </w:rPr>
        <w:t>major</w:t>
      </w:r>
      <w:r>
        <w:rPr>
          <w:spacing w:val="-5"/>
          <w:sz w:val="20"/>
        </w:rPr>
        <w:t> </w:t>
      </w:r>
      <w:r>
        <w:rPr>
          <w:sz w:val="20"/>
        </w:rPr>
        <w:t>agents</w:t>
      </w:r>
      <w:r>
        <w:rPr>
          <w:spacing w:val="-6"/>
          <w:sz w:val="20"/>
        </w:rPr>
        <w:t> </w:t>
      </w:r>
      <w:r>
        <w:rPr>
          <w:sz w:val="20"/>
        </w:rPr>
        <w:t>in</w:t>
      </w:r>
      <w:r>
        <w:rPr>
          <w:spacing w:val="-6"/>
          <w:sz w:val="20"/>
        </w:rPr>
        <w:t> </w:t>
      </w:r>
      <w:r>
        <w:rPr>
          <w:sz w:val="20"/>
        </w:rPr>
        <w:t>Gimbi</w:t>
      </w:r>
      <w:r>
        <w:rPr>
          <w:spacing w:val="-6"/>
          <w:sz w:val="20"/>
        </w:rPr>
        <w:t> </w:t>
      </w:r>
      <w:r>
        <w:rPr>
          <w:spacing w:val="-2"/>
          <w:sz w:val="20"/>
        </w:rPr>
        <w:t>Woreda?</w:t>
      </w:r>
    </w:p>
    <w:p>
      <w:pPr>
        <w:pStyle w:val="ListParagraph"/>
        <w:numPr>
          <w:ilvl w:val="0"/>
          <w:numId w:val="1"/>
        </w:numPr>
        <w:tabs>
          <w:tab w:pos="871" w:val="left" w:leader="none"/>
        </w:tabs>
        <w:spacing w:line="229" w:lineRule="exact" w:before="0" w:after="0"/>
        <w:ind w:left="871" w:right="0" w:hanging="359"/>
        <w:jc w:val="left"/>
        <w:rPr>
          <w:sz w:val="20"/>
        </w:rPr>
      </w:pPr>
      <w:r>
        <w:rPr>
          <w:sz w:val="20"/>
        </w:rPr>
        <w:t>What</w:t>
      </w:r>
      <w:r>
        <w:rPr>
          <w:spacing w:val="-6"/>
          <w:sz w:val="20"/>
        </w:rPr>
        <w:t> </w:t>
      </w:r>
      <w:r>
        <w:rPr>
          <w:sz w:val="20"/>
        </w:rPr>
        <w:t>are</w:t>
      </w:r>
      <w:r>
        <w:rPr>
          <w:spacing w:val="-6"/>
          <w:sz w:val="20"/>
        </w:rPr>
        <w:t> </w:t>
      </w:r>
      <w:r>
        <w:rPr>
          <w:sz w:val="20"/>
        </w:rPr>
        <w:t>the</w:t>
      </w:r>
      <w:r>
        <w:rPr>
          <w:spacing w:val="-6"/>
          <w:sz w:val="20"/>
        </w:rPr>
        <w:t> </w:t>
      </w:r>
      <w:r>
        <w:rPr>
          <w:sz w:val="20"/>
        </w:rPr>
        <w:t>key</w:t>
      </w:r>
      <w:r>
        <w:rPr>
          <w:spacing w:val="-6"/>
          <w:sz w:val="20"/>
        </w:rPr>
        <w:t> </w:t>
      </w:r>
      <w:r>
        <w:rPr>
          <w:sz w:val="20"/>
        </w:rPr>
        <w:t>factors</w:t>
      </w:r>
      <w:r>
        <w:rPr>
          <w:spacing w:val="-7"/>
          <w:sz w:val="20"/>
        </w:rPr>
        <w:t> </w:t>
      </w:r>
      <w:r>
        <w:rPr>
          <w:sz w:val="20"/>
        </w:rPr>
        <w:t>affecting</w:t>
      </w:r>
      <w:r>
        <w:rPr>
          <w:spacing w:val="-6"/>
          <w:sz w:val="20"/>
        </w:rPr>
        <w:t> </w:t>
      </w:r>
      <w:r>
        <w:rPr>
          <w:sz w:val="20"/>
        </w:rPr>
        <w:t>farmers</w:t>
      </w:r>
      <w:r>
        <w:rPr>
          <w:spacing w:val="-7"/>
          <w:sz w:val="20"/>
        </w:rPr>
        <w:t> </w:t>
      </w:r>
      <w:r>
        <w:rPr>
          <w:sz w:val="20"/>
        </w:rPr>
        <w:t>sesame</w:t>
      </w:r>
      <w:r>
        <w:rPr>
          <w:spacing w:val="-3"/>
          <w:sz w:val="20"/>
        </w:rPr>
        <w:t> </w:t>
      </w:r>
      <w:r>
        <w:rPr>
          <w:sz w:val="20"/>
        </w:rPr>
        <w:t>market</w:t>
      </w:r>
      <w:r>
        <w:rPr>
          <w:spacing w:val="-6"/>
          <w:sz w:val="20"/>
        </w:rPr>
        <w:t> </w:t>
      </w:r>
      <w:r>
        <w:rPr>
          <w:sz w:val="20"/>
        </w:rPr>
        <w:t>outlet</w:t>
      </w:r>
      <w:r>
        <w:rPr>
          <w:spacing w:val="-6"/>
          <w:sz w:val="20"/>
        </w:rPr>
        <w:t> </w:t>
      </w:r>
      <w:r>
        <w:rPr>
          <w:sz w:val="20"/>
        </w:rPr>
        <w:t>choice</w:t>
      </w:r>
      <w:r>
        <w:rPr>
          <w:spacing w:val="-5"/>
          <w:sz w:val="20"/>
        </w:rPr>
        <w:t> </w:t>
      </w:r>
      <w:r>
        <w:rPr>
          <w:spacing w:val="-2"/>
          <w:sz w:val="20"/>
        </w:rPr>
        <w:t>decision?</w:t>
      </w:r>
    </w:p>
    <w:p>
      <w:pPr>
        <w:pStyle w:val="ListParagraph"/>
        <w:numPr>
          <w:ilvl w:val="0"/>
          <w:numId w:val="1"/>
        </w:numPr>
        <w:tabs>
          <w:tab w:pos="871" w:val="left" w:leader="none"/>
        </w:tabs>
        <w:spacing w:line="229" w:lineRule="exact" w:before="0" w:after="0"/>
        <w:ind w:left="871" w:right="0" w:hanging="359"/>
        <w:jc w:val="left"/>
        <w:rPr>
          <w:sz w:val="20"/>
        </w:rPr>
      </w:pPr>
      <w:r>
        <w:rPr>
          <w:sz w:val="20"/>
        </w:rPr>
        <w:t>What</w:t>
      </w:r>
      <w:r>
        <w:rPr>
          <w:spacing w:val="-6"/>
          <w:sz w:val="20"/>
        </w:rPr>
        <w:t> </w:t>
      </w:r>
      <w:r>
        <w:rPr>
          <w:sz w:val="20"/>
        </w:rPr>
        <w:t>are</w:t>
      </w:r>
      <w:r>
        <w:rPr>
          <w:spacing w:val="-6"/>
          <w:sz w:val="20"/>
        </w:rPr>
        <w:t> </w:t>
      </w:r>
      <w:r>
        <w:rPr>
          <w:sz w:val="20"/>
        </w:rPr>
        <w:t>the</w:t>
      </w:r>
      <w:r>
        <w:rPr>
          <w:spacing w:val="-3"/>
          <w:sz w:val="20"/>
        </w:rPr>
        <w:t> </w:t>
      </w:r>
      <w:r>
        <w:rPr>
          <w:sz w:val="20"/>
        </w:rPr>
        <w:t>major</w:t>
      </w:r>
      <w:r>
        <w:rPr>
          <w:spacing w:val="-5"/>
          <w:sz w:val="20"/>
        </w:rPr>
        <w:t> </w:t>
      </w:r>
      <w:r>
        <w:rPr>
          <w:sz w:val="20"/>
        </w:rPr>
        <w:t>opportunities</w:t>
      </w:r>
      <w:r>
        <w:rPr>
          <w:spacing w:val="-7"/>
          <w:sz w:val="20"/>
        </w:rPr>
        <w:t> </w:t>
      </w:r>
      <w:r>
        <w:rPr>
          <w:sz w:val="20"/>
        </w:rPr>
        <w:t>and</w:t>
      </w:r>
      <w:r>
        <w:rPr>
          <w:spacing w:val="-5"/>
          <w:sz w:val="20"/>
        </w:rPr>
        <w:t> </w:t>
      </w:r>
      <w:r>
        <w:rPr>
          <w:sz w:val="20"/>
        </w:rPr>
        <w:t>constraints</w:t>
      </w:r>
      <w:r>
        <w:rPr>
          <w:spacing w:val="-7"/>
          <w:sz w:val="20"/>
        </w:rPr>
        <w:t> </w:t>
      </w:r>
      <w:r>
        <w:rPr>
          <w:sz w:val="20"/>
        </w:rPr>
        <w:t>in</w:t>
      </w:r>
      <w:r>
        <w:rPr>
          <w:spacing w:val="-6"/>
          <w:sz w:val="20"/>
        </w:rPr>
        <w:t> </w:t>
      </w:r>
      <w:r>
        <w:rPr>
          <w:sz w:val="20"/>
        </w:rPr>
        <w:t>the</w:t>
      </w:r>
      <w:r>
        <w:rPr>
          <w:spacing w:val="-6"/>
          <w:sz w:val="20"/>
        </w:rPr>
        <w:t> </w:t>
      </w:r>
      <w:r>
        <w:rPr>
          <w:sz w:val="20"/>
        </w:rPr>
        <w:t>sesame</w:t>
      </w:r>
      <w:r>
        <w:rPr>
          <w:spacing w:val="-3"/>
          <w:sz w:val="20"/>
        </w:rPr>
        <w:t> </w:t>
      </w:r>
      <w:r>
        <w:rPr>
          <w:spacing w:val="-2"/>
          <w:sz w:val="20"/>
        </w:rPr>
        <w:t>marketing?</w:t>
      </w:r>
    </w:p>
    <w:p>
      <w:pPr>
        <w:pStyle w:val="BodyText"/>
        <w:jc w:val="left"/>
      </w:pPr>
      <w:r>
        <w:rPr/>
        <w:t>The</w:t>
      </w:r>
      <w:r>
        <w:rPr>
          <w:spacing w:val="40"/>
        </w:rPr>
        <w:t> </w:t>
      </w:r>
      <w:r>
        <w:rPr/>
        <w:t>general</w:t>
      </w:r>
      <w:r>
        <w:rPr>
          <w:spacing w:val="40"/>
        </w:rPr>
        <w:t> </w:t>
      </w:r>
      <w:r>
        <w:rPr/>
        <w:t>objective</w:t>
      </w:r>
      <w:r>
        <w:rPr>
          <w:spacing w:val="40"/>
        </w:rPr>
        <w:t> </w:t>
      </w:r>
      <w:r>
        <w:rPr/>
        <w:t>of</w:t>
      </w:r>
      <w:r>
        <w:rPr>
          <w:spacing w:val="40"/>
        </w:rPr>
        <w:t> </w:t>
      </w:r>
      <w:r>
        <w:rPr/>
        <w:t>the</w:t>
      </w:r>
      <w:r>
        <w:rPr>
          <w:spacing w:val="40"/>
        </w:rPr>
        <w:t> </w:t>
      </w:r>
      <w:r>
        <w:rPr/>
        <w:t>study</w:t>
      </w:r>
      <w:r>
        <w:rPr>
          <w:spacing w:val="40"/>
        </w:rPr>
        <w:t> </w:t>
      </w:r>
      <w:r>
        <w:rPr/>
        <w:t>is</w:t>
      </w:r>
      <w:r>
        <w:rPr>
          <w:spacing w:val="40"/>
        </w:rPr>
        <w:t> </w:t>
      </w:r>
      <w:r>
        <w:rPr/>
        <w:t>to</w:t>
      </w:r>
      <w:r>
        <w:rPr>
          <w:spacing w:val="40"/>
        </w:rPr>
        <w:t> </w:t>
      </w:r>
      <w:r>
        <w:rPr/>
        <w:t>identify</w:t>
      </w:r>
      <w:r>
        <w:rPr>
          <w:spacing w:val="40"/>
        </w:rPr>
        <w:t> </w:t>
      </w:r>
      <w:r>
        <w:rPr/>
        <w:t>potential</w:t>
      </w:r>
      <w:r>
        <w:rPr>
          <w:spacing w:val="40"/>
        </w:rPr>
        <w:t> </w:t>
      </w:r>
      <w:r>
        <w:rPr/>
        <w:t>interventions</w:t>
      </w:r>
      <w:r>
        <w:rPr>
          <w:spacing w:val="40"/>
        </w:rPr>
        <w:t> </w:t>
      </w:r>
      <w:r>
        <w:rPr/>
        <w:t>that</w:t>
      </w:r>
      <w:r>
        <w:rPr>
          <w:spacing w:val="40"/>
        </w:rPr>
        <w:t> </w:t>
      </w:r>
      <w:r>
        <w:rPr/>
        <w:t>will</w:t>
      </w:r>
      <w:r>
        <w:rPr>
          <w:spacing w:val="40"/>
        </w:rPr>
        <w:t> </w:t>
      </w:r>
      <w:r>
        <w:rPr/>
        <w:t>make</w:t>
      </w:r>
      <w:r>
        <w:rPr>
          <w:spacing w:val="40"/>
        </w:rPr>
        <w:t> </w:t>
      </w:r>
      <w:r>
        <w:rPr/>
        <w:t>analyze</w:t>
      </w:r>
      <w:r>
        <w:rPr>
          <w:spacing w:val="40"/>
        </w:rPr>
        <w:t> </w:t>
      </w:r>
      <w:r>
        <w:rPr/>
        <w:t>of</w:t>
      </w:r>
      <w:r>
        <w:rPr>
          <w:spacing w:val="40"/>
        </w:rPr>
        <w:t> </w:t>
      </w:r>
      <w:r>
        <w:rPr/>
        <w:t>sesame marketing channel. The specific objectives of the study are:</w:t>
      </w:r>
    </w:p>
    <w:p>
      <w:pPr>
        <w:pStyle w:val="ListParagraph"/>
        <w:numPr>
          <w:ilvl w:val="1"/>
          <w:numId w:val="1"/>
        </w:numPr>
        <w:tabs>
          <w:tab w:pos="960" w:val="left" w:leader="none"/>
        </w:tabs>
        <w:spacing w:line="240" w:lineRule="auto" w:before="1" w:after="0"/>
        <w:ind w:left="960" w:right="0" w:hanging="360"/>
        <w:jc w:val="left"/>
        <w:rPr>
          <w:sz w:val="20"/>
        </w:rPr>
      </w:pPr>
      <w:r>
        <w:rPr>
          <w:sz w:val="20"/>
        </w:rPr>
        <w:t>examine</w:t>
      </w:r>
      <w:r>
        <w:rPr>
          <w:spacing w:val="-7"/>
          <w:sz w:val="20"/>
        </w:rPr>
        <w:t> </w:t>
      </w:r>
      <w:r>
        <w:rPr>
          <w:sz w:val="20"/>
        </w:rPr>
        <w:t>the</w:t>
      </w:r>
      <w:r>
        <w:rPr>
          <w:spacing w:val="-6"/>
          <w:sz w:val="20"/>
        </w:rPr>
        <w:t> </w:t>
      </w:r>
      <w:r>
        <w:rPr>
          <w:sz w:val="20"/>
        </w:rPr>
        <w:t>structure,</w:t>
      </w:r>
      <w:r>
        <w:rPr>
          <w:spacing w:val="-6"/>
          <w:sz w:val="20"/>
        </w:rPr>
        <w:t> </w:t>
      </w:r>
      <w:r>
        <w:rPr>
          <w:sz w:val="20"/>
        </w:rPr>
        <w:t>conduct</w:t>
      </w:r>
      <w:r>
        <w:rPr>
          <w:spacing w:val="-4"/>
          <w:sz w:val="20"/>
        </w:rPr>
        <w:t> </w:t>
      </w:r>
      <w:r>
        <w:rPr>
          <w:sz w:val="20"/>
        </w:rPr>
        <w:t>and</w:t>
      </w:r>
      <w:r>
        <w:rPr>
          <w:spacing w:val="-6"/>
          <w:sz w:val="20"/>
        </w:rPr>
        <w:t> </w:t>
      </w:r>
      <w:r>
        <w:rPr>
          <w:sz w:val="20"/>
        </w:rPr>
        <w:t>performance</w:t>
      </w:r>
      <w:r>
        <w:rPr>
          <w:spacing w:val="-6"/>
          <w:sz w:val="20"/>
        </w:rPr>
        <w:t> </w:t>
      </w:r>
      <w:r>
        <w:rPr>
          <w:sz w:val="20"/>
        </w:rPr>
        <w:t>of</w:t>
      </w:r>
      <w:r>
        <w:rPr>
          <w:spacing w:val="-8"/>
          <w:sz w:val="20"/>
        </w:rPr>
        <w:t> </w:t>
      </w:r>
      <w:r>
        <w:rPr>
          <w:sz w:val="20"/>
        </w:rPr>
        <w:t>agents</w:t>
      </w:r>
      <w:r>
        <w:rPr>
          <w:spacing w:val="-7"/>
          <w:sz w:val="20"/>
        </w:rPr>
        <w:t> </w:t>
      </w:r>
      <w:r>
        <w:rPr>
          <w:sz w:val="20"/>
        </w:rPr>
        <w:t>in</w:t>
      </w:r>
      <w:r>
        <w:rPr>
          <w:spacing w:val="-6"/>
          <w:sz w:val="20"/>
        </w:rPr>
        <w:t> </w:t>
      </w:r>
      <w:r>
        <w:rPr>
          <w:sz w:val="20"/>
        </w:rPr>
        <w:t>the</w:t>
      </w:r>
      <w:r>
        <w:rPr>
          <w:spacing w:val="-3"/>
          <w:sz w:val="20"/>
        </w:rPr>
        <w:t> </w:t>
      </w:r>
      <w:r>
        <w:rPr>
          <w:sz w:val="20"/>
        </w:rPr>
        <w:t>marketing</w:t>
      </w:r>
      <w:r>
        <w:rPr>
          <w:spacing w:val="-7"/>
          <w:sz w:val="20"/>
        </w:rPr>
        <w:t> </w:t>
      </w:r>
      <w:r>
        <w:rPr>
          <w:spacing w:val="-2"/>
          <w:sz w:val="20"/>
        </w:rPr>
        <w:t>chain;</w:t>
      </w:r>
    </w:p>
    <w:p>
      <w:pPr>
        <w:pStyle w:val="ListParagraph"/>
        <w:numPr>
          <w:ilvl w:val="1"/>
          <w:numId w:val="1"/>
        </w:numPr>
        <w:tabs>
          <w:tab w:pos="1011" w:val="left" w:leader="none"/>
        </w:tabs>
        <w:spacing w:line="240" w:lineRule="auto" w:before="1" w:after="0"/>
        <w:ind w:left="1011" w:right="0" w:hanging="411"/>
        <w:jc w:val="left"/>
        <w:rPr>
          <w:sz w:val="20"/>
        </w:rPr>
      </w:pPr>
      <w:r>
        <w:rPr>
          <w:sz w:val="20"/>
        </w:rPr>
        <w:t>To</w:t>
      </w:r>
      <w:r>
        <w:rPr>
          <w:spacing w:val="-6"/>
          <w:sz w:val="20"/>
        </w:rPr>
        <w:t> </w:t>
      </w:r>
      <w:r>
        <w:rPr>
          <w:sz w:val="20"/>
        </w:rPr>
        <w:t>identify</w:t>
      </w:r>
      <w:r>
        <w:rPr>
          <w:spacing w:val="-7"/>
          <w:sz w:val="20"/>
        </w:rPr>
        <w:t> </w:t>
      </w:r>
      <w:r>
        <w:rPr>
          <w:sz w:val="20"/>
        </w:rPr>
        <w:t>factors</w:t>
      </w:r>
      <w:r>
        <w:rPr>
          <w:spacing w:val="-8"/>
          <w:sz w:val="20"/>
        </w:rPr>
        <w:t> </w:t>
      </w:r>
      <w:r>
        <w:rPr>
          <w:sz w:val="20"/>
        </w:rPr>
        <w:t>affecting</w:t>
      </w:r>
      <w:r>
        <w:rPr>
          <w:spacing w:val="-7"/>
          <w:sz w:val="20"/>
        </w:rPr>
        <w:t> </w:t>
      </w:r>
      <w:r>
        <w:rPr>
          <w:sz w:val="20"/>
        </w:rPr>
        <w:t>outlet</w:t>
      </w:r>
      <w:r>
        <w:rPr>
          <w:spacing w:val="-7"/>
          <w:sz w:val="20"/>
        </w:rPr>
        <w:t> </w:t>
      </w:r>
      <w:r>
        <w:rPr>
          <w:sz w:val="20"/>
        </w:rPr>
        <w:t>choice</w:t>
      </w:r>
      <w:r>
        <w:rPr>
          <w:spacing w:val="-6"/>
          <w:sz w:val="20"/>
        </w:rPr>
        <w:t> </w:t>
      </w:r>
      <w:r>
        <w:rPr>
          <w:sz w:val="20"/>
        </w:rPr>
        <w:t>decisions</w:t>
      </w:r>
      <w:r>
        <w:rPr>
          <w:spacing w:val="-7"/>
          <w:sz w:val="20"/>
        </w:rPr>
        <w:t> </w:t>
      </w:r>
      <w:r>
        <w:rPr>
          <w:sz w:val="20"/>
        </w:rPr>
        <w:t>of</w:t>
      </w:r>
      <w:r>
        <w:rPr>
          <w:spacing w:val="-9"/>
          <w:sz w:val="20"/>
        </w:rPr>
        <w:t> </w:t>
      </w:r>
      <w:r>
        <w:rPr>
          <w:sz w:val="20"/>
        </w:rPr>
        <w:t>sesame</w:t>
      </w:r>
      <w:r>
        <w:rPr>
          <w:spacing w:val="-6"/>
          <w:sz w:val="20"/>
        </w:rPr>
        <w:t> </w:t>
      </w:r>
      <w:r>
        <w:rPr>
          <w:sz w:val="20"/>
        </w:rPr>
        <w:t>producers;</w:t>
      </w:r>
      <w:r>
        <w:rPr>
          <w:spacing w:val="-7"/>
          <w:sz w:val="20"/>
        </w:rPr>
        <w:t> </w:t>
      </w:r>
      <w:r>
        <w:rPr>
          <w:spacing w:val="-5"/>
          <w:sz w:val="20"/>
        </w:rPr>
        <w:t>and</w:t>
      </w:r>
    </w:p>
    <w:p>
      <w:pPr>
        <w:pStyle w:val="ListParagraph"/>
        <w:numPr>
          <w:ilvl w:val="1"/>
          <w:numId w:val="1"/>
        </w:numPr>
        <w:tabs>
          <w:tab w:pos="960" w:val="left" w:leader="none"/>
        </w:tabs>
        <w:spacing w:line="240" w:lineRule="auto" w:before="0" w:after="0"/>
        <w:ind w:left="960" w:right="0" w:hanging="360"/>
        <w:jc w:val="left"/>
        <w:rPr>
          <w:sz w:val="20"/>
        </w:rPr>
      </w:pPr>
      <w:r>
        <w:rPr>
          <w:sz w:val="20"/>
        </w:rPr>
        <w:t>To</w:t>
      </w:r>
      <w:r>
        <w:rPr>
          <w:spacing w:val="-7"/>
          <w:sz w:val="20"/>
        </w:rPr>
        <w:t> </w:t>
      </w:r>
      <w:r>
        <w:rPr>
          <w:sz w:val="20"/>
        </w:rPr>
        <w:t>identify</w:t>
      </w:r>
      <w:r>
        <w:rPr>
          <w:spacing w:val="-7"/>
          <w:sz w:val="20"/>
        </w:rPr>
        <w:t> </w:t>
      </w:r>
      <w:r>
        <w:rPr>
          <w:sz w:val="20"/>
        </w:rPr>
        <w:t>the</w:t>
      </w:r>
      <w:r>
        <w:rPr>
          <w:spacing w:val="-3"/>
          <w:sz w:val="20"/>
        </w:rPr>
        <w:t> </w:t>
      </w:r>
      <w:r>
        <w:rPr>
          <w:sz w:val="20"/>
        </w:rPr>
        <w:t>major</w:t>
      </w:r>
      <w:r>
        <w:rPr>
          <w:spacing w:val="-5"/>
          <w:sz w:val="20"/>
        </w:rPr>
        <w:t> </w:t>
      </w:r>
      <w:r>
        <w:rPr>
          <w:sz w:val="20"/>
        </w:rPr>
        <w:t>constraints</w:t>
      </w:r>
      <w:r>
        <w:rPr>
          <w:spacing w:val="-7"/>
          <w:sz w:val="20"/>
        </w:rPr>
        <w:t> </w:t>
      </w:r>
      <w:r>
        <w:rPr>
          <w:sz w:val="20"/>
        </w:rPr>
        <w:t>and</w:t>
      </w:r>
      <w:r>
        <w:rPr>
          <w:spacing w:val="-5"/>
          <w:sz w:val="20"/>
        </w:rPr>
        <w:t> </w:t>
      </w:r>
      <w:r>
        <w:rPr>
          <w:sz w:val="20"/>
        </w:rPr>
        <w:t>opportunities</w:t>
      </w:r>
      <w:r>
        <w:rPr>
          <w:spacing w:val="-6"/>
          <w:sz w:val="20"/>
        </w:rPr>
        <w:t> </w:t>
      </w:r>
      <w:r>
        <w:rPr>
          <w:sz w:val="20"/>
        </w:rPr>
        <w:t>in</w:t>
      </w:r>
      <w:r>
        <w:rPr>
          <w:spacing w:val="-7"/>
          <w:sz w:val="20"/>
        </w:rPr>
        <w:t> </w:t>
      </w:r>
      <w:r>
        <w:rPr>
          <w:sz w:val="20"/>
        </w:rPr>
        <w:t>sesame</w:t>
      </w:r>
      <w:r>
        <w:rPr>
          <w:spacing w:val="-3"/>
          <w:sz w:val="20"/>
        </w:rPr>
        <w:t> </w:t>
      </w:r>
      <w:r>
        <w:rPr>
          <w:sz w:val="20"/>
        </w:rPr>
        <w:t>marketing</w:t>
      </w:r>
      <w:r>
        <w:rPr>
          <w:spacing w:val="-7"/>
          <w:sz w:val="20"/>
        </w:rPr>
        <w:t> </w:t>
      </w:r>
      <w:r>
        <w:rPr>
          <w:sz w:val="20"/>
        </w:rPr>
        <w:t>in</w:t>
      </w:r>
      <w:r>
        <w:rPr>
          <w:spacing w:val="-7"/>
          <w:sz w:val="20"/>
        </w:rPr>
        <w:t> </w:t>
      </w:r>
      <w:r>
        <w:rPr>
          <w:sz w:val="20"/>
        </w:rPr>
        <w:t>the</w:t>
      </w:r>
      <w:r>
        <w:rPr>
          <w:spacing w:val="-6"/>
          <w:sz w:val="20"/>
        </w:rPr>
        <w:t> </w:t>
      </w:r>
      <w:r>
        <w:rPr>
          <w:sz w:val="20"/>
        </w:rPr>
        <w:t>study</w:t>
      </w:r>
      <w:r>
        <w:rPr>
          <w:spacing w:val="-9"/>
          <w:sz w:val="20"/>
        </w:rPr>
        <w:t> </w:t>
      </w:r>
      <w:r>
        <w:rPr>
          <w:spacing w:val="-2"/>
          <w:sz w:val="20"/>
        </w:rPr>
        <w:t>areas;</w:t>
      </w:r>
    </w:p>
    <w:p>
      <w:pPr>
        <w:pStyle w:val="BodyText"/>
        <w:spacing w:before="3"/>
        <w:ind w:left="0"/>
        <w:jc w:val="left"/>
      </w:pPr>
    </w:p>
    <w:p>
      <w:pPr>
        <w:pStyle w:val="Heading3"/>
        <w:spacing w:line="228" w:lineRule="exact"/>
      </w:pPr>
      <w:r>
        <w:rPr/>
        <w:t>Sesame</w:t>
      </w:r>
      <w:r>
        <w:rPr>
          <w:b w:val="0"/>
          <w:spacing w:val="-7"/>
        </w:rPr>
        <w:t> </w:t>
      </w:r>
      <w:r>
        <w:rPr/>
        <w:t>Marketing</w:t>
      </w:r>
      <w:r>
        <w:rPr>
          <w:b w:val="0"/>
          <w:spacing w:val="-6"/>
        </w:rPr>
        <w:t> </w:t>
      </w:r>
      <w:r>
        <w:rPr/>
        <w:t>in</w:t>
      </w:r>
      <w:r>
        <w:rPr>
          <w:b w:val="0"/>
          <w:spacing w:val="-7"/>
        </w:rPr>
        <w:t> </w:t>
      </w:r>
      <w:r>
        <w:rPr>
          <w:spacing w:val="-2"/>
        </w:rPr>
        <w:t>Ethiopia</w:t>
      </w:r>
    </w:p>
    <w:p>
      <w:pPr>
        <w:pStyle w:val="BodyText"/>
        <w:ind w:right="224"/>
      </w:pPr>
      <w:r>
        <w:rPr/>
        <w:t>Sesame marketing is highly linked with the international market and highly volatile following changes in the supply and demand at international markets. The major actors in the Ethiopian sesame market are exporters, wholesalers, brokers/agents, local traders (Assemblers), primary cooperatives and their unions, commercial</w:t>
      </w:r>
      <w:r>
        <w:rPr>
          <w:spacing w:val="40"/>
        </w:rPr>
        <w:t> </w:t>
      </w:r>
      <w:r>
        <w:rPr/>
        <w:t>farms and small-scale farmers (Alemu, 2009). Understanding of the scattered and small-scale nature of the Ethiopian</w:t>
      </w:r>
      <w:r>
        <w:rPr>
          <w:spacing w:val="-3"/>
        </w:rPr>
        <w:t> </w:t>
      </w:r>
      <w:r>
        <w:rPr/>
        <w:t>production</w:t>
      </w:r>
      <w:r>
        <w:rPr>
          <w:spacing w:val="-2"/>
        </w:rPr>
        <w:t> </w:t>
      </w:r>
      <w:r>
        <w:rPr/>
        <w:t>system, the</w:t>
      </w:r>
      <w:r>
        <w:rPr>
          <w:spacing w:val="-3"/>
        </w:rPr>
        <w:t> </w:t>
      </w:r>
      <w:r>
        <w:rPr/>
        <w:t>role</w:t>
      </w:r>
      <w:r>
        <w:rPr>
          <w:spacing w:val="-3"/>
        </w:rPr>
        <w:t> </w:t>
      </w:r>
      <w:r>
        <w:rPr/>
        <w:t>of</w:t>
      </w:r>
      <w:r>
        <w:rPr>
          <w:spacing w:val="-2"/>
        </w:rPr>
        <w:t> </w:t>
      </w:r>
      <w:r>
        <w:rPr/>
        <w:t>aggregation</w:t>
      </w:r>
      <w:r>
        <w:rPr>
          <w:spacing w:val="-2"/>
        </w:rPr>
        <w:t> </w:t>
      </w:r>
      <w:r>
        <w:rPr/>
        <w:t>in</w:t>
      </w:r>
      <w:r>
        <w:rPr>
          <w:spacing w:val="-2"/>
        </w:rPr>
        <w:t> </w:t>
      </w:r>
      <w:r>
        <w:rPr/>
        <w:t>improving</w:t>
      </w:r>
      <w:r>
        <w:rPr>
          <w:spacing w:val="-3"/>
        </w:rPr>
        <w:t> </w:t>
      </w:r>
      <w:r>
        <w:rPr/>
        <w:t>the</w:t>
      </w:r>
      <w:r>
        <w:rPr>
          <w:spacing w:val="-3"/>
        </w:rPr>
        <w:t> </w:t>
      </w:r>
      <w:r>
        <w:rPr/>
        <w:t>agricultural marketing</w:t>
      </w:r>
      <w:r>
        <w:rPr>
          <w:spacing w:val="-2"/>
        </w:rPr>
        <w:t> </w:t>
      </w:r>
      <w:r>
        <w:rPr/>
        <w:t>system</w:t>
      </w:r>
      <w:r>
        <w:rPr>
          <w:spacing w:val="-2"/>
        </w:rPr>
        <w:t> </w:t>
      </w:r>
      <w:r>
        <w:rPr/>
        <w:t>is</w:t>
      </w:r>
      <w:r>
        <w:rPr>
          <w:spacing w:val="-1"/>
        </w:rPr>
        <w:t> </w:t>
      </w:r>
      <w:r>
        <w:rPr/>
        <w:t>given</w:t>
      </w:r>
      <w:r>
        <w:rPr>
          <w:spacing w:val="-3"/>
        </w:rPr>
        <w:t> </w:t>
      </w:r>
      <w:r>
        <w:rPr/>
        <w:t>due emphasis in the national agricultural marketing strategy and this is sought to be achieved through cooperatives and their respective unions (ibid).</w:t>
      </w:r>
    </w:p>
    <w:p>
      <w:pPr>
        <w:pStyle w:val="BodyText"/>
        <w:ind w:right="225" w:firstLine="720"/>
      </w:pPr>
      <w:r>
        <w:rPr/>
        <w:t>Alemu (2009) indicates that following the above strategies, the Council of Ministers Regulation No.178/2010 (the “Regulation”) passed on 22 May 2010, mandates that sesame seed trading in Ethiopia shall be conducted only at primary transaction centers and the Ethiopian Commodity Exchange (ECX). According to Alemu, article 18 (2) of the Regulation reserves the right for any producer to export sesame seed directly, individually or through a cooperative in which he/she is a member (Alemu, 2009). However, as a result of the enforcement of the mandatory trading provisions of the Regulation, nearly all of the country’s sesame will be traded through Ethiopian Commodity Exchange (USAID-Ethiopia Agribusiness and Trade Expansion Programme, 2010).</w:t>
      </w:r>
    </w:p>
    <w:p>
      <w:pPr>
        <w:pStyle w:val="BodyText"/>
        <w:ind w:right="223" w:firstLine="720"/>
      </w:pPr>
      <w:r>
        <w:rPr/>
        <w:t>Sesame in Ethiopia is grown mainly for the export market (Aysheshm, 2007; Alemu and W.Meijerink, 2010). According to Aysheshm (2007), only about 5% is believed to be consumed locally. Ethiopia is a major sesame seed exporter in the world market. For example, in 2005/06 Ethiopia exported 237, 565 tons of sesame seed, accounting for roughly 94% of the total export earnings from oilseeds and 19% of total national export earnings (EXC, 2010). In addition, reports suggest that there is a considerable international market demand for Ethiopian sesame seed, and it is expected to continue increasing in the future (Sorsa, 2009). According to the same author, this increasing international market demand for the crop is not only evident in the rise of export volume but also in new buyers coming to the market (ibid). Currently, China is the largest import market for Ethiopia’s sesame followed by Israel, Turkey and Jordan in 2011, respectively (Ethiopia Revenue and Custom Authority, 2012).</w:t>
      </w:r>
    </w:p>
    <w:p>
      <w:pPr>
        <w:spacing w:after="0"/>
        <w:sectPr>
          <w:pgSz w:w="11900" w:h="16840"/>
          <w:pgMar w:header="846" w:footer="819" w:top="1640" w:bottom="1000" w:left="1180" w:right="1180"/>
        </w:sectPr>
      </w:pPr>
    </w:p>
    <w:p>
      <w:pPr>
        <w:pStyle w:val="Heading3"/>
        <w:spacing w:line="228" w:lineRule="exact" w:before="103"/>
      </w:pPr>
      <w:r>
        <w:rPr/>
        <w:t>Determinants</w:t>
      </w:r>
      <w:r>
        <w:rPr>
          <w:b w:val="0"/>
          <w:spacing w:val="-10"/>
        </w:rPr>
        <w:t> </w:t>
      </w:r>
      <w:r>
        <w:rPr/>
        <w:t>of</w:t>
      </w:r>
      <w:r>
        <w:rPr>
          <w:b w:val="0"/>
          <w:spacing w:val="-6"/>
        </w:rPr>
        <w:t> </w:t>
      </w:r>
      <w:r>
        <w:rPr/>
        <w:t>market</w:t>
      </w:r>
      <w:r>
        <w:rPr>
          <w:b w:val="0"/>
          <w:spacing w:val="-7"/>
        </w:rPr>
        <w:t> </w:t>
      </w:r>
      <w:r>
        <w:rPr/>
        <w:t>channel</w:t>
      </w:r>
      <w:r>
        <w:rPr>
          <w:b w:val="0"/>
          <w:spacing w:val="-9"/>
        </w:rPr>
        <w:t> </w:t>
      </w:r>
      <w:r>
        <w:rPr>
          <w:spacing w:val="-2"/>
        </w:rPr>
        <w:t>choices</w:t>
      </w:r>
    </w:p>
    <w:p>
      <w:pPr>
        <w:pStyle w:val="BodyText"/>
        <w:spacing w:line="237" w:lineRule="auto"/>
        <w:ind w:right="227" w:hanging="1"/>
      </w:pPr>
      <w:r>
        <w:rPr/>
        <w:t>Different researchers are used multinomial logit and probit for categorical marketing system for different agricultural commodities in order to determining factors affecting channel choices of the households.</w:t>
      </w:r>
    </w:p>
    <w:p>
      <w:pPr>
        <w:pStyle w:val="BodyText"/>
        <w:spacing w:before="1"/>
        <w:ind w:right="221" w:firstLine="720"/>
      </w:pPr>
      <w:r>
        <w:rPr/>
        <w:t>A multinomial logit model was applied to reveal on the determinants influencing these choices among various supply channels. According to the study by Ferto and Szabo (2002) identified variables influencing producers’</w:t>
      </w:r>
      <w:r>
        <w:rPr>
          <w:spacing w:val="-8"/>
        </w:rPr>
        <w:t> </w:t>
      </w:r>
      <w:r>
        <w:rPr/>
        <w:t>decision for channel choices. Multinomial logit model estimates, Farmer’s decisions with respects to supply channels were influenced differently by transaction costs, and producers sell to wholesale market were strongly and negatively affected by the farmer’s age, information costs, and negatively by the bargaining power and monitoring costs. The probability that farmers sell their product to marketing cooperative is influenced by</w:t>
      </w:r>
      <w:r>
        <w:rPr>
          <w:spacing w:val="40"/>
        </w:rPr>
        <w:t> </w:t>
      </w:r>
      <w:r>
        <w:rPr/>
        <w:t>the age and information costs positively, whereas by the asset specificity and bargaining power negatively.</w:t>
      </w:r>
    </w:p>
    <w:p>
      <w:pPr>
        <w:pStyle w:val="BodyText"/>
        <w:spacing w:before="1"/>
        <w:ind w:right="224" w:firstLine="720"/>
      </w:pPr>
      <w:r>
        <w:rPr/>
        <w:t>Geremew (2012) also identified Factors Determining the Extent of Sesame Production Participation in Diga district. He analyzed the problem employed using the probit regression and second stage of the double- hurdle model, to analyze the problem. He also identified ten explanatory variables (seven continuous and three discrete), were hypothesized to influence the probability of participation decisions and included in the analysis. However, he analyzed to running the final regression analysis, both the continuous and discrete explanatory variables need to be checked for the existence of multicollinearity using Variance Inflating Factor (VIF) and the contingency coefficient (CC) methods, respectively.</w:t>
      </w:r>
    </w:p>
    <w:p>
      <w:pPr>
        <w:pStyle w:val="BodyText"/>
        <w:ind w:right="227" w:firstLine="720"/>
      </w:pPr>
      <w:r>
        <w:rPr/>
        <w:t>Jari and</w:t>
      </w:r>
      <w:r>
        <w:rPr>
          <w:spacing w:val="-1"/>
        </w:rPr>
        <w:t> </w:t>
      </w:r>
      <w:r>
        <w:rPr/>
        <w:t>Fraser (2009) identified that market information, expertise on</w:t>
      </w:r>
      <w:r>
        <w:rPr>
          <w:spacing w:val="-1"/>
        </w:rPr>
        <w:t> </w:t>
      </w:r>
      <w:r>
        <w:rPr/>
        <w:t>grades</w:t>
      </w:r>
      <w:r>
        <w:rPr>
          <w:spacing w:val="-1"/>
        </w:rPr>
        <w:t> </w:t>
      </w:r>
      <w:r>
        <w:rPr/>
        <w:t>and standards, contractual agreements, social capital, market infrastructure, group participation and tradition significantly influence household marketing behavior. The study uses multinomial regression model to investigate the factors that influence marketing choices among smallholder and emerging farmers.</w:t>
      </w:r>
    </w:p>
    <w:p>
      <w:pPr>
        <w:pStyle w:val="BodyText"/>
        <w:spacing w:before="5"/>
        <w:ind w:left="0"/>
        <w:jc w:val="left"/>
      </w:pPr>
    </w:p>
    <w:p>
      <w:pPr>
        <w:pStyle w:val="Heading2"/>
      </w:pPr>
      <w:r>
        <w:rPr>
          <w:spacing w:val="-2"/>
        </w:rPr>
        <w:t>METHODOLOGY</w:t>
      </w:r>
    </w:p>
    <w:p>
      <w:pPr>
        <w:pStyle w:val="BodyText"/>
        <w:ind w:right="224"/>
      </w:pPr>
      <w:r>
        <w:rPr/>
        <w:t>Gimbi Woreda in which the study was conducted is located about 441 km West of Addis-Ababa and 2km West of Gimbi town, the capital of Western Wollega Zone of Oromia region. It has an estimated area of 1,183.44 square km; bordering in south by Haru, on the southwest by Yubdo, in the west by Lalo Asabi, and in the north by</w:t>
      </w:r>
      <w:r>
        <w:rPr>
          <w:spacing w:val="-1"/>
        </w:rPr>
        <w:t> </w:t>
      </w:r>
      <w:r>
        <w:rPr/>
        <w:t>the Benishangul-Gumuz Region, on</w:t>
      </w:r>
      <w:r>
        <w:rPr>
          <w:spacing w:val="-1"/>
        </w:rPr>
        <w:t> </w:t>
      </w:r>
      <w:r>
        <w:rPr/>
        <w:t>the east by</w:t>
      </w:r>
      <w:r>
        <w:rPr>
          <w:spacing w:val="-1"/>
        </w:rPr>
        <w:t> </w:t>
      </w:r>
      <w:r>
        <w:rPr/>
        <w:t>the East Wollega Zone, and on</w:t>
      </w:r>
      <w:r>
        <w:rPr>
          <w:spacing w:val="-1"/>
        </w:rPr>
        <w:t> </w:t>
      </w:r>
      <w:r>
        <w:rPr/>
        <w:t>the southeast by</w:t>
      </w:r>
      <w:r>
        <w:rPr>
          <w:spacing w:val="-3"/>
        </w:rPr>
        <w:t> </w:t>
      </w:r>
      <w:r>
        <w:rPr/>
        <w:t>an</w:t>
      </w:r>
      <w:r>
        <w:rPr>
          <w:spacing w:val="-1"/>
        </w:rPr>
        <w:t> </w:t>
      </w:r>
      <w:r>
        <w:rPr/>
        <w:t>exclave of the Benishangul-Gumuz Region.</w:t>
      </w:r>
      <w:r>
        <w:rPr>
          <w:spacing w:val="40"/>
        </w:rPr>
        <w:t> </w:t>
      </w:r>
      <w:r>
        <w:rPr/>
        <w:t>The woreda has a total of 32 Kebles, of which 30 are rural based peasant administration areas. The Woreda total population and households are estimated to be </w:t>
      </w:r>
      <w:r>
        <w:rPr>
          <w:b/>
        </w:rPr>
        <w:t>74,623</w:t>
      </w:r>
      <w:r>
        <w:rPr/>
        <w:t> and </w:t>
      </w:r>
      <w:r>
        <w:rPr>
          <w:b/>
        </w:rPr>
        <w:t>18,301</w:t>
      </w:r>
      <w:r>
        <w:rPr/>
        <w:t> respectively. Of the total households 97% are rural residents making their livelihood from agriculture (CSA, </w:t>
      </w:r>
      <w:r>
        <w:rPr>
          <w:spacing w:val="-2"/>
        </w:rPr>
        <w:t>2007).</w:t>
      </w:r>
    </w:p>
    <w:p>
      <w:pPr>
        <w:pStyle w:val="BodyText"/>
        <w:ind w:right="222" w:firstLine="720"/>
      </w:pPr>
      <w:r>
        <w:rPr/>
        <w:t>Lowland and midland agro-ecological zones characterize the woreda’s climate. The woreda minimum annual temperature 14</w:t>
      </w:r>
      <w:r>
        <w:rPr>
          <w:vertAlign w:val="superscript"/>
        </w:rPr>
        <w:t>o</w:t>
      </w:r>
      <w:r>
        <w:rPr>
          <w:vertAlign w:val="baseline"/>
        </w:rPr>
        <w:t>c and the maximum temperature reached as high as 26 </w:t>
      </w:r>
      <w:r>
        <w:rPr>
          <w:vertAlign w:val="superscript"/>
        </w:rPr>
        <w:t>o</w:t>
      </w:r>
      <w:r>
        <w:rPr>
          <w:vertAlign w:val="baseline"/>
        </w:rPr>
        <w:t>c and the mean annual rain fall ranges from 800 to 2000 mm. The main rainy season in the woreda is from March to end of May and from June to</w:t>
      </w:r>
      <w:r>
        <w:rPr>
          <w:spacing w:val="-2"/>
          <w:vertAlign w:val="baseline"/>
        </w:rPr>
        <w:t> </w:t>
      </w:r>
      <w:r>
        <w:rPr>
          <w:vertAlign w:val="baseline"/>
        </w:rPr>
        <w:t>end</w:t>
      </w:r>
      <w:r>
        <w:rPr>
          <w:spacing w:val="-2"/>
          <w:vertAlign w:val="baseline"/>
        </w:rPr>
        <w:t> </w:t>
      </w:r>
      <w:r>
        <w:rPr>
          <w:vertAlign w:val="baseline"/>
        </w:rPr>
        <w:t>of</w:t>
      </w:r>
      <w:r>
        <w:rPr>
          <w:spacing w:val="-5"/>
          <w:vertAlign w:val="baseline"/>
        </w:rPr>
        <w:t> </w:t>
      </w:r>
      <w:r>
        <w:rPr>
          <w:vertAlign w:val="baseline"/>
        </w:rPr>
        <w:t>half</w:t>
      </w:r>
      <w:r>
        <w:rPr>
          <w:spacing w:val="-5"/>
          <w:vertAlign w:val="baseline"/>
        </w:rPr>
        <w:t> </w:t>
      </w:r>
      <w:r>
        <w:rPr>
          <w:vertAlign w:val="baseline"/>
        </w:rPr>
        <w:t>of</w:t>
      </w:r>
      <w:r>
        <w:rPr>
          <w:spacing w:val="-5"/>
          <w:vertAlign w:val="baseline"/>
        </w:rPr>
        <w:t> </w:t>
      </w:r>
      <w:r>
        <w:rPr>
          <w:vertAlign w:val="baseline"/>
        </w:rPr>
        <w:t>September.</w:t>
      </w:r>
      <w:r>
        <w:rPr>
          <w:spacing w:val="-2"/>
          <w:vertAlign w:val="baseline"/>
        </w:rPr>
        <w:t> </w:t>
      </w:r>
      <w:r>
        <w:rPr>
          <w:vertAlign w:val="baseline"/>
        </w:rPr>
        <w:t>The</w:t>
      </w:r>
      <w:r>
        <w:rPr>
          <w:spacing w:val="-3"/>
          <w:vertAlign w:val="baseline"/>
        </w:rPr>
        <w:t> </w:t>
      </w:r>
      <w:r>
        <w:rPr>
          <w:vertAlign w:val="baseline"/>
        </w:rPr>
        <w:t>economy</w:t>
      </w:r>
      <w:r>
        <w:rPr>
          <w:spacing w:val="-4"/>
          <w:vertAlign w:val="baseline"/>
        </w:rPr>
        <w:t> </w:t>
      </w:r>
      <w:r>
        <w:rPr>
          <w:vertAlign w:val="baseline"/>
        </w:rPr>
        <w:t>of</w:t>
      </w:r>
      <w:r>
        <w:rPr>
          <w:spacing w:val="-5"/>
          <w:vertAlign w:val="baseline"/>
        </w:rPr>
        <w:t> </w:t>
      </w:r>
      <w:r>
        <w:rPr>
          <w:vertAlign w:val="baseline"/>
        </w:rPr>
        <w:t>the</w:t>
      </w:r>
      <w:r>
        <w:rPr>
          <w:spacing w:val="-3"/>
          <w:vertAlign w:val="baseline"/>
        </w:rPr>
        <w:t> </w:t>
      </w:r>
      <w:r>
        <w:rPr>
          <w:vertAlign w:val="baseline"/>
        </w:rPr>
        <w:t>Woreda</w:t>
      </w:r>
      <w:r>
        <w:rPr>
          <w:spacing w:val="-3"/>
          <w:vertAlign w:val="baseline"/>
        </w:rPr>
        <w:t> </w:t>
      </w:r>
      <w:r>
        <w:rPr>
          <w:vertAlign w:val="baseline"/>
        </w:rPr>
        <w:t>is</w:t>
      </w:r>
      <w:r>
        <w:rPr>
          <w:spacing w:val="-4"/>
          <w:vertAlign w:val="baseline"/>
        </w:rPr>
        <w:t> </w:t>
      </w:r>
      <w:r>
        <w:rPr>
          <w:vertAlign w:val="baseline"/>
        </w:rPr>
        <w:t>dominated</w:t>
      </w:r>
      <w:r>
        <w:rPr>
          <w:spacing w:val="-2"/>
          <w:vertAlign w:val="baseline"/>
        </w:rPr>
        <w:t> </w:t>
      </w:r>
      <w:r>
        <w:rPr>
          <w:vertAlign w:val="baseline"/>
        </w:rPr>
        <w:t>by</w:t>
      </w:r>
      <w:r>
        <w:rPr>
          <w:spacing w:val="-7"/>
          <w:vertAlign w:val="baseline"/>
        </w:rPr>
        <w:t> </w:t>
      </w:r>
      <w:r>
        <w:rPr>
          <w:vertAlign w:val="baseline"/>
        </w:rPr>
        <w:t>traditional</w:t>
      </w:r>
      <w:r>
        <w:rPr>
          <w:spacing w:val="-3"/>
          <w:vertAlign w:val="baseline"/>
        </w:rPr>
        <w:t> </w:t>
      </w:r>
      <w:r>
        <w:rPr>
          <w:vertAlign w:val="baseline"/>
        </w:rPr>
        <w:t>cash</w:t>
      </w:r>
      <w:r>
        <w:rPr>
          <w:spacing w:val="-2"/>
          <w:vertAlign w:val="baseline"/>
        </w:rPr>
        <w:t> </w:t>
      </w:r>
      <w:r>
        <w:rPr>
          <w:vertAlign w:val="baseline"/>
        </w:rPr>
        <w:t>and</w:t>
      </w:r>
      <w:r>
        <w:rPr>
          <w:spacing w:val="-2"/>
          <w:vertAlign w:val="baseline"/>
        </w:rPr>
        <w:t> </w:t>
      </w:r>
      <w:r>
        <w:rPr>
          <w:vertAlign w:val="baseline"/>
        </w:rPr>
        <w:t>other</w:t>
      </w:r>
      <w:r>
        <w:rPr>
          <w:spacing w:val="-2"/>
          <w:vertAlign w:val="baseline"/>
        </w:rPr>
        <w:t> </w:t>
      </w:r>
      <w:r>
        <w:rPr>
          <w:vertAlign w:val="baseline"/>
        </w:rPr>
        <w:t>crops</w:t>
      </w:r>
      <w:r>
        <w:rPr>
          <w:spacing w:val="-4"/>
          <w:vertAlign w:val="baseline"/>
        </w:rPr>
        <w:t> </w:t>
      </w:r>
      <w:r>
        <w:rPr>
          <w:vertAlign w:val="baseline"/>
        </w:rPr>
        <w:t>such</w:t>
      </w:r>
      <w:r>
        <w:rPr>
          <w:spacing w:val="-4"/>
          <w:vertAlign w:val="baseline"/>
        </w:rPr>
        <w:t> </w:t>
      </w:r>
      <w:r>
        <w:rPr>
          <w:vertAlign w:val="baseline"/>
        </w:rPr>
        <w:t>as maize farming mixed with livestock husbandry. The major crops produced in the Woreda</w:t>
      </w:r>
      <w:r>
        <w:rPr>
          <w:spacing w:val="-1"/>
          <w:vertAlign w:val="baseline"/>
        </w:rPr>
        <w:t> </w:t>
      </w:r>
      <w:r>
        <w:rPr>
          <w:vertAlign w:val="baseline"/>
        </w:rPr>
        <w:t>include sesame, maize and sorghum. (GWOoARD, 2013).</w:t>
      </w:r>
    </w:p>
    <w:p>
      <w:pPr>
        <w:pStyle w:val="BodyText"/>
        <w:ind w:right="224" w:firstLine="720"/>
      </w:pPr>
      <w:r>
        <w:rPr/>
        <w:t>Gimbi Woreda is known for its high potential for sesame, coffee and maize production. Besides, it is rich</w:t>
      </w:r>
      <w:r>
        <w:rPr>
          <w:spacing w:val="-1"/>
        </w:rPr>
        <w:t> </w:t>
      </w:r>
      <w:r>
        <w:rPr/>
        <w:t>in</w:t>
      </w:r>
      <w:r>
        <w:rPr>
          <w:spacing w:val="-1"/>
        </w:rPr>
        <w:t> </w:t>
      </w:r>
      <w:r>
        <w:rPr/>
        <w:t>small ruminant animals, incense and gum</w:t>
      </w:r>
      <w:r>
        <w:rPr>
          <w:spacing w:val="-1"/>
        </w:rPr>
        <w:t> </w:t>
      </w:r>
      <w:r>
        <w:rPr/>
        <w:t>resources. Except for the very</w:t>
      </w:r>
      <w:r>
        <w:rPr>
          <w:spacing w:val="-1"/>
        </w:rPr>
        <w:t> </w:t>
      </w:r>
      <w:r>
        <w:rPr/>
        <w:t>small areas under vegetables and fruits, crops in all farms (commercial and smallholders) are grown under rain fed condition. In the area, sesame, coffee, and maize are the most important marketable commodities, and accounted for 90% of the Woreda cultivated area. Both the primary and secondary data were used to collect data. Primary data sources were smallholder farmers and wholesalers from three purposely selected kebeles, collectors, Commission, retailers, processors, and Exporters.</w:t>
      </w:r>
    </w:p>
    <w:p>
      <w:pPr>
        <w:pStyle w:val="BodyText"/>
        <w:ind w:right="226" w:firstLine="720"/>
      </w:pPr>
      <w:r>
        <w:rPr/>
        <w:t>Secondary data sources were Gimbi Woreda Trade and Market Development office and its associated Primary cooperatives, Woreda and Regional Bureaus of agriculture, Woreda office of small scale trade and industry, Custom agency, ECX, CSA</w:t>
      </w:r>
      <w:r>
        <w:rPr>
          <w:spacing w:val="-4"/>
        </w:rPr>
        <w:t> </w:t>
      </w:r>
      <w:r>
        <w:rPr/>
        <w:t>and NBE and their different publications, and Ministry of agriculture and rural development. Secondary data was collected also from sources were different and relevant published and unpublished reports, bulletins, and websites were consulted to generate relevant secondary data on sesame seeds supply chain.</w:t>
      </w:r>
    </w:p>
    <w:p>
      <w:pPr>
        <w:pStyle w:val="BodyText"/>
        <w:ind w:right="225" w:firstLine="720"/>
      </w:pPr>
      <w:r>
        <w:rPr/>
        <w:t>For this study, in order to select a representative sample a Two-stage random</w:t>
      </w:r>
      <w:r>
        <w:rPr>
          <w:spacing w:val="-2"/>
        </w:rPr>
        <w:t> </w:t>
      </w:r>
      <w:r>
        <w:rPr/>
        <w:t>sampling techniques were implemented.</w:t>
      </w:r>
      <w:r>
        <w:rPr>
          <w:spacing w:val="-1"/>
        </w:rPr>
        <w:t> </w:t>
      </w:r>
      <w:r>
        <w:rPr/>
        <w:t>In</w:t>
      </w:r>
      <w:r>
        <w:rPr>
          <w:spacing w:val="-3"/>
        </w:rPr>
        <w:t> </w:t>
      </w:r>
      <w:r>
        <w:rPr/>
        <w:t>the</w:t>
      </w:r>
      <w:r>
        <w:rPr>
          <w:spacing w:val="-1"/>
        </w:rPr>
        <w:t> </w:t>
      </w:r>
      <w:r>
        <w:rPr/>
        <w:t>first</w:t>
      </w:r>
      <w:r>
        <w:rPr>
          <w:spacing w:val="-2"/>
        </w:rPr>
        <w:t> </w:t>
      </w:r>
      <w:r>
        <w:rPr/>
        <w:t>stage, with</w:t>
      </w:r>
      <w:r>
        <w:rPr>
          <w:spacing w:val="-3"/>
        </w:rPr>
        <w:t> </w:t>
      </w:r>
      <w:r>
        <w:rPr/>
        <w:t>the</w:t>
      </w:r>
      <w:r>
        <w:rPr>
          <w:spacing w:val="-1"/>
        </w:rPr>
        <w:t> </w:t>
      </w:r>
      <w:r>
        <w:rPr/>
        <w:t>consultation</w:t>
      </w:r>
      <w:r>
        <w:rPr>
          <w:spacing w:val="-3"/>
        </w:rPr>
        <w:t> </w:t>
      </w:r>
      <w:r>
        <w:rPr/>
        <w:t>of</w:t>
      </w:r>
      <w:r>
        <w:rPr>
          <w:spacing w:val="-3"/>
        </w:rPr>
        <w:t> </w:t>
      </w:r>
      <w:r>
        <w:rPr/>
        <w:t>Woreda</w:t>
      </w:r>
      <w:r>
        <w:rPr>
          <w:spacing w:val="-1"/>
        </w:rPr>
        <w:t> </w:t>
      </w:r>
      <w:r>
        <w:rPr/>
        <w:t>agricultural</w:t>
      </w:r>
      <w:r>
        <w:rPr>
          <w:spacing w:val="-2"/>
        </w:rPr>
        <w:t> </w:t>
      </w:r>
      <w:r>
        <w:rPr/>
        <w:t>experts</w:t>
      </w:r>
      <w:r>
        <w:rPr>
          <w:spacing w:val="-2"/>
        </w:rPr>
        <w:t> </w:t>
      </w:r>
      <w:r>
        <w:rPr/>
        <w:t>and development</w:t>
      </w:r>
      <w:r>
        <w:rPr>
          <w:spacing w:val="-2"/>
        </w:rPr>
        <w:t> </w:t>
      </w:r>
      <w:r>
        <w:rPr/>
        <w:t>agents,</w:t>
      </w:r>
      <w:r>
        <w:rPr>
          <w:spacing w:val="-1"/>
        </w:rPr>
        <w:t> </w:t>
      </w:r>
      <w:r>
        <w:rPr/>
        <w:t>out of 12 kebeles potential sesame producer of Gimbi Woreda 3 sesame producer kebeles were purposively selected based on the level of production. In the second stage, using the list of households in the sampled kebeles, </w:t>
      </w:r>
      <w:r>
        <w:rPr>
          <w:b/>
        </w:rPr>
        <w:t>127</w:t>
      </w:r>
      <w:r>
        <w:rPr/>
        <w:t> sample farmers were selected randomly at </w:t>
      </w:r>
      <w:r>
        <w:rPr>
          <w:b/>
        </w:rPr>
        <w:t>95</w:t>
      </w:r>
      <w:r>
        <w:rPr/>
        <w:t>% confidence interval based on the total numbers sesame producer selected from three kebeles using the following formulas.</w:t>
      </w:r>
    </w:p>
    <w:p>
      <w:pPr>
        <w:spacing w:after="0"/>
        <w:sectPr>
          <w:pgSz w:w="11900" w:h="16840"/>
          <w:pgMar w:header="846" w:footer="819" w:top="1640" w:bottom="1000" w:left="1180" w:right="1180"/>
        </w:sectPr>
      </w:pPr>
    </w:p>
    <w:p>
      <w:pPr>
        <w:tabs>
          <w:tab w:pos="2210" w:val="left" w:leader="none"/>
        </w:tabs>
        <w:spacing w:line="127" w:lineRule="auto" w:before="177"/>
        <w:ind w:left="1937" w:right="0" w:hanging="447"/>
        <w:jc w:val="left"/>
        <w:rPr>
          <w:rFonts w:ascii="FreeSerif"/>
          <w:sz w:val="17"/>
        </w:rPr>
      </w:pPr>
      <w:r>
        <w:rPr/>
        <mc:AlternateContent>
          <mc:Choice Requires="wps">
            <w:drawing>
              <wp:anchor distT="0" distB="0" distL="0" distR="0" allowOverlap="1" layoutInCell="1" locked="0" behindDoc="0" simplePos="0" relativeHeight="15728640">
                <wp:simplePos x="0" y="0"/>
                <wp:positionH relativeFrom="page">
                  <wp:posOffset>1979675</wp:posOffset>
                </wp:positionH>
                <wp:positionV relativeFrom="paragraph">
                  <wp:posOffset>136638</wp:posOffset>
                </wp:positionV>
                <wp:extent cx="429895" cy="1079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29895" cy="10795"/>
                        </a:xfrm>
                        <a:custGeom>
                          <a:avLst/>
                          <a:gdLst/>
                          <a:ahLst/>
                          <a:cxnLst/>
                          <a:rect l="l" t="t" r="r" b="b"/>
                          <a:pathLst>
                            <a:path w="429895" h="10795">
                              <a:moveTo>
                                <a:pt x="429767" y="0"/>
                              </a:moveTo>
                              <a:lnTo>
                                <a:pt x="0" y="0"/>
                              </a:lnTo>
                              <a:lnTo>
                                <a:pt x="0" y="10667"/>
                              </a:lnTo>
                              <a:lnTo>
                                <a:pt x="429767" y="10667"/>
                              </a:lnTo>
                              <a:lnTo>
                                <a:pt x="429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5.87999pt;margin-top:10.758912pt;width:33.839999pt;height:.84pt;mso-position-horizontal-relative:page;mso-position-vertical-relative:paragraph;z-index:15728640" id="docshape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2351457</wp:posOffset>
                </wp:positionH>
                <wp:positionV relativeFrom="paragraph">
                  <wp:posOffset>145612</wp:posOffset>
                </wp:positionV>
                <wp:extent cx="52705" cy="10413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2705" cy="104139"/>
                        </a:xfrm>
                        <a:prstGeom prst="rect">
                          <a:avLst/>
                        </a:prstGeom>
                      </wps:spPr>
                      <wps:txbx>
                        <w:txbxContent>
                          <w:p>
                            <w:pPr>
                              <w:spacing w:line="157" w:lineRule="exact" w:before="6"/>
                              <w:ind w:left="0" w:right="0" w:firstLine="0"/>
                              <w:jc w:val="left"/>
                              <w:rPr>
                                <w:rFonts w:ascii="FreeSerif"/>
                                <w:sz w:val="14"/>
                              </w:rPr>
                            </w:pPr>
                            <w:r>
                              <w:rPr>
                                <w:rFonts w:ascii="FreeSerif"/>
                                <w:spacing w:val="-10"/>
                                <w:w w:val="115"/>
                                <w:sz w:val="14"/>
                              </w:rPr>
                              <w:t>2</w:t>
                            </w:r>
                          </w:p>
                        </w:txbxContent>
                      </wps:txbx>
                      <wps:bodyPr wrap="square" lIns="0" tIns="0" rIns="0" bIns="0" rtlCol="0">
                        <a:noAutofit/>
                      </wps:bodyPr>
                    </wps:wsp>
                  </a:graphicData>
                </a:graphic>
              </wp:anchor>
            </w:drawing>
          </mc:Choice>
          <mc:Fallback>
            <w:pict>
              <v:shape style="position:absolute;margin-left:185.15416pt;margin-top:11.46555pt;width:4.150pt;height:8.2pt;mso-position-horizontal-relative:page;mso-position-vertical-relative:paragraph;z-index:15729152" type="#_x0000_t202" id="docshape6" filled="false" stroked="false">
                <v:textbox inset="0,0,0,0">
                  <w:txbxContent>
                    <w:p>
                      <w:pPr>
                        <w:spacing w:line="157" w:lineRule="exact" w:before="6"/>
                        <w:ind w:left="0" w:right="0" w:firstLine="0"/>
                        <w:jc w:val="left"/>
                        <w:rPr>
                          <w:rFonts w:ascii="FreeSerif"/>
                          <w:sz w:val="14"/>
                        </w:rPr>
                      </w:pPr>
                      <w:r>
                        <w:rPr>
                          <w:rFonts w:ascii="FreeSerif"/>
                          <w:spacing w:val="-10"/>
                          <w:w w:val="115"/>
                          <w:sz w:val="14"/>
                        </w:rPr>
                        <w:t>2</w:t>
                      </w:r>
                    </w:p>
                  </w:txbxContent>
                </v:textbox>
                <w10:wrap type="none"/>
              </v:shape>
            </w:pict>
          </mc:Fallback>
        </mc:AlternateContent>
      </w:r>
      <w:r>
        <w:rPr>
          <w:rFonts w:ascii="FreeSerif"/>
          <w:w w:val="120"/>
          <w:sz w:val="24"/>
        </w:rPr>
        <w:t>n</w:t>
      </w:r>
      <w:r>
        <w:rPr>
          <w:w w:val="120"/>
          <w:sz w:val="24"/>
        </w:rPr>
        <w:t> </w:t>
      </w:r>
      <w:r>
        <w:rPr>
          <w:rFonts w:ascii="FreeSerif"/>
          <w:w w:val="120"/>
          <w:sz w:val="24"/>
        </w:rPr>
        <w:t>=</w:t>
      </w:r>
      <w:r>
        <w:rPr>
          <w:sz w:val="24"/>
        </w:rPr>
        <w:tab/>
        <w:tab/>
      </w:r>
      <w:r>
        <w:rPr>
          <w:rFonts w:ascii="FreeSerif"/>
          <w:spacing w:val="-10"/>
          <w:w w:val="120"/>
          <w:sz w:val="24"/>
          <w:vertAlign w:val="superscript"/>
        </w:rPr>
        <w:t>N</w:t>
      </w:r>
      <w:r>
        <w:rPr>
          <w:spacing w:val="-10"/>
          <w:w w:val="120"/>
          <w:sz w:val="24"/>
          <w:vertAlign w:val="baseline"/>
        </w:rPr>
        <w:t> </w:t>
      </w:r>
      <w:r>
        <w:rPr>
          <w:rFonts w:ascii="FreeSerif"/>
          <w:spacing w:val="-4"/>
          <w:w w:val="120"/>
          <w:sz w:val="17"/>
          <w:vertAlign w:val="baseline"/>
        </w:rPr>
        <w:t>1+N(e)</w:t>
      </w:r>
    </w:p>
    <w:p>
      <w:pPr>
        <w:pStyle w:val="BodyText"/>
        <w:spacing w:before="105"/>
        <w:ind w:left="201"/>
        <w:jc w:val="left"/>
      </w:pPr>
      <w:r>
        <w:rPr/>
        <w:br w:type="column"/>
      </w:r>
      <w:r>
        <w:rPr/>
        <w:t>……..</w:t>
      </w:r>
      <w:r>
        <w:rPr>
          <w:spacing w:val="-8"/>
        </w:rPr>
        <w:t> </w:t>
      </w:r>
      <w:r>
        <w:rPr/>
        <w:t>(Yemane,</w:t>
      </w:r>
      <w:r>
        <w:rPr>
          <w:spacing w:val="-7"/>
        </w:rPr>
        <w:t> </w:t>
      </w:r>
      <w:r>
        <w:rPr>
          <w:spacing w:val="-2"/>
        </w:rPr>
        <w:t>1967)</w:t>
      </w:r>
    </w:p>
    <w:p>
      <w:pPr>
        <w:spacing w:after="0"/>
        <w:jc w:val="left"/>
        <w:sectPr>
          <w:type w:val="continuous"/>
          <w:pgSz w:w="11900" w:h="16840"/>
          <w:pgMar w:header="846" w:footer="819" w:top="1640" w:bottom="1000" w:left="1180" w:right="1180"/>
          <w:cols w:num="2" w:equalWidth="0">
            <w:col w:w="2525" w:space="40"/>
            <w:col w:w="6975"/>
          </w:cols>
        </w:sectPr>
      </w:pPr>
    </w:p>
    <w:p>
      <w:pPr>
        <w:pStyle w:val="BodyText"/>
        <w:spacing w:before="83"/>
        <w:ind w:left="0"/>
        <w:jc w:val="left"/>
        <w:rPr>
          <w:sz w:val="17"/>
        </w:rPr>
      </w:pPr>
    </w:p>
    <w:p>
      <w:pPr>
        <w:tabs>
          <w:tab w:pos="2794" w:val="left" w:leader="none"/>
        </w:tabs>
        <w:spacing w:line="127" w:lineRule="auto" w:before="0"/>
        <w:ind w:left="2520" w:right="0" w:hanging="447"/>
        <w:jc w:val="left"/>
        <w:rPr>
          <w:rFonts w:ascii="FreeSerif"/>
          <w:sz w:val="17"/>
        </w:rPr>
      </w:pPr>
      <w:r>
        <w:rPr/>
        <mc:AlternateContent>
          <mc:Choice Requires="wps">
            <w:drawing>
              <wp:anchor distT="0" distB="0" distL="0" distR="0" allowOverlap="1" layoutInCell="1" locked="0" behindDoc="1" simplePos="0" relativeHeight="486313984">
                <wp:simplePos x="0" y="0"/>
                <wp:positionH relativeFrom="page">
                  <wp:posOffset>2350007</wp:posOffset>
                </wp:positionH>
                <wp:positionV relativeFrom="paragraph">
                  <wp:posOffset>24267</wp:posOffset>
                </wp:positionV>
                <wp:extent cx="429895" cy="1079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29895" cy="10795"/>
                        </a:xfrm>
                        <a:custGeom>
                          <a:avLst/>
                          <a:gdLst/>
                          <a:ahLst/>
                          <a:cxnLst/>
                          <a:rect l="l" t="t" r="r" b="b"/>
                          <a:pathLst>
                            <a:path w="429895" h="10795">
                              <a:moveTo>
                                <a:pt x="429767" y="0"/>
                              </a:moveTo>
                              <a:lnTo>
                                <a:pt x="0" y="0"/>
                              </a:lnTo>
                              <a:lnTo>
                                <a:pt x="0" y="10667"/>
                              </a:lnTo>
                              <a:lnTo>
                                <a:pt x="429767" y="10667"/>
                              </a:lnTo>
                              <a:lnTo>
                                <a:pt x="429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5.039993pt;margin-top:1.910809pt;width:33.839999pt;height:.84pt;mso-position-horizontal-relative:page;mso-position-vertical-relative:paragraph;z-index:-17002496" id="docshape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3248">
                <wp:simplePos x="0" y="0"/>
                <wp:positionH relativeFrom="page">
                  <wp:posOffset>2721849</wp:posOffset>
                </wp:positionH>
                <wp:positionV relativeFrom="paragraph">
                  <wp:posOffset>33250</wp:posOffset>
                </wp:positionV>
                <wp:extent cx="52705" cy="10413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2705" cy="104139"/>
                        </a:xfrm>
                        <a:prstGeom prst="rect">
                          <a:avLst/>
                        </a:prstGeom>
                      </wps:spPr>
                      <wps:txbx>
                        <w:txbxContent>
                          <w:p>
                            <w:pPr>
                              <w:spacing w:line="157" w:lineRule="exact" w:before="6"/>
                              <w:ind w:left="0" w:right="0" w:firstLine="0"/>
                              <w:jc w:val="left"/>
                              <w:rPr>
                                <w:rFonts w:ascii="FreeSerif"/>
                                <w:sz w:val="14"/>
                              </w:rPr>
                            </w:pPr>
                            <w:r>
                              <w:rPr>
                                <w:rFonts w:ascii="FreeSerif"/>
                                <w:spacing w:val="-10"/>
                                <w:w w:val="115"/>
                                <w:sz w:val="14"/>
                              </w:rPr>
                              <w:t>2</w:t>
                            </w:r>
                          </w:p>
                        </w:txbxContent>
                      </wps:txbx>
                      <wps:bodyPr wrap="square" lIns="0" tIns="0" rIns="0" bIns="0" rtlCol="0">
                        <a:noAutofit/>
                      </wps:bodyPr>
                    </wps:wsp>
                  </a:graphicData>
                </a:graphic>
              </wp:anchor>
            </w:drawing>
          </mc:Choice>
          <mc:Fallback>
            <w:pict>
              <v:shape style="position:absolute;margin-left:214.318848pt;margin-top:2.618130pt;width:4.150pt;height:8.2pt;mso-position-horizontal-relative:page;mso-position-vertical-relative:paragraph;z-index:15733248" type="#_x0000_t202" id="docshape8" filled="false" stroked="false">
                <v:textbox inset="0,0,0,0">
                  <w:txbxContent>
                    <w:p>
                      <w:pPr>
                        <w:spacing w:line="157" w:lineRule="exact" w:before="6"/>
                        <w:ind w:left="0" w:right="0" w:firstLine="0"/>
                        <w:jc w:val="left"/>
                        <w:rPr>
                          <w:rFonts w:ascii="FreeSerif"/>
                          <w:sz w:val="14"/>
                        </w:rPr>
                      </w:pPr>
                      <w:r>
                        <w:rPr>
                          <w:rFonts w:ascii="FreeSerif"/>
                          <w:spacing w:val="-10"/>
                          <w:w w:val="115"/>
                          <w:sz w:val="14"/>
                        </w:rPr>
                        <w:t>2</w:t>
                      </w:r>
                    </w:p>
                  </w:txbxContent>
                </v:textbox>
                <w10:wrap type="none"/>
              </v:shape>
            </w:pict>
          </mc:Fallback>
        </mc:AlternateContent>
      </w:r>
      <w:r>
        <w:rPr>
          <w:rFonts w:ascii="FreeSerif"/>
          <w:w w:val="120"/>
          <w:sz w:val="24"/>
        </w:rPr>
        <w:t>n</w:t>
      </w:r>
      <w:r>
        <w:rPr>
          <w:w w:val="120"/>
          <w:sz w:val="24"/>
        </w:rPr>
        <w:t> </w:t>
      </w:r>
      <w:r>
        <w:rPr>
          <w:rFonts w:ascii="FreeSerif"/>
          <w:w w:val="120"/>
          <w:sz w:val="24"/>
        </w:rPr>
        <w:t>=</w:t>
      </w:r>
      <w:r>
        <w:rPr>
          <w:sz w:val="24"/>
        </w:rPr>
        <w:tab/>
        <w:tab/>
      </w:r>
      <w:r>
        <w:rPr>
          <w:rFonts w:ascii="FreeSerif"/>
          <w:spacing w:val="-10"/>
          <w:w w:val="120"/>
          <w:sz w:val="24"/>
          <w:vertAlign w:val="superscript"/>
        </w:rPr>
        <w:t>N</w:t>
      </w:r>
      <w:r>
        <w:rPr>
          <w:spacing w:val="-10"/>
          <w:w w:val="120"/>
          <w:sz w:val="24"/>
          <w:vertAlign w:val="baseline"/>
        </w:rPr>
        <w:t> </w:t>
      </w:r>
      <w:r>
        <w:rPr>
          <w:rFonts w:ascii="FreeSerif"/>
          <w:spacing w:val="-4"/>
          <w:w w:val="120"/>
          <w:sz w:val="17"/>
          <w:vertAlign w:val="baseline"/>
        </w:rPr>
        <w:t>1+N(e)</w:t>
      </w:r>
    </w:p>
    <w:p>
      <w:pPr>
        <w:spacing w:before="150"/>
        <w:ind w:left="215" w:right="0" w:firstLine="0"/>
        <w:jc w:val="center"/>
        <w:rPr>
          <w:rFonts w:ascii="FreeSerif"/>
          <w:sz w:val="14"/>
        </w:rPr>
      </w:pPr>
      <w:r>
        <w:rPr/>
        <w:br w:type="column"/>
      </w:r>
      <w:r>
        <w:rPr>
          <w:rFonts w:ascii="FreeSerif"/>
          <w:spacing w:val="-5"/>
          <w:w w:val="115"/>
          <w:sz w:val="14"/>
        </w:rPr>
        <w:t>187</w:t>
      </w:r>
    </w:p>
    <w:p>
      <w:pPr>
        <w:pStyle w:val="BodyText"/>
        <w:spacing w:line="20" w:lineRule="exact"/>
        <w:ind w:left="210" w:right="-72"/>
        <w:jc w:val="left"/>
        <w:rPr>
          <w:rFonts w:ascii="FreeSerif"/>
          <w:sz w:val="2"/>
        </w:rPr>
      </w:pPr>
      <w:r>
        <w:rPr>
          <w:rFonts w:ascii="FreeSerif"/>
          <w:sz w:val="2"/>
        </w:rPr>
        <mc:AlternateContent>
          <mc:Choice Requires="wps">
            <w:drawing>
              <wp:inline distT="0" distB="0" distL="0" distR="0">
                <wp:extent cx="565785" cy="7620"/>
                <wp:effectExtent l="0" t="0" r="0" b="0"/>
                <wp:docPr id="10" name="Group 10"/>
                <wp:cNvGraphicFramePr>
                  <a:graphicFrameLocks/>
                </wp:cNvGraphicFramePr>
                <a:graphic>
                  <a:graphicData uri="http://schemas.microsoft.com/office/word/2010/wordprocessingGroup">
                    <wpg:wgp>
                      <wpg:cNvPr id="10" name="Group 10"/>
                      <wpg:cNvGrpSpPr/>
                      <wpg:grpSpPr>
                        <a:xfrm>
                          <a:off x="0" y="0"/>
                          <a:ext cx="565785" cy="7620"/>
                          <a:chExt cx="565785" cy="7620"/>
                        </a:xfrm>
                      </wpg:grpSpPr>
                      <wps:wsp>
                        <wps:cNvPr id="11" name="Graphic 11"/>
                        <wps:cNvSpPr/>
                        <wps:spPr>
                          <a:xfrm>
                            <a:off x="0" y="0"/>
                            <a:ext cx="565785" cy="7620"/>
                          </a:xfrm>
                          <a:custGeom>
                            <a:avLst/>
                            <a:gdLst/>
                            <a:ahLst/>
                            <a:cxnLst/>
                            <a:rect l="l" t="t" r="r" b="b"/>
                            <a:pathLst>
                              <a:path w="565785" h="7620">
                                <a:moveTo>
                                  <a:pt x="565403" y="0"/>
                                </a:moveTo>
                                <a:lnTo>
                                  <a:pt x="0" y="0"/>
                                </a:lnTo>
                                <a:lnTo>
                                  <a:pt x="0" y="7619"/>
                                </a:lnTo>
                                <a:lnTo>
                                  <a:pt x="565403" y="7619"/>
                                </a:lnTo>
                                <a:lnTo>
                                  <a:pt x="5654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5pt;height:.6pt;mso-position-horizontal-relative:char;mso-position-vertical-relative:line" id="docshapegroup9" coordorigin="0,0" coordsize="891,12">
                <v:rect style="position:absolute;left:0;top:0;width:891;height:12" id="docshape10" filled="true" fillcolor="#000000" stroked="false">
                  <v:fill type="solid"/>
                </v:rect>
              </v:group>
            </w:pict>
          </mc:Fallback>
        </mc:AlternateContent>
      </w:r>
      <w:r>
        <w:rPr>
          <w:rFonts w:ascii="FreeSerif"/>
          <w:sz w:val="2"/>
        </w:rPr>
      </w:r>
    </w:p>
    <w:p>
      <w:pPr>
        <w:spacing w:before="8"/>
        <w:ind w:left="210" w:right="0" w:firstLine="0"/>
        <w:jc w:val="center"/>
        <w:rPr>
          <w:rFonts w:ascii="FreeSerif"/>
          <w:sz w:val="12"/>
        </w:rPr>
      </w:pPr>
      <w:r>
        <w:rPr/>
        <mc:AlternateContent>
          <mc:Choice Requires="wps">
            <w:drawing>
              <wp:anchor distT="0" distB="0" distL="0" distR="0" allowOverlap="1" layoutInCell="1" locked="0" behindDoc="0" simplePos="0" relativeHeight="15733760">
                <wp:simplePos x="0" y="0"/>
                <wp:positionH relativeFrom="page">
                  <wp:posOffset>2811778</wp:posOffset>
                </wp:positionH>
                <wp:positionV relativeFrom="paragraph">
                  <wp:posOffset>-77467</wp:posOffset>
                </wp:positionV>
                <wp:extent cx="71755" cy="1403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1755" cy="140335"/>
                        </a:xfrm>
                        <a:prstGeom prst="rect">
                          <a:avLst/>
                        </a:prstGeom>
                      </wps:spPr>
                      <wps:txbx>
                        <w:txbxContent>
                          <w:p>
                            <w:pPr>
                              <w:spacing w:line="221" w:lineRule="exact" w:before="0"/>
                              <w:ind w:left="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221.399902pt;margin-top:-6.099827pt;width:5.65pt;height:11.05pt;mso-position-horizontal-relative:page;mso-position-vertical-relative:paragraph;z-index:15733760" type="#_x0000_t202" id="docshape11" filled="false" stroked="false">
                <v:textbox inset="0,0,0,0">
                  <w:txbxContent>
                    <w:p>
                      <w:pPr>
                        <w:spacing w:line="221" w:lineRule="exact" w:before="0"/>
                        <w:ind w:left="0" w:right="0" w:firstLine="0"/>
                        <w:jc w:val="left"/>
                        <w:rPr>
                          <w:sz w:val="20"/>
                        </w:rPr>
                      </w:pPr>
                      <w:r>
                        <w:rPr>
                          <w:spacing w:val="-10"/>
                          <w:sz w:val="20"/>
                        </w:rPr>
                        <w:t>=</w:t>
                      </w:r>
                    </w:p>
                  </w:txbxContent>
                </v:textbox>
                <w10:wrap type="none"/>
              </v:shape>
            </w:pict>
          </mc:Fallback>
        </mc:AlternateContent>
      </w:r>
      <w:r>
        <w:rPr>
          <w:rFonts w:ascii="FreeSerif"/>
          <w:spacing w:val="-2"/>
          <w:w w:val="115"/>
          <w:sz w:val="14"/>
        </w:rPr>
        <w:t>1+187(0.05)</w:t>
      </w:r>
      <w:r>
        <w:rPr>
          <w:rFonts w:ascii="FreeSerif"/>
          <w:spacing w:val="-2"/>
          <w:w w:val="115"/>
          <w:position w:val="4"/>
          <w:sz w:val="12"/>
        </w:rPr>
        <w:t>2</w:t>
      </w:r>
    </w:p>
    <w:p>
      <w:pPr>
        <w:pStyle w:val="BodyText"/>
        <w:spacing w:before="206"/>
        <w:ind w:left="63"/>
        <w:jc w:val="left"/>
      </w:pPr>
      <w:r>
        <w:rPr/>
        <w:br w:type="column"/>
      </w:r>
      <w:r>
        <w:rPr/>
        <w:t>=</w:t>
      </w:r>
      <w:r>
        <w:rPr>
          <w:spacing w:val="-2"/>
        </w:rPr>
        <w:t> 127………………………….……………………………...1</w:t>
      </w:r>
    </w:p>
    <w:p>
      <w:pPr>
        <w:spacing w:after="0"/>
        <w:jc w:val="left"/>
        <w:sectPr>
          <w:pgSz w:w="11900" w:h="16840"/>
          <w:pgMar w:header="846" w:footer="819" w:top="1640" w:bottom="1000" w:left="1180" w:right="1180"/>
          <w:cols w:num="3" w:equalWidth="0">
            <w:col w:w="3108" w:space="40"/>
            <w:col w:w="1099" w:space="39"/>
            <w:col w:w="5254"/>
          </w:cols>
        </w:sectPr>
      </w:pPr>
    </w:p>
    <w:p>
      <w:pPr>
        <w:pStyle w:val="BodyText"/>
        <w:spacing w:before="6"/>
        <w:ind w:left="960"/>
      </w:pPr>
      <w:r>
        <w:rPr/>
        <w:t>Where</w:t>
      </w:r>
      <w:r>
        <w:rPr>
          <w:spacing w:val="-4"/>
        </w:rPr>
        <w:t> </w:t>
      </w:r>
      <w:r>
        <w:rPr/>
        <w:t>n</w:t>
      </w:r>
      <w:r>
        <w:rPr>
          <w:spacing w:val="-5"/>
        </w:rPr>
        <w:t> </w:t>
      </w:r>
      <w:r>
        <w:rPr/>
        <w:t>is</w:t>
      </w:r>
      <w:r>
        <w:rPr>
          <w:spacing w:val="-5"/>
        </w:rPr>
        <w:t> </w:t>
      </w:r>
      <w:r>
        <w:rPr/>
        <w:t>the</w:t>
      </w:r>
      <w:r>
        <w:rPr>
          <w:spacing w:val="-4"/>
        </w:rPr>
        <w:t> </w:t>
      </w:r>
      <w:r>
        <w:rPr/>
        <w:t>sample</w:t>
      </w:r>
      <w:r>
        <w:rPr>
          <w:spacing w:val="-4"/>
        </w:rPr>
        <w:t> </w:t>
      </w:r>
      <w:r>
        <w:rPr/>
        <w:t>size,</w:t>
      </w:r>
      <w:r>
        <w:rPr>
          <w:spacing w:val="-4"/>
        </w:rPr>
        <w:t> </w:t>
      </w:r>
      <w:r>
        <w:rPr/>
        <w:t>N</w:t>
      </w:r>
      <w:r>
        <w:rPr>
          <w:spacing w:val="-1"/>
        </w:rPr>
        <w:t> </w:t>
      </w:r>
      <w:r>
        <w:rPr/>
        <w:t>is</w:t>
      </w:r>
      <w:r>
        <w:rPr>
          <w:spacing w:val="-4"/>
        </w:rPr>
        <w:t> </w:t>
      </w:r>
      <w:r>
        <w:rPr/>
        <w:t>the</w:t>
      </w:r>
      <w:r>
        <w:rPr>
          <w:spacing w:val="-4"/>
        </w:rPr>
        <w:t> </w:t>
      </w:r>
      <w:r>
        <w:rPr/>
        <w:t>population</w:t>
      </w:r>
      <w:r>
        <w:rPr>
          <w:spacing w:val="-5"/>
        </w:rPr>
        <w:t> </w:t>
      </w:r>
      <w:r>
        <w:rPr/>
        <w:t>size,</w:t>
      </w:r>
      <w:r>
        <w:rPr>
          <w:spacing w:val="-3"/>
        </w:rPr>
        <w:t> </w:t>
      </w:r>
      <w:r>
        <w:rPr/>
        <w:t>and</w:t>
      </w:r>
      <w:r>
        <w:rPr>
          <w:spacing w:val="-3"/>
        </w:rPr>
        <w:t> </w:t>
      </w:r>
      <w:r>
        <w:rPr/>
        <w:t>e</w:t>
      </w:r>
      <w:r>
        <w:rPr>
          <w:spacing w:val="-4"/>
        </w:rPr>
        <w:t> </w:t>
      </w:r>
      <w:r>
        <w:rPr/>
        <w:t>is</w:t>
      </w:r>
      <w:r>
        <w:rPr>
          <w:spacing w:val="-2"/>
        </w:rPr>
        <w:t> </w:t>
      </w:r>
      <w:r>
        <w:rPr/>
        <w:t>the</w:t>
      </w:r>
      <w:r>
        <w:rPr>
          <w:spacing w:val="-4"/>
        </w:rPr>
        <w:t> </w:t>
      </w:r>
      <w:r>
        <w:rPr/>
        <w:t>level</w:t>
      </w:r>
      <w:r>
        <w:rPr>
          <w:spacing w:val="-4"/>
        </w:rPr>
        <w:t> </w:t>
      </w:r>
      <w:r>
        <w:rPr/>
        <w:t>of</w:t>
      </w:r>
      <w:r>
        <w:rPr>
          <w:spacing w:val="-5"/>
        </w:rPr>
        <w:t> </w:t>
      </w:r>
      <w:r>
        <w:rPr>
          <w:spacing w:val="-2"/>
        </w:rPr>
        <w:t>precision.</w:t>
      </w:r>
    </w:p>
    <w:p>
      <w:pPr>
        <w:pStyle w:val="BodyText"/>
        <w:ind w:right="221" w:firstLine="720"/>
      </w:pPr>
      <w:r>
        <w:rPr/>
        <w:t>In general, using the above sample size and the total number of sesame producers from selected</w:t>
      </w:r>
      <w:r>
        <w:rPr>
          <w:spacing w:val="40"/>
        </w:rPr>
        <w:t> </w:t>
      </w:r>
      <w:r>
        <w:rPr/>
        <w:t>Keble’s,</w:t>
      </w:r>
      <w:r>
        <w:rPr>
          <w:spacing w:val="-2"/>
        </w:rPr>
        <w:t> </w:t>
      </w:r>
      <w:r>
        <w:rPr/>
        <w:t>the proportion</w:t>
      </w:r>
      <w:r>
        <w:rPr>
          <w:spacing w:val="-4"/>
        </w:rPr>
        <w:t> </w:t>
      </w:r>
      <w:r>
        <w:rPr/>
        <w:t>and</w:t>
      </w:r>
      <w:r>
        <w:rPr>
          <w:spacing w:val="-2"/>
        </w:rPr>
        <w:t> </w:t>
      </w:r>
      <w:r>
        <w:rPr/>
        <w:t>the</w:t>
      </w:r>
      <w:r>
        <w:rPr>
          <w:spacing w:val="-3"/>
        </w:rPr>
        <w:t> </w:t>
      </w:r>
      <w:r>
        <w:rPr/>
        <w:t>number</w:t>
      </w:r>
      <w:r>
        <w:rPr>
          <w:spacing w:val="-2"/>
        </w:rPr>
        <w:t> </w:t>
      </w:r>
      <w:r>
        <w:rPr/>
        <w:t>of</w:t>
      </w:r>
      <w:r>
        <w:rPr>
          <w:spacing w:val="-2"/>
        </w:rPr>
        <w:t> </w:t>
      </w:r>
      <w:r>
        <w:rPr/>
        <w:t>sample</w:t>
      </w:r>
      <w:r>
        <w:rPr>
          <w:spacing w:val="-3"/>
        </w:rPr>
        <w:t> </w:t>
      </w:r>
      <w:r>
        <w:rPr/>
        <w:t>households</w:t>
      </w:r>
      <w:r>
        <w:rPr>
          <w:spacing w:val="-4"/>
        </w:rPr>
        <w:t> </w:t>
      </w:r>
      <w:r>
        <w:rPr/>
        <w:t>from</w:t>
      </w:r>
      <w:r>
        <w:rPr>
          <w:spacing w:val="-4"/>
        </w:rPr>
        <w:t> </w:t>
      </w:r>
      <w:r>
        <w:rPr/>
        <w:t>three</w:t>
      </w:r>
      <w:r>
        <w:rPr>
          <w:spacing w:val="-3"/>
        </w:rPr>
        <w:t> </w:t>
      </w:r>
      <w:r>
        <w:rPr/>
        <w:t>Kebles</w:t>
      </w:r>
      <w:r>
        <w:rPr>
          <w:spacing w:val="-4"/>
        </w:rPr>
        <w:t> </w:t>
      </w:r>
      <w:r>
        <w:rPr/>
        <w:t>can</w:t>
      </w:r>
      <w:r>
        <w:rPr>
          <w:spacing w:val="-2"/>
        </w:rPr>
        <w:t> </w:t>
      </w:r>
      <w:r>
        <w:rPr/>
        <w:t>be</w:t>
      </w:r>
      <w:r>
        <w:rPr>
          <w:spacing w:val="-3"/>
        </w:rPr>
        <w:t> </w:t>
      </w:r>
      <w:r>
        <w:rPr/>
        <w:t>summarized</w:t>
      </w:r>
      <w:r>
        <w:rPr>
          <w:spacing w:val="-2"/>
        </w:rPr>
        <w:t> </w:t>
      </w:r>
      <w:r>
        <w:rPr/>
        <w:t>according</w:t>
      </w:r>
      <w:r>
        <w:rPr>
          <w:spacing w:val="-4"/>
        </w:rPr>
        <w:t> </w:t>
      </w:r>
      <w:r>
        <w:rPr/>
        <w:t>to the following tables respectively. For this study, data from</w:t>
      </w:r>
      <w:r>
        <w:rPr>
          <w:spacing w:val="-1"/>
        </w:rPr>
        <w:t> </w:t>
      </w:r>
      <w:r>
        <w:rPr>
          <w:b/>
        </w:rPr>
        <w:t>17</w:t>
      </w:r>
      <w:r>
        <w:rPr/>
        <w:t> traders and </w:t>
      </w:r>
      <w:r>
        <w:rPr>
          <w:b/>
        </w:rPr>
        <w:t>22</w:t>
      </w:r>
      <w:r>
        <w:rPr/>
        <w:t> consumers were also collected. The sites for the trader surveys were market towns in which a good sample of sesame traders existed. The lists of traders including Assemblers, collectors, Commission Agents, Processors, Wholesalers, Retailers and Exporters will be obtained from the respective Woreda Office of Trade and Market Development (OoTMD) can be summarized according to the following tables. Before data collection, the questionnaire was pre-tested on five farmers</w:t>
      </w:r>
      <w:r>
        <w:rPr>
          <w:spacing w:val="-1"/>
        </w:rPr>
        <w:t> </w:t>
      </w:r>
      <w:r>
        <w:rPr/>
        <w:t>and three traders</w:t>
      </w:r>
      <w:r>
        <w:rPr>
          <w:spacing w:val="-1"/>
        </w:rPr>
        <w:t> </w:t>
      </w:r>
      <w:r>
        <w:rPr/>
        <w:t>to evaluate the appropriateness</w:t>
      </w:r>
      <w:r>
        <w:rPr>
          <w:spacing w:val="-1"/>
        </w:rPr>
        <w:t> </w:t>
      </w:r>
      <w:r>
        <w:rPr/>
        <w:t>of</w:t>
      </w:r>
      <w:r>
        <w:rPr>
          <w:spacing w:val="-2"/>
        </w:rPr>
        <w:t> </w:t>
      </w:r>
      <w:r>
        <w:rPr/>
        <w:t>the design, clarity</w:t>
      </w:r>
      <w:r>
        <w:rPr>
          <w:spacing w:val="-4"/>
        </w:rPr>
        <w:t> </w:t>
      </w:r>
      <w:r>
        <w:rPr/>
        <w:t>and interpretation</w:t>
      </w:r>
      <w:r>
        <w:rPr>
          <w:spacing w:val="-2"/>
        </w:rPr>
        <w:t> </w:t>
      </w:r>
      <w:r>
        <w:rPr/>
        <w:t>of</w:t>
      </w:r>
      <w:r>
        <w:rPr>
          <w:spacing w:val="-2"/>
        </w:rPr>
        <w:t> </w:t>
      </w:r>
      <w:r>
        <w:rPr/>
        <w:t>the questions, relevance of the questions and time taken for an interview. Hence, appropriate modifications and corrections were made based on the feedback from the pretest on the questionnaire. Data were collected under continuous supervision of the researcher. Purposive sampling was used to select </w:t>
      </w:r>
      <w:r>
        <w:rPr>
          <w:b/>
        </w:rPr>
        <w:t>127</w:t>
      </w:r>
      <w:r>
        <w:rPr/>
        <w:t> households for interview from three kebeles. Then, both qualitative and quantitative data were collected and used for the study analysis. The questionnaire was cover different topics in order to capture relevant information related to the study objectives. And it was prepared as simple as possible, which was later translated to </w:t>
      </w:r>
      <w:r>
        <w:rPr>
          <w:b/>
        </w:rPr>
        <w:t>Afan</w:t>
      </w:r>
      <w:r>
        <w:rPr/>
        <w:t> </w:t>
      </w:r>
      <w:r>
        <w:rPr>
          <w:b/>
        </w:rPr>
        <w:t>Oromo</w:t>
      </w:r>
      <w:r>
        <w:rPr>
          <w:b/>
          <w:vertAlign w:val="superscript"/>
        </w:rPr>
        <w:t>1</w:t>
      </w:r>
      <w:r>
        <w:rPr>
          <w:vertAlign w:val="baseline"/>
        </w:rPr>
        <w:t> in order to channel answers by the respondents. Rather the questionnaires were made as comprehensive as possible and correction was made along the way considering its relevance to local conditions from everyday lesson learns while interviewing the farmers.</w:t>
      </w:r>
    </w:p>
    <w:p>
      <w:pPr>
        <w:pStyle w:val="BodyText"/>
        <w:ind w:right="228" w:firstLine="720"/>
      </w:pPr>
      <w:r>
        <w:rPr/>
        <w:t>Descriptive statistics and econometric analysis were used to analyze the data collected from sesame producers, traders and consumers. These methods of data analysis were refer to the use of percentages, means, standard deviations, t-test, χ2-test, and maps in the process of examining and describing marketing functions, facilities, services, and household characteristics.</w:t>
      </w:r>
    </w:p>
    <w:p>
      <w:pPr>
        <w:pStyle w:val="BodyText"/>
        <w:spacing w:before="4"/>
        <w:ind w:left="0"/>
        <w:jc w:val="left"/>
      </w:pPr>
    </w:p>
    <w:p>
      <w:pPr>
        <w:pStyle w:val="Heading3"/>
        <w:ind w:right="5518"/>
        <w:jc w:val="left"/>
      </w:pPr>
      <w:r>
        <w:rPr/>
        <w:t>Analysis</w:t>
      </w:r>
      <w:r>
        <w:rPr>
          <w:b w:val="0"/>
          <w:spacing w:val="-11"/>
        </w:rPr>
        <w:t> </w:t>
      </w:r>
      <w:r>
        <w:rPr/>
        <w:t>of</w:t>
      </w:r>
      <w:r>
        <w:rPr>
          <w:b w:val="0"/>
          <w:spacing w:val="-10"/>
        </w:rPr>
        <w:t> </w:t>
      </w:r>
      <w:r>
        <w:rPr/>
        <w:t>sesame</w:t>
      </w:r>
      <w:r>
        <w:rPr>
          <w:b w:val="0"/>
          <w:spacing w:val="-8"/>
        </w:rPr>
        <w:t> </w:t>
      </w:r>
      <w:r>
        <w:rPr/>
        <w:t>marketing</w:t>
      </w:r>
      <w:r>
        <w:rPr>
          <w:b w:val="0"/>
          <w:spacing w:val="-10"/>
        </w:rPr>
        <w:t> </w:t>
      </w:r>
      <w:r>
        <w:rPr/>
        <w:t>performance</w:t>
      </w:r>
      <w:r>
        <w:rPr>
          <w:b w:val="0"/>
        </w:rPr>
        <w:t> </w:t>
      </w:r>
      <w:r>
        <w:rPr/>
        <w:t>Marketing</w:t>
      </w:r>
      <w:r>
        <w:rPr>
          <w:b w:val="0"/>
        </w:rPr>
        <w:t> </w:t>
      </w:r>
      <w:r>
        <w:rPr/>
        <w:t>margin</w:t>
      </w:r>
    </w:p>
    <w:p>
      <w:pPr>
        <w:pStyle w:val="BodyText"/>
        <w:ind w:right="230"/>
        <w:jc w:val="left"/>
      </w:pPr>
      <w:r>
        <w:rPr/>
        <w:t>Computing the total gross marketing margin (TGMM) is always related to the final price paid by the end buyer and is expressed as percentage (Mendoza, 1995).</w:t>
      </w:r>
    </w:p>
    <w:p>
      <w:pPr>
        <w:pStyle w:val="BodyText"/>
        <w:tabs>
          <w:tab w:pos="9311" w:val="right" w:leader="dot"/>
        </w:tabs>
        <w:spacing w:line="88" w:lineRule="auto"/>
        <w:ind w:left="1565"/>
        <w:jc w:val="left"/>
      </w:pPr>
      <w:r>
        <w:rPr/>
        <mc:AlternateContent>
          <mc:Choice Requires="wps">
            <w:drawing>
              <wp:anchor distT="0" distB="0" distL="0" distR="0" allowOverlap="1" layoutInCell="1" locked="0" behindDoc="0" simplePos="0" relativeHeight="15730688">
                <wp:simplePos x="0" y="0"/>
                <wp:positionH relativeFrom="page">
                  <wp:posOffset>2269235</wp:posOffset>
                </wp:positionH>
                <wp:positionV relativeFrom="paragraph">
                  <wp:posOffset>117083</wp:posOffset>
                </wp:positionV>
                <wp:extent cx="1381125"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381125" cy="7620"/>
                        </a:xfrm>
                        <a:custGeom>
                          <a:avLst/>
                          <a:gdLst/>
                          <a:ahLst/>
                          <a:cxnLst/>
                          <a:rect l="l" t="t" r="r" b="b"/>
                          <a:pathLst>
                            <a:path w="1381125" h="7620">
                              <a:moveTo>
                                <a:pt x="1380743" y="0"/>
                              </a:moveTo>
                              <a:lnTo>
                                <a:pt x="0" y="0"/>
                              </a:lnTo>
                              <a:lnTo>
                                <a:pt x="0" y="7619"/>
                              </a:lnTo>
                              <a:lnTo>
                                <a:pt x="1380743" y="7619"/>
                              </a:lnTo>
                              <a:lnTo>
                                <a:pt x="13807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8.679993pt;margin-top:9.219169pt;width:108.719998pt;height:.6pt;mso-position-horizontal-relative:page;mso-position-vertical-relative:paragraph;z-index:15730688" id="docshape12" filled="true" fillcolor="#000000" stroked="false">
                <v:fill type="solid"/>
                <w10:wrap type="none"/>
              </v:rect>
            </w:pict>
          </mc:Fallback>
        </mc:AlternateContent>
      </w:r>
      <w:r>
        <w:rPr>
          <w:rFonts w:ascii="FreeSerif" w:hAnsi="FreeSerif"/>
          <w:w w:val="115"/>
          <w:position w:val="-11"/>
        </w:rPr>
        <w:t>TGMM</w:t>
      </w:r>
      <w:r>
        <w:rPr>
          <w:spacing w:val="-15"/>
          <w:w w:val="115"/>
          <w:position w:val="-11"/>
        </w:rPr>
        <w:t> </w:t>
      </w:r>
      <w:r>
        <w:rPr>
          <w:rFonts w:ascii="FreeSerif" w:hAnsi="FreeSerif"/>
          <w:w w:val="130"/>
          <w:position w:val="-11"/>
        </w:rPr>
        <w:t>=</w:t>
      </w:r>
      <w:r>
        <w:rPr>
          <w:spacing w:val="-14"/>
          <w:w w:val="130"/>
          <w:position w:val="-11"/>
        </w:rPr>
        <w:t> </w:t>
      </w:r>
      <w:r>
        <w:rPr>
          <w:rFonts w:ascii="FreeSerif" w:hAnsi="FreeSerif"/>
          <w:w w:val="130"/>
          <w:position w:val="-11"/>
          <w:vertAlign w:val="superscript"/>
        </w:rPr>
        <w:t>Consumer</w:t>
      </w:r>
      <w:r>
        <w:rPr>
          <w:spacing w:val="-30"/>
          <w:w w:val="130"/>
          <w:position w:val="-11"/>
          <w:vertAlign w:val="baseline"/>
        </w:rPr>
        <w:t> </w:t>
      </w:r>
      <w:r>
        <w:rPr>
          <w:rFonts w:ascii="FreeSerif" w:hAnsi="FreeSerif"/>
          <w:w w:val="130"/>
          <w:position w:val="-11"/>
          <w:vertAlign w:val="superscript"/>
        </w:rPr>
        <w:t>Price−Producer</w:t>
      </w:r>
      <w:r>
        <w:rPr>
          <w:spacing w:val="-33"/>
          <w:w w:val="130"/>
          <w:position w:val="-11"/>
          <w:vertAlign w:val="baseline"/>
        </w:rPr>
        <w:t> </w:t>
      </w:r>
      <w:r>
        <w:rPr>
          <w:rFonts w:ascii="FreeSerif" w:hAnsi="FreeSerif"/>
          <w:w w:val="130"/>
          <w:position w:val="-11"/>
          <w:vertAlign w:val="superscript"/>
        </w:rPr>
        <w:t>Price</w:t>
      </w:r>
      <w:r>
        <w:rPr>
          <w:spacing w:val="-20"/>
          <w:w w:val="130"/>
          <w:position w:val="-11"/>
          <w:vertAlign w:val="baseline"/>
        </w:rPr>
        <w:t> </w:t>
      </w:r>
      <w:r>
        <w:rPr>
          <w:rFonts w:ascii="FreeSerif" w:hAnsi="FreeSerif"/>
          <w:w w:val="130"/>
          <w:position w:val="-11"/>
          <w:vertAlign w:val="baseline"/>
        </w:rPr>
        <w:t>×</w:t>
      </w:r>
      <w:r>
        <w:rPr>
          <w:spacing w:val="-21"/>
          <w:w w:val="130"/>
          <w:position w:val="-11"/>
          <w:vertAlign w:val="baseline"/>
        </w:rPr>
        <w:t> </w:t>
      </w:r>
      <w:r>
        <w:rPr>
          <w:rFonts w:ascii="FreeSerif" w:hAnsi="FreeSerif"/>
          <w:spacing w:val="-5"/>
          <w:w w:val="115"/>
          <w:position w:val="-11"/>
          <w:vertAlign w:val="baseline"/>
        </w:rPr>
        <w:t>100</w:t>
      </w:r>
      <w:r>
        <w:rPr>
          <w:position w:val="-11"/>
          <w:vertAlign w:val="baseline"/>
        </w:rPr>
        <w:tab/>
      </w:r>
      <w:r>
        <w:rPr>
          <w:spacing w:val="-10"/>
          <w:w w:val="130"/>
          <w:position w:val="-11"/>
          <w:vertAlign w:val="baseline"/>
        </w:rPr>
        <w:t>2</w:t>
      </w:r>
    </w:p>
    <w:p>
      <w:pPr>
        <w:spacing w:line="146" w:lineRule="exact" w:before="12"/>
        <w:ind w:left="2945" w:right="0" w:firstLine="0"/>
        <w:jc w:val="left"/>
        <w:rPr>
          <w:rFonts w:ascii="FreeSerif"/>
          <w:sz w:val="14"/>
        </w:rPr>
      </w:pPr>
      <w:r>
        <w:rPr>
          <w:rFonts w:ascii="FreeSerif"/>
          <w:w w:val="115"/>
          <w:sz w:val="14"/>
        </w:rPr>
        <w:t>Consumer</w:t>
      </w:r>
      <w:r>
        <w:rPr>
          <w:spacing w:val="15"/>
          <w:w w:val="120"/>
          <w:sz w:val="14"/>
        </w:rPr>
        <w:t> </w:t>
      </w:r>
      <w:r>
        <w:rPr>
          <w:rFonts w:ascii="FreeSerif"/>
          <w:spacing w:val="-4"/>
          <w:w w:val="120"/>
          <w:sz w:val="14"/>
        </w:rPr>
        <w:t>Price</w:t>
      </w:r>
    </w:p>
    <w:p>
      <w:pPr>
        <w:pStyle w:val="BodyText"/>
        <w:spacing w:line="207" w:lineRule="exact"/>
        <w:jc w:val="left"/>
      </w:pPr>
      <w:r>
        <w:rPr/>
        <w:t>Where,</w:t>
      </w:r>
      <w:r>
        <w:rPr>
          <w:spacing w:val="-5"/>
        </w:rPr>
        <w:t> </w:t>
      </w:r>
      <w:r>
        <w:rPr/>
        <w:t>TGMM</w:t>
      </w:r>
      <w:r>
        <w:rPr>
          <w:spacing w:val="-5"/>
        </w:rPr>
        <w:t> </w:t>
      </w:r>
      <w:r>
        <w:rPr/>
        <w:t>=</w:t>
      </w:r>
      <w:r>
        <w:rPr>
          <w:spacing w:val="-7"/>
        </w:rPr>
        <w:t> </w:t>
      </w:r>
      <w:r>
        <w:rPr/>
        <w:t>Total</w:t>
      </w:r>
      <w:r>
        <w:rPr>
          <w:spacing w:val="-6"/>
        </w:rPr>
        <w:t> </w:t>
      </w:r>
      <w:r>
        <w:rPr/>
        <w:t>gross</w:t>
      </w:r>
      <w:r>
        <w:rPr>
          <w:spacing w:val="-6"/>
        </w:rPr>
        <w:t> </w:t>
      </w:r>
      <w:r>
        <w:rPr/>
        <w:t>marketing</w:t>
      </w:r>
      <w:r>
        <w:rPr>
          <w:spacing w:val="-4"/>
        </w:rPr>
        <w:t> </w:t>
      </w:r>
      <w:r>
        <w:rPr>
          <w:spacing w:val="-2"/>
        </w:rPr>
        <w:t>margin</w:t>
      </w:r>
    </w:p>
    <w:p>
      <w:pPr>
        <w:pStyle w:val="BodyText"/>
        <w:ind w:right="230"/>
        <w:jc w:val="left"/>
      </w:pPr>
      <w:r>
        <w:rPr/>
        <w:t>It is useful to introduce the idea of ‘farmer’s portion’, or ‘producer’s gross margin’ (GMMp) which is the share of the price paid by the consumer that goes to the producer. The producer’s margin is calculated as:</w:t>
      </w:r>
    </w:p>
    <w:p>
      <w:pPr>
        <w:tabs>
          <w:tab w:pos="9311" w:val="right" w:leader="dot"/>
        </w:tabs>
        <w:spacing w:line="160" w:lineRule="auto" w:before="28"/>
        <w:ind w:left="1565" w:right="0" w:firstLine="0"/>
        <w:jc w:val="left"/>
        <w:rPr>
          <w:sz w:val="20"/>
        </w:rPr>
      </w:pPr>
      <w:r>
        <w:rPr/>
        <mc:AlternateContent>
          <mc:Choice Requires="wps">
            <w:drawing>
              <wp:anchor distT="0" distB="0" distL="0" distR="0" allowOverlap="1" layoutInCell="1" locked="0" behindDoc="1" simplePos="0" relativeHeight="486315008">
                <wp:simplePos x="0" y="0"/>
                <wp:positionH relativeFrom="page">
                  <wp:posOffset>2253995</wp:posOffset>
                </wp:positionH>
                <wp:positionV relativeFrom="paragraph">
                  <wp:posOffset>120492</wp:posOffset>
                </wp:positionV>
                <wp:extent cx="1771014" cy="762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771014" cy="7620"/>
                        </a:xfrm>
                        <a:custGeom>
                          <a:avLst/>
                          <a:gdLst/>
                          <a:ahLst/>
                          <a:cxnLst/>
                          <a:rect l="l" t="t" r="r" b="b"/>
                          <a:pathLst>
                            <a:path w="1771014" h="7620">
                              <a:moveTo>
                                <a:pt x="1770887" y="0"/>
                              </a:moveTo>
                              <a:lnTo>
                                <a:pt x="0" y="0"/>
                              </a:lnTo>
                              <a:lnTo>
                                <a:pt x="0" y="7619"/>
                              </a:lnTo>
                              <a:lnTo>
                                <a:pt x="1770887" y="7619"/>
                              </a:lnTo>
                              <a:lnTo>
                                <a:pt x="17708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7.479996pt;margin-top:9.487559pt;width:139.439997pt;height:.6pt;mso-position-horizontal-relative:page;mso-position-vertical-relative:paragraph;z-index:-17001472" id="docshape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318080">
                <wp:simplePos x="0" y="0"/>
                <wp:positionH relativeFrom="page">
                  <wp:posOffset>2028440</wp:posOffset>
                </wp:positionH>
                <wp:positionV relativeFrom="paragraph">
                  <wp:posOffset>102041</wp:posOffset>
                </wp:positionV>
                <wp:extent cx="55880" cy="1041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5880" cy="104139"/>
                        </a:xfrm>
                        <a:prstGeom prst="rect">
                          <a:avLst/>
                        </a:prstGeom>
                      </wps:spPr>
                      <wps:txbx>
                        <w:txbxContent>
                          <w:p>
                            <w:pPr>
                              <w:spacing w:line="157" w:lineRule="exact" w:before="6"/>
                              <w:ind w:left="0" w:right="0" w:firstLine="0"/>
                              <w:jc w:val="left"/>
                              <w:rPr>
                                <w:rFonts w:ascii="FreeSerif"/>
                                <w:sz w:val="14"/>
                              </w:rPr>
                            </w:pPr>
                            <w:r>
                              <w:rPr>
                                <w:rFonts w:ascii="FreeSerif"/>
                                <w:spacing w:val="-10"/>
                                <w:w w:val="125"/>
                                <w:sz w:val="14"/>
                              </w:rPr>
                              <w:t>p</w:t>
                            </w:r>
                          </w:p>
                        </w:txbxContent>
                      </wps:txbx>
                      <wps:bodyPr wrap="square" lIns="0" tIns="0" rIns="0" bIns="0" rtlCol="0">
                        <a:noAutofit/>
                      </wps:bodyPr>
                    </wps:wsp>
                  </a:graphicData>
                </a:graphic>
              </wp:anchor>
            </w:drawing>
          </mc:Choice>
          <mc:Fallback>
            <w:pict>
              <v:shape style="position:absolute;margin-left:159.719711pt;margin-top:8.034737pt;width:4.4pt;height:8.2pt;mso-position-horizontal-relative:page;mso-position-vertical-relative:paragraph;z-index:-16998400" type="#_x0000_t202" id="docshape14" filled="false" stroked="false">
                <v:textbox inset="0,0,0,0">
                  <w:txbxContent>
                    <w:p>
                      <w:pPr>
                        <w:spacing w:line="157" w:lineRule="exact" w:before="6"/>
                        <w:ind w:left="0" w:right="0" w:firstLine="0"/>
                        <w:jc w:val="left"/>
                        <w:rPr>
                          <w:rFonts w:ascii="FreeSerif"/>
                          <w:sz w:val="14"/>
                        </w:rPr>
                      </w:pPr>
                      <w:r>
                        <w:rPr>
                          <w:rFonts w:ascii="FreeSerif"/>
                          <w:spacing w:val="-10"/>
                          <w:w w:val="125"/>
                          <w:sz w:val="14"/>
                        </w:rPr>
                        <w:t>p</w:t>
                      </w:r>
                    </w:p>
                  </w:txbxContent>
                </v:textbox>
                <w10:wrap type="none"/>
              </v:shape>
            </w:pict>
          </mc:Fallback>
        </mc:AlternateContent>
      </w:r>
      <w:r>
        <w:rPr>
          <w:rFonts w:ascii="FreeSerif" w:hAnsi="FreeSerif"/>
          <w:w w:val="115"/>
          <w:position w:val="-11"/>
          <w:sz w:val="20"/>
        </w:rPr>
        <w:t>GMM</w:t>
      </w:r>
      <w:r>
        <w:rPr>
          <w:spacing w:val="69"/>
          <w:w w:val="150"/>
          <w:position w:val="-11"/>
          <w:sz w:val="20"/>
        </w:rPr>
        <w:t> </w:t>
      </w:r>
      <w:r>
        <w:rPr>
          <w:rFonts w:ascii="FreeSerif" w:hAnsi="FreeSerif"/>
          <w:w w:val="115"/>
          <w:position w:val="-11"/>
          <w:sz w:val="20"/>
        </w:rPr>
        <w:t>=</w:t>
      </w:r>
      <w:r>
        <w:rPr>
          <w:spacing w:val="-4"/>
          <w:w w:val="115"/>
          <w:position w:val="-11"/>
          <w:sz w:val="20"/>
        </w:rPr>
        <w:t> </w:t>
      </w:r>
      <w:r>
        <w:rPr>
          <w:rFonts w:ascii="FreeSerif" w:hAnsi="FreeSerif"/>
          <w:w w:val="115"/>
          <w:sz w:val="14"/>
        </w:rPr>
        <w:t>Consumer</w:t>
      </w:r>
      <w:r>
        <w:rPr>
          <w:spacing w:val="-10"/>
          <w:w w:val="115"/>
          <w:sz w:val="14"/>
        </w:rPr>
        <w:t> </w:t>
      </w:r>
      <w:r>
        <w:rPr>
          <w:rFonts w:ascii="FreeSerif" w:hAnsi="FreeSerif"/>
          <w:w w:val="115"/>
          <w:sz w:val="14"/>
        </w:rPr>
        <w:t>Price−Marketing</w:t>
      </w:r>
      <w:r>
        <w:rPr>
          <w:spacing w:val="-10"/>
          <w:w w:val="115"/>
          <w:sz w:val="14"/>
        </w:rPr>
        <w:t> </w:t>
      </w:r>
      <w:r>
        <w:rPr>
          <w:rFonts w:ascii="FreeSerif" w:hAnsi="FreeSerif"/>
          <w:w w:val="115"/>
          <w:sz w:val="14"/>
        </w:rPr>
        <w:t>Gross</w:t>
      </w:r>
      <w:r>
        <w:rPr>
          <w:spacing w:val="-9"/>
          <w:w w:val="115"/>
          <w:sz w:val="14"/>
        </w:rPr>
        <w:t> </w:t>
      </w:r>
      <w:r>
        <w:rPr>
          <w:rFonts w:ascii="FreeSerif" w:hAnsi="FreeSerif"/>
          <w:w w:val="115"/>
          <w:sz w:val="14"/>
        </w:rPr>
        <w:t>Margin</w:t>
      </w:r>
      <w:r>
        <w:rPr>
          <w:spacing w:val="4"/>
          <w:w w:val="115"/>
          <w:sz w:val="14"/>
        </w:rPr>
        <w:t> </w:t>
      </w:r>
      <w:r>
        <w:rPr>
          <w:rFonts w:ascii="FreeSerif" w:hAnsi="FreeSerif"/>
          <w:w w:val="115"/>
          <w:position w:val="-11"/>
          <w:sz w:val="20"/>
        </w:rPr>
        <w:t>×</w:t>
      </w:r>
      <w:r>
        <w:rPr>
          <w:spacing w:val="-15"/>
          <w:w w:val="115"/>
          <w:position w:val="-11"/>
          <w:sz w:val="20"/>
        </w:rPr>
        <w:t> </w:t>
      </w:r>
      <w:r>
        <w:rPr>
          <w:rFonts w:ascii="FreeSerif" w:hAnsi="FreeSerif"/>
          <w:spacing w:val="-5"/>
          <w:w w:val="115"/>
          <w:position w:val="-11"/>
          <w:sz w:val="20"/>
        </w:rPr>
        <w:t>100</w:t>
      </w:r>
      <w:r>
        <w:rPr>
          <w:position w:val="-11"/>
          <w:sz w:val="20"/>
        </w:rPr>
        <w:tab/>
      </w:r>
      <w:r>
        <w:rPr>
          <w:spacing w:val="-10"/>
          <w:w w:val="115"/>
          <w:position w:val="-11"/>
          <w:sz w:val="20"/>
        </w:rPr>
        <w:t>3</w:t>
      </w:r>
    </w:p>
    <w:p>
      <w:pPr>
        <w:spacing w:line="117" w:lineRule="exact" w:before="0"/>
        <w:ind w:left="78" w:right="2090" w:firstLine="0"/>
        <w:jc w:val="center"/>
        <w:rPr>
          <w:rFonts w:ascii="FreeSerif"/>
          <w:sz w:val="14"/>
        </w:rPr>
      </w:pPr>
      <w:r>
        <w:rPr>
          <w:rFonts w:ascii="FreeSerif"/>
          <w:spacing w:val="-2"/>
          <w:w w:val="120"/>
          <w:sz w:val="14"/>
        </w:rPr>
        <w:t>Consumer</w:t>
      </w:r>
      <w:r>
        <w:rPr>
          <w:spacing w:val="5"/>
          <w:w w:val="120"/>
          <w:sz w:val="14"/>
        </w:rPr>
        <w:t> </w:t>
      </w:r>
      <w:r>
        <w:rPr>
          <w:rFonts w:ascii="FreeSerif"/>
          <w:spacing w:val="-4"/>
          <w:w w:val="120"/>
          <w:sz w:val="14"/>
        </w:rPr>
        <w:t>Price</w:t>
      </w:r>
    </w:p>
    <w:p>
      <w:pPr>
        <w:pStyle w:val="BodyText"/>
        <w:spacing w:line="207" w:lineRule="exact"/>
        <w:jc w:val="left"/>
      </w:pPr>
      <w:r>
        <w:rPr/>
        <w:t>Where,</w:t>
      </w:r>
      <w:r>
        <w:rPr>
          <w:spacing w:val="-5"/>
        </w:rPr>
        <w:t> </w:t>
      </w:r>
      <w:r>
        <w:rPr/>
        <w:t>GMMp</w:t>
      </w:r>
      <w:r>
        <w:rPr>
          <w:spacing w:val="-5"/>
        </w:rPr>
        <w:t> </w:t>
      </w:r>
      <w:r>
        <w:rPr/>
        <w:t>=</w:t>
      </w:r>
      <w:r>
        <w:rPr>
          <w:spacing w:val="-6"/>
        </w:rPr>
        <w:t> </w:t>
      </w:r>
      <w:r>
        <w:rPr/>
        <w:t>the</w:t>
      </w:r>
      <w:r>
        <w:rPr>
          <w:spacing w:val="-6"/>
        </w:rPr>
        <w:t> </w:t>
      </w:r>
      <w:r>
        <w:rPr/>
        <w:t>producer's</w:t>
      </w:r>
      <w:r>
        <w:rPr>
          <w:spacing w:val="-4"/>
        </w:rPr>
        <w:t> </w:t>
      </w:r>
      <w:r>
        <w:rPr/>
        <w:t>share</w:t>
      </w:r>
      <w:r>
        <w:rPr>
          <w:spacing w:val="-6"/>
        </w:rPr>
        <w:t> </w:t>
      </w:r>
      <w:r>
        <w:rPr/>
        <w:t>in</w:t>
      </w:r>
      <w:r>
        <w:rPr>
          <w:spacing w:val="-7"/>
        </w:rPr>
        <w:t> </w:t>
      </w:r>
      <w:r>
        <w:rPr/>
        <w:t>consumer</w:t>
      </w:r>
      <w:r>
        <w:rPr>
          <w:spacing w:val="-5"/>
        </w:rPr>
        <w:t> </w:t>
      </w:r>
      <w:r>
        <w:rPr>
          <w:spacing w:val="-4"/>
        </w:rPr>
        <w:t>price</w:t>
      </w:r>
    </w:p>
    <w:p>
      <w:pPr>
        <w:pStyle w:val="BodyText"/>
        <w:jc w:val="left"/>
      </w:pPr>
      <w:r>
        <w:rPr/>
        <w:t>The net marketing margin (NMM) is the percentage of the final price earned by the intermediaries as their net</w:t>
      </w:r>
      <w:r>
        <w:rPr>
          <w:spacing w:val="40"/>
        </w:rPr>
        <w:t> </w:t>
      </w:r>
      <w:r>
        <w:rPr/>
        <w:t>income after their marketing costs are deducted.</w:t>
      </w:r>
    </w:p>
    <w:p>
      <w:pPr>
        <w:pStyle w:val="BodyText"/>
        <w:spacing w:before="1"/>
        <w:jc w:val="left"/>
      </w:pPr>
      <w:r>
        <w:rPr/>
        <w:t>The percentages of net income that can be classified as profit (i.e. return on capital), depends on the extension to such factors as the intermediaries’ own (working capital) costs.</w:t>
      </w:r>
    </w:p>
    <w:p>
      <w:pPr>
        <w:pStyle w:val="BodyText"/>
        <w:spacing w:line="79" w:lineRule="exact" w:before="5"/>
        <w:ind w:left="13" w:right="2103"/>
        <w:jc w:val="center"/>
        <w:rPr>
          <w:rFonts w:ascii="FreeSerif" w:hAnsi="FreeSerif"/>
        </w:rPr>
      </w:pPr>
      <w:r>
        <w:rPr/>
        <mc:AlternateContent>
          <mc:Choice Requires="wps">
            <w:drawing>
              <wp:anchor distT="0" distB="0" distL="0" distR="0" allowOverlap="1" layoutInCell="1" locked="0" behindDoc="1" simplePos="0" relativeHeight="486315520">
                <wp:simplePos x="0" y="0"/>
                <wp:positionH relativeFrom="page">
                  <wp:posOffset>2168651</wp:posOffset>
                </wp:positionH>
                <wp:positionV relativeFrom="paragraph">
                  <wp:posOffset>166730</wp:posOffset>
                </wp:positionV>
                <wp:extent cx="1891664" cy="127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891664" cy="12700"/>
                        </a:xfrm>
                        <a:custGeom>
                          <a:avLst/>
                          <a:gdLst/>
                          <a:ahLst/>
                          <a:cxnLst/>
                          <a:rect l="l" t="t" r="r" b="b"/>
                          <a:pathLst>
                            <a:path w="1891664" h="12700">
                              <a:moveTo>
                                <a:pt x="1891283" y="0"/>
                              </a:moveTo>
                              <a:lnTo>
                                <a:pt x="0" y="0"/>
                              </a:lnTo>
                              <a:lnTo>
                                <a:pt x="0" y="12191"/>
                              </a:lnTo>
                              <a:lnTo>
                                <a:pt x="1891283" y="12191"/>
                              </a:lnTo>
                              <a:lnTo>
                                <a:pt x="18912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0.759995pt;margin-top:13.128369pt;width:148.919997pt;height:.96pt;mso-position-horizontal-relative:page;mso-position-vertical-relative:paragraph;z-index:-17000960" id="docshape15" filled="true" fillcolor="#000000" stroked="false">
                <v:fill type="solid"/>
                <w10:wrap type="none"/>
              </v:rect>
            </w:pict>
          </mc:Fallback>
        </mc:AlternateContent>
      </w:r>
      <w:r>
        <w:rPr>
          <w:rFonts w:ascii="FreeSerif" w:hAnsi="FreeSerif"/>
          <w:w w:val="115"/>
        </w:rPr>
        <w:t>Gross</w:t>
      </w:r>
      <w:r>
        <w:rPr>
          <w:spacing w:val="24"/>
          <w:w w:val="115"/>
        </w:rPr>
        <w:t> </w:t>
      </w:r>
      <w:r>
        <w:rPr>
          <w:rFonts w:ascii="FreeSerif" w:hAnsi="FreeSerif"/>
          <w:w w:val="115"/>
        </w:rPr>
        <w:t>Margin−Marketing</w:t>
      </w:r>
      <w:r>
        <w:rPr>
          <w:spacing w:val="30"/>
          <w:w w:val="115"/>
        </w:rPr>
        <w:t> </w:t>
      </w:r>
      <w:r>
        <w:rPr>
          <w:rFonts w:ascii="FreeSerif" w:hAnsi="FreeSerif"/>
          <w:spacing w:val="-2"/>
          <w:w w:val="115"/>
        </w:rPr>
        <w:t>Costs</w:t>
      </w:r>
    </w:p>
    <w:p>
      <w:pPr>
        <w:spacing w:after="0" w:line="79" w:lineRule="exact"/>
        <w:jc w:val="center"/>
        <w:rPr>
          <w:rFonts w:ascii="FreeSerif" w:hAnsi="FreeSerif"/>
        </w:rPr>
        <w:sectPr>
          <w:type w:val="continuous"/>
          <w:pgSz w:w="11900" w:h="16840"/>
          <w:pgMar w:header="846" w:footer="819" w:top="1640" w:bottom="1000" w:left="1180" w:right="1180"/>
        </w:sectPr>
      </w:pPr>
    </w:p>
    <w:p>
      <w:pPr>
        <w:pStyle w:val="BodyText"/>
        <w:spacing w:before="81"/>
        <w:ind w:left="0"/>
        <w:jc w:val="right"/>
      </w:pPr>
      <w:r>
        <w:rPr>
          <w:spacing w:val="-4"/>
        </w:rPr>
        <w:t>NMN=</w:t>
      </w:r>
    </w:p>
    <w:p>
      <w:pPr>
        <w:pStyle w:val="BodyText"/>
        <w:tabs>
          <w:tab w:pos="3090" w:val="left" w:leader="none"/>
          <w:tab w:pos="7087" w:val="right" w:leader="dot"/>
        </w:tabs>
        <w:spacing w:line="439" w:lineRule="exact" w:before="15"/>
        <w:ind w:left="726"/>
        <w:jc w:val="left"/>
      </w:pPr>
      <w:r>
        <w:rPr/>
        <w:br w:type="column"/>
      </w:r>
      <w:r>
        <w:rPr>
          <w:rFonts w:ascii="FreeSerif" w:hAnsi="FreeSerif"/>
          <w:w w:val="115"/>
        </w:rPr>
        <w:t>End</w:t>
      </w:r>
      <w:r>
        <w:rPr>
          <w:spacing w:val="6"/>
          <w:w w:val="115"/>
        </w:rPr>
        <w:t> </w:t>
      </w:r>
      <w:r>
        <w:rPr>
          <w:rFonts w:ascii="FreeSerif" w:hAnsi="FreeSerif"/>
          <w:w w:val="115"/>
        </w:rPr>
        <w:t>Buyer</w:t>
      </w:r>
      <w:r>
        <w:rPr>
          <w:spacing w:val="6"/>
          <w:w w:val="115"/>
        </w:rPr>
        <w:t> </w:t>
      </w:r>
      <w:r>
        <w:rPr>
          <w:rFonts w:ascii="FreeSerif" w:hAnsi="FreeSerif"/>
          <w:spacing w:val="-4"/>
          <w:w w:val="115"/>
        </w:rPr>
        <w:t>Price</w:t>
      </w:r>
      <w:r>
        <w:rPr/>
        <w:tab/>
      </w:r>
      <w:r>
        <w:rPr>
          <w:rFonts w:ascii="FreeSerif" w:hAnsi="FreeSerif"/>
          <w:w w:val="115"/>
          <w:position w:val="14"/>
          <w:sz w:val="28"/>
        </w:rPr>
        <w:t>×</w:t>
      </w:r>
      <w:r>
        <w:rPr>
          <w:spacing w:val="-15"/>
          <w:w w:val="115"/>
          <w:position w:val="14"/>
          <w:sz w:val="28"/>
        </w:rPr>
        <w:t> </w:t>
      </w:r>
      <w:r>
        <w:rPr>
          <w:spacing w:val="-5"/>
          <w:w w:val="115"/>
          <w:position w:val="14"/>
        </w:rPr>
        <w:t>100</w:t>
      </w:r>
      <w:r>
        <w:rPr>
          <w:position w:val="14"/>
        </w:rPr>
        <w:tab/>
      </w:r>
      <w:r>
        <w:rPr>
          <w:spacing w:val="-10"/>
          <w:w w:val="115"/>
          <w:position w:val="14"/>
        </w:rPr>
        <w:t>4</w:t>
      </w:r>
    </w:p>
    <w:p>
      <w:pPr>
        <w:spacing w:after="0" w:line="439" w:lineRule="exact"/>
        <w:jc w:val="left"/>
        <w:sectPr>
          <w:type w:val="continuous"/>
          <w:pgSz w:w="11900" w:h="16840"/>
          <w:pgMar w:header="846" w:footer="819" w:top="1640" w:bottom="1000" w:left="1180" w:right="1180"/>
          <w:cols w:num="2" w:equalWidth="0">
            <w:col w:w="2185" w:space="40"/>
            <w:col w:w="7315"/>
          </w:cols>
        </w:sectPr>
      </w:pPr>
    </w:p>
    <w:p>
      <w:pPr>
        <w:pStyle w:val="BodyText"/>
        <w:spacing w:line="221" w:lineRule="exact"/>
      </w:pPr>
      <w:r>
        <w:rPr/>
        <w:t>Where,</w:t>
      </w:r>
      <w:r>
        <w:rPr>
          <w:spacing w:val="-6"/>
        </w:rPr>
        <w:t> </w:t>
      </w:r>
      <w:r>
        <w:rPr/>
        <w:t>NMM</w:t>
      </w:r>
      <w:r>
        <w:rPr>
          <w:spacing w:val="-6"/>
        </w:rPr>
        <w:t> </w:t>
      </w:r>
      <w:r>
        <w:rPr/>
        <w:t>=</w:t>
      </w:r>
      <w:r>
        <w:rPr>
          <w:spacing w:val="-5"/>
        </w:rPr>
        <w:t> </w:t>
      </w:r>
      <w:r>
        <w:rPr/>
        <w:t>Net</w:t>
      </w:r>
      <w:r>
        <w:rPr>
          <w:spacing w:val="-4"/>
        </w:rPr>
        <w:t> </w:t>
      </w:r>
      <w:r>
        <w:rPr/>
        <w:t>marketing</w:t>
      </w:r>
      <w:r>
        <w:rPr>
          <w:spacing w:val="-4"/>
        </w:rPr>
        <w:t> </w:t>
      </w:r>
      <w:r>
        <w:rPr>
          <w:spacing w:val="-2"/>
        </w:rPr>
        <w:t>margin</w:t>
      </w:r>
    </w:p>
    <w:p>
      <w:pPr>
        <w:pStyle w:val="BodyText"/>
        <w:ind w:right="226"/>
      </w:pPr>
      <w:r>
        <w:rPr/>
        <w:t>To find the benefit share of each actor the same concept will be applied with some adjustments. In analyzing margins, first the Total Gross Marketing Margin (TGMM) will be calculated. This is the difference between producer’s (farmer’s) price and consumer’s price (price paid by final consumer) i.e.</w:t>
      </w:r>
    </w:p>
    <w:p>
      <w:pPr>
        <w:pStyle w:val="BodyText"/>
        <w:tabs>
          <w:tab w:pos="9209" w:val="left" w:leader="dot"/>
        </w:tabs>
        <w:spacing w:line="229" w:lineRule="exact" w:before="1"/>
        <w:ind w:left="1366"/>
      </w:pPr>
      <w:r>
        <w:rPr/>
        <w:t>TGMM</w:t>
      </w:r>
      <w:r>
        <w:rPr>
          <w:spacing w:val="-6"/>
        </w:rPr>
        <w:t> </w:t>
      </w:r>
      <w:r>
        <w:rPr/>
        <w:t>=</w:t>
      </w:r>
      <w:r>
        <w:rPr>
          <w:spacing w:val="-5"/>
        </w:rPr>
        <w:t> </w:t>
      </w:r>
      <w:r>
        <w:rPr/>
        <w:t>Consumer’s</w:t>
      </w:r>
      <w:r>
        <w:rPr>
          <w:spacing w:val="-6"/>
        </w:rPr>
        <w:t> </w:t>
      </w:r>
      <w:r>
        <w:rPr/>
        <w:t>Price</w:t>
      </w:r>
      <w:r>
        <w:rPr>
          <w:spacing w:val="-5"/>
        </w:rPr>
        <w:t> </w:t>
      </w:r>
      <w:r>
        <w:rPr/>
        <w:t>–</w:t>
      </w:r>
      <w:r>
        <w:rPr>
          <w:spacing w:val="-7"/>
        </w:rPr>
        <w:t> </w:t>
      </w:r>
      <w:r>
        <w:rPr/>
        <w:t>Farmer’s</w:t>
      </w:r>
      <w:r>
        <w:rPr>
          <w:spacing w:val="-6"/>
        </w:rPr>
        <w:t> </w:t>
      </w:r>
      <w:r>
        <w:rPr>
          <w:spacing w:val="-4"/>
        </w:rPr>
        <w:t>Price</w:t>
      </w:r>
      <w:r>
        <w:rPr/>
        <w:tab/>
      </w:r>
      <w:r>
        <w:rPr>
          <w:spacing w:val="-10"/>
        </w:rPr>
        <w:t>5</w:t>
      </w:r>
    </w:p>
    <w:p>
      <w:pPr>
        <w:pStyle w:val="BodyText"/>
        <w:spacing w:line="223" w:lineRule="exact"/>
      </w:pPr>
      <w:r>
        <w:rPr/>
        <w:t>Then,</w:t>
      </w:r>
      <w:r>
        <w:rPr>
          <w:spacing w:val="-3"/>
        </w:rPr>
        <w:t> </w:t>
      </w:r>
      <w:r>
        <w:rPr/>
        <w:t>marketing</w:t>
      </w:r>
      <w:r>
        <w:rPr>
          <w:spacing w:val="-5"/>
        </w:rPr>
        <w:t> </w:t>
      </w:r>
      <w:r>
        <w:rPr/>
        <w:t>margin</w:t>
      </w:r>
      <w:r>
        <w:rPr>
          <w:spacing w:val="-7"/>
        </w:rPr>
        <w:t> </w:t>
      </w:r>
      <w:r>
        <w:rPr/>
        <w:t>at</w:t>
      </w:r>
      <w:r>
        <w:rPr>
          <w:spacing w:val="-5"/>
        </w:rPr>
        <w:t> </w:t>
      </w:r>
      <w:r>
        <w:rPr/>
        <w:t>a</w:t>
      </w:r>
      <w:r>
        <w:rPr>
          <w:spacing w:val="-6"/>
        </w:rPr>
        <w:t> </w:t>
      </w:r>
      <w:r>
        <w:rPr/>
        <w:t>given</w:t>
      </w:r>
      <w:r>
        <w:rPr>
          <w:spacing w:val="-5"/>
        </w:rPr>
        <w:t> </w:t>
      </w:r>
      <w:r>
        <w:rPr/>
        <w:t>stage</w:t>
      </w:r>
      <w:r>
        <w:rPr>
          <w:spacing w:val="-6"/>
        </w:rPr>
        <w:t> </w:t>
      </w:r>
      <w:r>
        <w:rPr/>
        <w:t>‘i’</w:t>
      </w:r>
      <w:r>
        <w:rPr>
          <w:spacing w:val="-7"/>
        </w:rPr>
        <w:t> </w:t>
      </w:r>
      <w:r>
        <w:rPr/>
        <w:t>(GMMi)</w:t>
      </w:r>
      <w:r>
        <w:rPr>
          <w:spacing w:val="-3"/>
        </w:rPr>
        <w:t> </w:t>
      </w:r>
      <w:r>
        <w:rPr/>
        <w:t>will</w:t>
      </w:r>
      <w:r>
        <w:rPr>
          <w:spacing w:val="-6"/>
        </w:rPr>
        <w:t> </w:t>
      </w:r>
      <w:r>
        <w:rPr/>
        <w:t>be</w:t>
      </w:r>
      <w:r>
        <w:rPr>
          <w:spacing w:val="-3"/>
        </w:rPr>
        <w:t> </w:t>
      </w:r>
      <w:r>
        <w:rPr/>
        <w:t>computed</w:t>
      </w:r>
      <w:r>
        <w:rPr>
          <w:spacing w:val="-4"/>
        </w:rPr>
        <w:t> </w:t>
      </w:r>
      <w:r>
        <w:rPr>
          <w:spacing w:val="-5"/>
        </w:rPr>
        <w:t>as:</w:t>
      </w:r>
    </w:p>
    <w:p>
      <w:pPr>
        <w:spacing w:after="0" w:line="223" w:lineRule="exact"/>
        <w:sectPr>
          <w:type w:val="continuous"/>
          <w:pgSz w:w="11900" w:h="16840"/>
          <w:pgMar w:header="846" w:footer="819" w:top="1640" w:bottom="1000" w:left="1180" w:right="1180"/>
        </w:sectPr>
      </w:pPr>
    </w:p>
    <w:p>
      <w:pPr>
        <w:pStyle w:val="Heading1"/>
        <w:spacing w:before="121"/>
        <w:ind w:left="1157"/>
      </w:pPr>
      <w:r>
        <w:rPr>
          <w:spacing w:val="-4"/>
          <w:w w:val="90"/>
        </w:rPr>
        <w:t>GMM</w:t>
      </w:r>
      <w:r>
        <w:rPr>
          <w:spacing w:val="-4"/>
          <w:w w:val="90"/>
          <w:vertAlign w:val="subscript"/>
        </w:rPr>
        <w:t>i</w:t>
      </w:r>
    </w:p>
    <w:p>
      <w:pPr>
        <w:tabs>
          <w:tab w:pos="7518" w:val="right" w:leader="dot"/>
        </w:tabs>
        <w:spacing w:line="352" w:lineRule="exact" w:before="4"/>
        <w:ind w:left="34" w:right="0" w:firstLine="0"/>
        <w:jc w:val="left"/>
        <w:rPr>
          <w:sz w:val="20"/>
        </w:rPr>
      </w:pPr>
      <w:r>
        <w:rPr/>
        <w:br w:type="column"/>
      </w:r>
      <w:r>
        <w:rPr>
          <w:rFonts w:ascii="FreeSerif" w:hAnsi="FreeSerif"/>
          <w:w w:val="115"/>
          <w:sz w:val="24"/>
        </w:rPr>
        <w:t>=</w:t>
      </w:r>
      <w:r>
        <w:rPr>
          <w:spacing w:val="17"/>
          <w:w w:val="115"/>
          <w:sz w:val="24"/>
        </w:rPr>
        <w:t> </w:t>
      </w:r>
      <w:r>
        <w:rPr>
          <w:rFonts w:ascii="FreeSerif" w:hAnsi="FreeSerif"/>
          <w:w w:val="115"/>
          <w:position w:val="18"/>
          <w:sz w:val="17"/>
        </w:rPr>
        <w:t>SP</w:t>
      </w:r>
      <w:r>
        <w:rPr>
          <w:rFonts w:ascii="FreeSerif" w:hAnsi="FreeSerif"/>
          <w:w w:val="115"/>
          <w:position w:val="14"/>
          <w:sz w:val="14"/>
        </w:rPr>
        <w:t>i−PP</w:t>
      </w:r>
      <w:r>
        <w:rPr>
          <w:rFonts w:ascii="FreeSerif" w:hAnsi="FreeSerif"/>
          <w:w w:val="115"/>
          <w:position w:val="9"/>
          <w:sz w:val="14"/>
        </w:rPr>
        <w:t>i</w:t>
      </w:r>
      <w:r>
        <w:rPr>
          <w:spacing w:val="42"/>
          <w:w w:val="115"/>
          <w:position w:val="9"/>
          <w:sz w:val="14"/>
        </w:rPr>
        <w:t> </w:t>
      </w:r>
      <w:r>
        <w:rPr>
          <w:rFonts w:ascii="FreeSerif" w:hAnsi="FreeSerif"/>
          <w:w w:val="115"/>
          <w:sz w:val="24"/>
        </w:rPr>
        <w:t>×</w:t>
      </w:r>
      <w:r>
        <w:rPr>
          <w:w w:val="115"/>
          <w:sz w:val="24"/>
        </w:rPr>
        <w:t> </w:t>
      </w:r>
      <w:r>
        <w:rPr>
          <w:rFonts w:ascii="FreeSerif" w:hAnsi="FreeSerif"/>
          <w:spacing w:val="-5"/>
          <w:w w:val="110"/>
          <w:sz w:val="24"/>
        </w:rPr>
        <w:t>100</w:t>
      </w:r>
      <w:r>
        <w:rPr>
          <w:sz w:val="24"/>
        </w:rPr>
        <w:tab/>
      </w:r>
      <w:r>
        <w:rPr>
          <w:spacing w:val="-10"/>
          <w:w w:val="115"/>
          <w:sz w:val="20"/>
        </w:rPr>
        <w:t>6</w:t>
      </w:r>
    </w:p>
    <w:p>
      <w:pPr>
        <w:spacing w:line="108" w:lineRule="exact" w:before="0"/>
        <w:ind w:left="322" w:right="0" w:firstLine="0"/>
        <w:jc w:val="left"/>
        <w:rPr>
          <w:rFonts w:ascii="FreeSerif"/>
          <w:sz w:val="17"/>
        </w:rPr>
      </w:pPr>
      <w:r>
        <w:rPr/>
        <mc:AlternateContent>
          <mc:Choice Requires="wps">
            <w:drawing>
              <wp:anchor distT="0" distB="0" distL="0" distR="0" allowOverlap="1" layoutInCell="1" locked="0" behindDoc="1" simplePos="0" relativeHeight="486316032">
                <wp:simplePos x="0" y="0"/>
                <wp:positionH relativeFrom="page">
                  <wp:posOffset>2066544</wp:posOffset>
                </wp:positionH>
                <wp:positionV relativeFrom="paragraph">
                  <wp:posOffset>-60654</wp:posOffset>
                </wp:positionV>
                <wp:extent cx="390525" cy="1079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90525" cy="10795"/>
                        </a:xfrm>
                        <a:custGeom>
                          <a:avLst/>
                          <a:gdLst/>
                          <a:ahLst/>
                          <a:cxnLst/>
                          <a:rect l="l" t="t" r="r" b="b"/>
                          <a:pathLst>
                            <a:path w="390525" h="10795">
                              <a:moveTo>
                                <a:pt x="390143" y="0"/>
                              </a:moveTo>
                              <a:lnTo>
                                <a:pt x="0" y="0"/>
                              </a:lnTo>
                              <a:lnTo>
                                <a:pt x="0" y="10667"/>
                              </a:lnTo>
                              <a:lnTo>
                                <a:pt x="390143" y="10667"/>
                              </a:lnTo>
                              <a:lnTo>
                                <a:pt x="390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720001pt;margin-top:-4.775927pt;width:30.719999pt;height:.84pt;mso-position-horizontal-relative:page;mso-position-vertical-relative:paragraph;z-index:-17000448" id="docshape16" filled="true" fillcolor="#000000" stroked="false">
                <v:fill type="solid"/>
                <w10:wrap type="none"/>
              </v:rect>
            </w:pict>
          </mc:Fallback>
        </mc:AlternateContent>
      </w:r>
      <w:r>
        <w:rPr>
          <w:rFonts w:ascii="FreeSerif"/>
          <w:spacing w:val="-4"/>
          <w:sz w:val="17"/>
        </w:rPr>
        <w:t>TGMM</w:t>
      </w:r>
    </w:p>
    <w:p>
      <w:pPr>
        <w:spacing w:after="0" w:line="108" w:lineRule="exact"/>
        <w:jc w:val="left"/>
        <w:rPr>
          <w:rFonts w:ascii="FreeSerif"/>
          <w:sz w:val="17"/>
        </w:rPr>
        <w:sectPr>
          <w:type w:val="continuous"/>
          <w:pgSz w:w="11900" w:h="16840"/>
          <w:pgMar w:header="846" w:footer="819" w:top="1640" w:bottom="1000" w:left="1180" w:right="1180"/>
          <w:cols w:num="2" w:equalWidth="0">
            <w:col w:w="1753" w:space="40"/>
            <w:col w:w="7747"/>
          </w:cols>
        </w:sectPr>
      </w:pPr>
    </w:p>
    <w:p>
      <w:pPr>
        <w:pStyle w:val="BodyText"/>
        <w:ind w:right="3075"/>
        <w:jc w:val="left"/>
      </w:pPr>
      <w:r>
        <w:rPr/>
        <w:t>Where,</w:t>
      </w:r>
      <w:r>
        <w:rPr>
          <w:spacing w:val="-2"/>
        </w:rPr>
        <w:t> </w:t>
      </w:r>
      <w:r>
        <w:rPr/>
        <w:t>SPi</w:t>
      </w:r>
      <w:r>
        <w:rPr>
          <w:spacing w:val="-3"/>
        </w:rPr>
        <w:t> </w:t>
      </w:r>
      <w:r>
        <w:rPr/>
        <w:t>is</w:t>
      </w:r>
      <w:r>
        <w:rPr>
          <w:spacing w:val="-4"/>
        </w:rPr>
        <w:t> </w:t>
      </w:r>
      <w:r>
        <w:rPr/>
        <w:t>selling</w:t>
      </w:r>
      <w:r>
        <w:rPr>
          <w:spacing w:val="-4"/>
        </w:rPr>
        <w:t> </w:t>
      </w:r>
      <w:r>
        <w:rPr/>
        <w:t>price</w:t>
      </w:r>
      <w:r>
        <w:rPr>
          <w:spacing w:val="-3"/>
        </w:rPr>
        <w:t> </w:t>
      </w:r>
      <w:r>
        <w:rPr/>
        <w:t>at</w:t>
      </w:r>
      <w:r>
        <w:rPr>
          <w:spacing w:val="-3"/>
        </w:rPr>
        <w:t> </w:t>
      </w:r>
      <w:r>
        <w:rPr/>
        <w:t>ith</w:t>
      </w:r>
      <w:r>
        <w:rPr>
          <w:spacing w:val="-4"/>
        </w:rPr>
        <w:t> </w:t>
      </w:r>
      <w:r>
        <w:rPr/>
        <w:t>link</w:t>
      </w:r>
      <w:r>
        <w:rPr>
          <w:spacing w:val="-4"/>
        </w:rPr>
        <w:t> </w:t>
      </w:r>
      <w:r>
        <w:rPr/>
        <w:t>and</w:t>
      </w:r>
      <w:r>
        <w:rPr>
          <w:spacing w:val="-2"/>
        </w:rPr>
        <w:t> </w:t>
      </w:r>
      <w:r>
        <w:rPr/>
        <w:t>PPi</w:t>
      </w:r>
      <w:r>
        <w:rPr>
          <w:spacing w:val="-3"/>
        </w:rPr>
        <w:t> </w:t>
      </w:r>
      <w:r>
        <w:rPr/>
        <w:t>is</w:t>
      </w:r>
      <w:r>
        <w:rPr>
          <w:spacing w:val="-4"/>
        </w:rPr>
        <w:t> </w:t>
      </w:r>
      <w:r>
        <w:rPr/>
        <w:t>purchase</w:t>
      </w:r>
      <w:r>
        <w:rPr>
          <w:spacing w:val="-3"/>
        </w:rPr>
        <w:t> </w:t>
      </w:r>
      <w:r>
        <w:rPr/>
        <w:t>price</w:t>
      </w:r>
      <w:r>
        <w:rPr>
          <w:spacing w:val="-3"/>
        </w:rPr>
        <w:t> </w:t>
      </w:r>
      <w:r>
        <w:rPr/>
        <w:t>at</w:t>
      </w:r>
      <w:r>
        <w:rPr>
          <w:spacing w:val="-3"/>
        </w:rPr>
        <w:t> </w:t>
      </w:r>
      <w:r>
        <w:rPr/>
        <w:t>ith</w:t>
      </w:r>
      <w:r>
        <w:rPr>
          <w:spacing w:val="-4"/>
        </w:rPr>
        <w:t> </w:t>
      </w:r>
      <w:r>
        <w:rPr/>
        <w:t>link. Total gross profit margin also will be computed as:</w:t>
      </w:r>
    </w:p>
    <w:p>
      <w:pPr>
        <w:pStyle w:val="Heading1"/>
        <w:tabs>
          <w:tab w:pos="9212" w:val="left" w:leader="dot"/>
        </w:tabs>
        <w:spacing w:line="275" w:lineRule="exact" w:before="11"/>
        <w:ind w:left="1076"/>
        <w:rPr>
          <w:rFonts w:ascii="Times New Roman" w:hAnsi="Times New Roman"/>
          <w:sz w:val="20"/>
        </w:rPr>
      </w:pPr>
      <w:r>
        <w:rPr/>
        <w:t>TGPM</w:t>
      </w:r>
      <w:r>
        <w:rPr>
          <w:rFonts w:ascii="Times New Roman" w:hAnsi="Times New Roman"/>
          <w:spacing w:val="-4"/>
        </w:rPr>
        <w:t> </w:t>
      </w:r>
      <w:r>
        <w:rPr/>
        <w:t>=</w:t>
      </w:r>
      <w:r>
        <w:rPr>
          <w:rFonts w:ascii="Times New Roman" w:hAnsi="Times New Roman"/>
          <w:spacing w:val="-1"/>
        </w:rPr>
        <w:t> </w:t>
      </w:r>
      <w:r>
        <w:rPr/>
        <w:t>TGMM</w:t>
      </w:r>
      <w:r>
        <w:rPr>
          <w:rFonts w:ascii="Times New Roman" w:hAnsi="Times New Roman"/>
          <w:spacing w:val="-14"/>
        </w:rPr>
        <w:t> </w:t>
      </w:r>
      <w:r>
        <w:rPr/>
        <w:t>−</w:t>
      </w:r>
      <w:r>
        <w:rPr>
          <w:rFonts w:ascii="Times New Roman" w:hAnsi="Times New Roman"/>
          <w:spacing w:val="-15"/>
        </w:rPr>
        <w:t> </w:t>
      </w:r>
      <w:r>
        <w:rPr>
          <w:spacing w:val="-5"/>
        </w:rPr>
        <w:t>TOE</w:t>
      </w:r>
      <w:r>
        <w:rPr>
          <w:rFonts w:ascii="Times New Roman" w:hAnsi="Times New Roman"/>
        </w:rPr>
        <w:tab/>
      </w:r>
      <w:r>
        <w:rPr>
          <w:rFonts w:ascii="Times New Roman" w:hAnsi="Times New Roman"/>
          <w:spacing w:val="-10"/>
          <w:sz w:val="20"/>
        </w:rPr>
        <w:t>7</w:t>
      </w:r>
    </w:p>
    <w:p>
      <w:pPr>
        <w:pStyle w:val="BodyText"/>
        <w:spacing w:line="217" w:lineRule="exact"/>
        <w:jc w:val="left"/>
      </w:pPr>
      <w:r>
        <w:rPr/>
        <w:t>Where,</w:t>
      </w:r>
      <w:r>
        <w:rPr>
          <w:spacing w:val="9"/>
        </w:rPr>
        <w:t> </w:t>
      </w:r>
      <w:r>
        <w:rPr/>
        <w:t>TGPM</w:t>
      </w:r>
      <w:r>
        <w:rPr>
          <w:spacing w:val="12"/>
        </w:rPr>
        <w:t> </w:t>
      </w:r>
      <w:r>
        <w:rPr/>
        <w:t>is</w:t>
      </w:r>
      <w:r>
        <w:rPr>
          <w:spacing w:val="11"/>
        </w:rPr>
        <w:t> </w:t>
      </w:r>
      <w:r>
        <w:rPr/>
        <w:t>total</w:t>
      </w:r>
      <w:r>
        <w:rPr>
          <w:spacing w:val="12"/>
        </w:rPr>
        <w:t> </w:t>
      </w:r>
      <w:r>
        <w:rPr/>
        <w:t>gross</w:t>
      </w:r>
      <w:r>
        <w:rPr>
          <w:spacing w:val="9"/>
        </w:rPr>
        <w:t> </w:t>
      </w:r>
      <w:r>
        <w:rPr/>
        <w:t>profit</w:t>
      </w:r>
      <w:r>
        <w:rPr>
          <w:spacing w:val="14"/>
        </w:rPr>
        <w:t> </w:t>
      </w:r>
      <w:r>
        <w:rPr/>
        <w:t>margin,</w:t>
      </w:r>
      <w:r>
        <w:rPr>
          <w:spacing w:val="11"/>
        </w:rPr>
        <w:t> </w:t>
      </w:r>
      <w:r>
        <w:rPr/>
        <w:t>TGMM</w:t>
      </w:r>
      <w:r>
        <w:rPr>
          <w:spacing w:val="12"/>
        </w:rPr>
        <w:t> </w:t>
      </w:r>
      <w:r>
        <w:rPr/>
        <w:t>is</w:t>
      </w:r>
      <w:r>
        <w:rPr>
          <w:spacing w:val="11"/>
        </w:rPr>
        <w:t> </w:t>
      </w:r>
      <w:r>
        <w:rPr/>
        <w:t>total</w:t>
      </w:r>
      <w:r>
        <w:rPr>
          <w:spacing w:val="12"/>
        </w:rPr>
        <w:t> </w:t>
      </w:r>
      <w:r>
        <w:rPr/>
        <w:t>gross</w:t>
      </w:r>
      <w:r>
        <w:rPr>
          <w:spacing w:val="13"/>
        </w:rPr>
        <w:t> </w:t>
      </w:r>
      <w:r>
        <w:rPr/>
        <w:t>marketing</w:t>
      </w:r>
      <w:r>
        <w:rPr>
          <w:spacing w:val="12"/>
        </w:rPr>
        <w:t> </w:t>
      </w:r>
      <w:r>
        <w:rPr/>
        <w:t>margin</w:t>
      </w:r>
      <w:r>
        <w:rPr>
          <w:spacing w:val="11"/>
        </w:rPr>
        <w:t> </w:t>
      </w:r>
      <w:r>
        <w:rPr/>
        <w:t>and</w:t>
      </w:r>
      <w:r>
        <w:rPr>
          <w:spacing w:val="13"/>
        </w:rPr>
        <w:t> </w:t>
      </w:r>
      <w:r>
        <w:rPr/>
        <w:t>TOE</w:t>
      </w:r>
      <w:r>
        <w:rPr>
          <w:spacing w:val="13"/>
        </w:rPr>
        <w:t> </w:t>
      </w:r>
      <w:r>
        <w:rPr/>
        <w:t>is</w:t>
      </w:r>
      <w:r>
        <w:rPr>
          <w:spacing w:val="11"/>
        </w:rPr>
        <w:t> </w:t>
      </w:r>
      <w:r>
        <w:rPr/>
        <w:t>total</w:t>
      </w:r>
      <w:r>
        <w:rPr>
          <w:spacing w:val="9"/>
        </w:rPr>
        <w:t> </w:t>
      </w:r>
      <w:r>
        <w:rPr>
          <w:spacing w:val="-2"/>
        </w:rPr>
        <w:t>operating</w:t>
      </w:r>
    </w:p>
    <w:p>
      <w:pPr>
        <w:pStyle w:val="BodyText"/>
        <w:jc w:val="left"/>
      </w:pPr>
      <w:r>
        <w:rPr>
          <w:spacing w:val="-2"/>
        </w:rPr>
        <w:t>expense.</w:t>
      </w:r>
    </w:p>
    <w:p>
      <w:pPr>
        <w:pStyle w:val="BodyText"/>
        <w:spacing w:before="1"/>
        <w:ind w:left="960"/>
        <w:jc w:val="left"/>
      </w:pPr>
      <w:r>
        <w:rPr/>
        <mc:AlternateContent>
          <mc:Choice Requires="wps">
            <w:drawing>
              <wp:anchor distT="0" distB="0" distL="0" distR="0" allowOverlap="1" layoutInCell="1" locked="0" behindDoc="0" simplePos="0" relativeHeight="15732736">
                <wp:simplePos x="0" y="0"/>
                <wp:positionH relativeFrom="page">
                  <wp:posOffset>902208</wp:posOffset>
                </wp:positionH>
                <wp:positionV relativeFrom="paragraph">
                  <wp:posOffset>259393</wp:posOffset>
                </wp:positionV>
                <wp:extent cx="182880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828800" cy="6350"/>
                        </a:xfrm>
                        <a:custGeom>
                          <a:avLst/>
                          <a:gdLst/>
                          <a:ahLst/>
                          <a:cxnLst/>
                          <a:rect l="l" t="t" r="r" b="b"/>
                          <a:pathLst>
                            <a:path w="1828800" h="6350">
                              <a:moveTo>
                                <a:pt x="1828799" y="0"/>
                              </a:moveTo>
                              <a:lnTo>
                                <a:pt x="0" y="0"/>
                              </a:lnTo>
                              <a:lnTo>
                                <a:pt x="0" y="6095"/>
                              </a:lnTo>
                              <a:lnTo>
                                <a:pt x="1828799" y="6095"/>
                              </a:lnTo>
                              <a:lnTo>
                                <a:pt x="1828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040001pt;margin-top:20.424646pt;width:143.999997pt;height:.48pt;mso-position-horizontal-relative:page;mso-position-vertical-relative:paragraph;z-index:15732736" id="docshape17" filled="true" fillcolor="#000000" stroked="false">
                <v:fill type="solid"/>
                <w10:wrap type="none"/>
              </v:rect>
            </w:pict>
          </mc:Fallback>
        </mc:AlternateContent>
      </w:r>
      <w:r>
        <w:rPr/>
        <w:t>Similar</w:t>
      </w:r>
      <w:r>
        <w:rPr>
          <w:spacing w:val="15"/>
        </w:rPr>
        <w:t> </w:t>
      </w:r>
      <w:r>
        <w:rPr/>
        <w:t>concept</w:t>
      </w:r>
      <w:r>
        <w:rPr>
          <w:spacing w:val="14"/>
        </w:rPr>
        <w:t> </w:t>
      </w:r>
      <w:r>
        <w:rPr/>
        <w:t>of</w:t>
      </w:r>
      <w:r>
        <w:rPr>
          <w:spacing w:val="13"/>
        </w:rPr>
        <w:t> </w:t>
      </w:r>
      <w:r>
        <w:rPr/>
        <w:t>profit</w:t>
      </w:r>
      <w:r>
        <w:rPr>
          <w:spacing w:val="14"/>
        </w:rPr>
        <w:t> </w:t>
      </w:r>
      <w:r>
        <w:rPr/>
        <w:t>margin</w:t>
      </w:r>
      <w:r>
        <w:rPr>
          <w:spacing w:val="14"/>
        </w:rPr>
        <w:t> </w:t>
      </w:r>
      <w:r>
        <w:rPr/>
        <w:t>that</w:t>
      </w:r>
      <w:r>
        <w:rPr>
          <w:spacing w:val="14"/>
        </w:rPr>
        <w:t> </w:t>
      </w:r>
      <w:r>
        <w:rPr/>
        <w:t>deducts</w:t>
      </w:r>
      <w:r>
        <w:rPr>
          <w:spacing w:val="14"/>
        </w:rPr>
        <w:t> </w:t>
      </w:r>
      <w:r>
        <w:rPr/>
        <w:t>operating</w:t>
      </w:r>
      <w:r>
        <w:rPr>
          <w:spacing w:val="13"/>
        </w:rPr>
        <w:t> </w:t>
      </w:r>
      <w:r>
        <w:rPr/>
        <w:t>expense</w:t>
      </w:r>
      <w:r>
        <w:rPr>
          <w:spacing w:val="15"/>
        </w:rPr>
        <w:t> </w:t>
      </w:r>
      <w:r>
        <w:rPr/>
        <w:t>from</w:t>
      </w:r>
      <w:r>
        <w:rPr>
          <w:spacing w:val="14"/>
        </w:rPr>
        <w:t> </w:t>
      </w:r>
      <w:r>
        <w:rPr/>
        <w:t>marketing</w:t>
      </w:r>
      <w:r>
        <w:rPr>
          <w:spacing w:val="16"/>
        </w:rPr>
        <w:t> </w:t>
      </w:r>
      <w:r>
        <w:rPr/>
        <w:t>margin</w:t>
      </w:r>
      <w:r>
        <w:rPr>
          <w:spacing w:val="18"/>
        </w:rPr>
        <w:t> </w:t>
      </w:r>
      <w:r>
        <w:rPr/>
        <w:t>was</w:t>
      </w:r>
      <w:r>
        <w:rPr>
          <w:spacing w:val="14"/>
        </w:rPr>
        <w:t> </w:t>
      </w:r>
      <w:r>
        <w:rPr/>
        <w:t>done</w:t>
      </w:r>
      <w:r>
        <w:rPr>
          <w:spacing w:val="15"/>
        </w:rPr>
        <w:t> </w:t>
      </w:r>
      <w:r>
        <w:rPr>
          <w:spacing w:val="-5"/>
        </w:rPr>
        <w:t>by</w:t>
      </w:r>
    </w:p>
    <w:p>
      <w:pPr>
        <w:spacing w:before="271"/>
        <w:ind w:left="240" w:right="259" w:firstLine="0"/>
        <w:jc w:val="left"/>
        <w:rPr>
          <w:sz w:val="18"/>
        </w:rPr>
      </w:pPr>
      <w:r>
        <w:rPr>
          <w:sz w:val="18"/>
          <w:vertAlign w:val="superscript"/>
        </w:rPr>
        <w:t>1</w:t>
      </w:r>
      <w:r>
        <w:rPr>
          <w:spacing w:val="-2"/>
          <w:sz w:val="18"/>
          <w:vertAlign w:val="baseline"/>
        </w:rPr>
        <w:t> </w:t>
      </w:r>
      <w:r>
        <w:rPr>
          <w:sz w:val="18"/>
          <w:vertAlign w:val="baseline"/>
        </w:rPr>
        <w:t>Local language of Oromo peoples located in Ethiopia. Fhe first largest ethnic society in Ethiopia. Owner of Gada System</w:t>
      </w:r>
      <w:r>
        <w:rPr>
          <w:spacing w:val="40"/>
          <w:sz w:val="18"/>
          <w:vertAlign w:val="baseline"/>
        </w:rPr>
        <w:t> </w:t>
      </w:r>
      <w:r>
        <w:rPr>
          <w:sz w:val="18"/>
          <w:vertAlign w:val="baseline"/>
        </w:rPr>
        <w:t>for the world.</w:t>
      </w:r>
    </w:p>
    <w:p>
      <w:pPr>
        <w:spacing w:after="0"/>
        <w:jc w:val="left"/>
        <w:rPr>
          <w:sz w:val="18"/>
        </w:rPr>
        <w:sectPr>
          <w:type w:val="continuous"/>
          <w:pgSz w:w="11900" w:h="16840"/>
          <w:pgMar w:header="846" w:footer="819" w:top="1640" w:bottom="1000" w:left="1180" w:right="1180"/>
        </w:sectPr>
      </w:pPr>
    </w:p>
    <w:p>
      <w:pPr>
        <w:pStyle w:val="BodyText"/>
        <w:spacing w:before="98"/>
        <w:jc w:val="left"/>
      </w:pPr>
      <w:r>
        <w:rPr/>
        <w:t>Dawit</w:t>
      </w:r>
      <w:r>
        <w:rPr>
          <w:spacing w:val="-6"/>
        </w:rPr>
        <w:t> </w:t>
      </w:r>
      <w:r>
        <w:rPr/>
        <w:t>(2010)</w:t>
      </w:r>
      <w:r>
        <w:rPr>
          <w:spacing w:val="-5"/>
        </w:rPr>
        <w:t> </w:t>
      </w:r>
      <w:r>
        <w:rPr/>
        <w:t>and</w:t>
      </w:r>
      <w:r>
        <w:rPr>
          <w:spacing w:val="-5"/>
        </w:rPr>
        <w:t> </w:t>
      </w:r>
      <w:r>
        <w:rPr/>
        <w:t>Marshal</w:t>
      </w:r>
      <w:r>
        <w:rPr>
          <w:spacing w:val="-5"/>
        </w:rPr>
        <w:t> </w:t>
      </w:r>
      <w:r>
        <w:rPr>
          <w:spacing w:val="-2"/>
        </w:rPr>
        <w:t>(2011).</w:t>
      </w:r>
    </w:p>
    <w:p>
      <w:pPr>
        <w:pStyle w:val="BodyText"/>
        <w:spacing w:line="222" w:lineRule="exact" w:before="1"/>
        <w:jc w:val="left"/>
      </w:pPr>
      <w:r>
        <w:rPr/>
        <w:t>Then</w:t>
      </w:r>
      <w:r>
        <w:rPr>
          <w:spacing w:val="-6"/>
        </w:rPr>
        <w:t> </w:t>
      </w:r>
      <w:r>
        <w:rPr/>
        <w:t>profit</w:t>
      </w:r>
      <w:r>
        <w:rPr>
          <w:spacing w:val="-3"/>
        </w:rPr>
        <w:t> </w:t>
      </w:r>
      <w:r>
        <w:rPr/>
        <w:t>margin</w:t>
      </w:r>
      <w:r>
        <w:rPr>
          <w:spacing w:val="-5"/>
        </w:rPr>
        <w:t> </w:t>
      </w:r>
      <w:r>
        <w:rPr/>
        <w:t>at</w:t>
      </w:r>
      <w:r>
        <w:rPr>
          <w:spacing w:val="-5"/>
        </w:rPr>
        <w:t> </w:t>
      </w:r>
      <w:r>
        <w:rPr/>
        <w:t>stage</w:t>
      </w:r>
      <w:r>
        <w:rPr>
          <w:spacing w:val="-2"/>
        </w:rPr>
        <w:t> </w:t>
      </w:r>
      <w:r>
        <w:rPr/>
        <w:t>“i”</w:t>
      </w:r>
      <w:r>
        <w:rPr>
          <w:spacing w:val="-4"/>
        </w:rPr>
        <w:t> </w:t>
      </w:r>
      <w:r>
        <w:rPr/>
        <w:t>is</w:t>
      </w:r>
      <w:r>
        <w:rPr>
          <w:spacing w:val="-6"/>
        </w:rPr>
        <w:t> </w:t>
      </w:r>
      <w:r>
        <w:rPr/>
        <w:t>given</w:t>
      </w:r>
      <w:r>
        <w:rPr>
          <w:spacing w:val="-5"/>
        </w:rPr>
        <w:t> as:</w:t>
      </w:r>
    </w:p>
    <w:p>
      <w:pPr>
        <w:spacing w:after="0" w:line="222" w:lineRule="exact"/>
        <w:jc w:val="left"/>
        <w:sectPr>
          <w:pgSz w:w="11900" w:h="16840"/>
          <w:pgMar w:header="846" w:footer="819" w:top="1640" w:bottom="1000" w:left="1180" w:right="1180"/>
        </w:sectPr>
      </w:pPr>
    </w:p>
    <w:p>
      <w:pPr>
        <w:pStyle w:val="Heading1"/>
        <w:spacing w:before="121"/>
        <w:ind w:left="379"/>
      </w:pPr>
      <w:r>
        <w:rPr>
          <w:spacing w:val="-10"/>
        </w:rPr>
        <w:t>GPM</w:t>
      </w:r>
      <w:r>
        <w:rPr>
          <w:spacing w:val="-10"/>
          <w:vertAlign w:val="subscript"/>
        </w:rPr>
        <w:t>i</w:t>
      </w:r>
    </w:p>
    <w:p>
      <w:pPr>
        <w:tabs>
          <w:tab w:pos="8356" w:val="right" w:leader="dot"/>
        </w:tabs>
        <w:spacing w:line="353" w:lineRule="exact" w:before="4"/>
        <w:ind w:left="34" w:right="0" w:firstLine="0"/>
        <w:jc w:val="left"/>
        <w:rPr>
          <w:sz w:val="20"/>
        </w:rPr>
      </w:pPr>
      <w:r>
        <w:rPr/>
        <w:br w:type="column"/>
      </w:r>
      <w:r>
        <w:rPr>
          <w:rFonts w:ascii="FreeSerif" w:hAnsi="FreeSerif"/>
          <w:w w:val="115"/>
          <w:sz w:val="24"/>
        </w:rPr>
        <w:t>=</w:t>
      </w:r>
      <w:r>
        <w:rPr>
          <w:spacing w:val="-10"/>
          <w:w w:val="115"/>
          <w:sz w:val="24"/>
        </w:rPr>
        <w:t> </w:t>
      </w:r>
      <w:r>
        <w:rPr>
          <w:rFonts w:ascii="FreeSerif" w:hAnsi="FreeSerif"/>
          <w:w w:val="115"/>
          <w:position w:val="18"/>
          <w:sz w:val="17"/>
        </w:rPr>
        <w:t>GMM</w:t>
      </w:r>
      <w:r>
        <w:rPr>
          <w:rFonts w:ascii="FreeSerif" w:hAnsi="FreeSerif"/>
          <w:w w:val="115"/>
          <w:position w:val="14"/>
          <w:sz w:val="14"/>
        </w:rPr>
        <w:t>i−OE</w:t>
      </w:r>
      <w:r>
        <w:rPr>
          <w:rFonts w:ascii="FreeSerif" w:hAnsi="FreeSerif"/>
          <w:w w:val="115"/>
          <w:position w:val="9"/>
          <w:sz w:val="14"/>
        </w:rPr>
        <w:t>i</w:t>
      </w:r>
      <w:r>
        <w:rPr>
          <w:spacing w:val="20"/>
          <w:w w:val="115"/>
          <w:position w:val="9"/>
          <w:sz w:val="14"/>
        </w:rPr>
        <w:t> </w:t>
      </w:r>
      <w:r>
        <w:rPr>
          <w:rFonts w:ascii="FreeSerif" w:hAnsi="FreeSerif"/>
          <w:w w:val="115"/>
          <w:sz w:val="24"/>
        </w:rPr>
        <w:t>×</w:t>
      </w:r>
      <w:r>
        <w:rPr>
          <w:spacing w:val="-18"/>
          <w:w w:val="115"/>
          <w:sz w:val="24"/>
        </w:rPr>
        <w:t> </w:t>
      </w:r>
      <w:r>
        <w:rPr>
          <w:rFonts w:ascii="FreeSerif" w:hAnsi="FreeSerif"/>
          <w:spacing w:val="-5"/>
          <w:w w:val="115"/>
          <w:sz w:val="24"/>
        </w:rPr>
        <w:t>100</w:t>
      </w:r>
      <w:r>
        <w:rPr>
          <w:sz w:val="24"/>
        </w:rPr>
        <w:tab/>
      </w:r>
      <w:r>
        <w:rPr>
          <w:spacing w:val="-10"/>
          <w:w w:val="120"/>
          <w:sz w:val="20"/>
        </w:rPr>
        <w:t>8</w:t>
      </w:r>
    </w:p>
    <w:p>
      <w:pPr>
        <w:spacing w:line="110" w:lineRule="exact" w:before="0"/>
        <w:ind w:left="591" w:right="0" w:firstLine="0"/>
        <w:jc w:val="left"/>
        <w:rPr>
          <w:rFonts w:ascii="FreeSerif"/>
          <w:sz w:val="17"/>
        </w:rPr>
      </w:pPr>
      <w:r>
        <w:rPr/>
        <mc:AlternateContent>
          <mc:Choice Requires="wps">
            <w:drawing>
              <wp:anchor distT="0" distB="0" distL="0" distR="0" allowOverlap="1" layoutInCell="1" locked="0" behindDoc="1" simplePos="0" relativeHeight="486318592">
                <wp:simplePos x="0" y="0"/>
                <wp:positionH relativeFrom="page">
                  <wp:posOffset>1534667</wp:posOffset>
                </wp:positionH>
                <wp:positionV relativeFrom="paragraph">
                  <wp:posOffset>-60951</wp:posOffset>
                </wp:positionV>
                <wp:extent cx="538480" cy="1079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38480" cy="10795"/>
                        </a:xfrm>
                        <a:custGeom>
                          <a:avLst/>
                          <a:gdLst/>
                          <a:ahLst/>
                          <a:cxnLst/>
                          <a:rect l="l" t="t" r="r" b="b"/>
                          <a:pathLst>
                            <a:path w="538480" h="10795">
                              <a:moveTo>
                                <a:pt x="537971" y="0"/>
                              </a:moveTo>
                              <a:lnTo>
                                <a:pt x="0" y="0"/>
                              </a:lnTo>
                              <a:lnTo>
                                <a:pt x="0" y="10667"/>
                              </a:lnTo>
                              <a:lnTo>
                                <a:pt x="537971" y="10667"/>
                              </a:lnTo>
                              <a:lnTo>
                                <a:pt x="5379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839996pt;margin-top:-4.799321pt;width:42.359999pt;height:.84pt;mso-position-horizontal-relative:page;mso-position-vertical-relative:paragraph;z-index:-16997888" id="docshape18" filled="true" fillcolor="#000000" stroked="false">
                <v:fill type="solid"/>
                <w10:wrap type="none"/>
              </v:rect>
            </w:pict>
          </mc:Fallback>
        </mc:AlternateContent>
      </w:r>
      <w:r>
        <w:rPr>
          <w:rFonts w:ascii="FreeSerif"/>
          <w:spacing w:val="-5"/>
          <w:sz w:val="17"/>
        </w:rPr>
        <w:t>TG</w:t>
      </w:r>
    </w:p>
    <w:p>
      <w:pPr>
        <w:spacing w:after="0" w:line="110" w:lineRule="exact"/>
        <w:jc w:val="left"/>
        <w:rPr>
          <w:rFonts w:ascii="FreeSerif"/>
          <w:sz w:val="17"/>
        </w:rPr>
        <w:sectPr>
          <w:type w:val="continuous"/>
          <w:pgSz w:w="11900" w:h="16840"/>
          <w:pgMar w:header="846" w:footer="819" w:top="1640" w:bottom="1000" w:left="1180" w:right="1180"/>
          <w:cols w:num="2" w:equalWidth="0">
            <w:col w:w="916" w:space="40"/>
            <w:col w:w="8584"/>
          </w:cols>
        </w:sectPr>
      </w:pPr>
    </w:p>
    <w:p>
      <w:pPr>
        <w:pStyle w:val="BodyText"/>
        <w:ind w:right="5518"/>
        <w:jc w:val="left"/>
      </w:pPr>
      <w:r>
        <w:rPr/>
        <w:t>Where,</w:t>
      </w:r>
      <w:r>
        <w:rPr>
          <w:spacing w:val="-5"/>
        </w:rPr>
        <w:t> </w:t>
      </w:r>
      <w:r>
        <w:rPr/>
        <w:t>GPMi</w:t>
      </w:r>
      <w:r>
        <w:rPr>
          <w:spacing w:val="-6"/>
        </w:rPr>
        <w:t> </w:t>
      </w:r>
      <w:r>
        <w:rPr/>
        <w:t>=Gross</w:t>
      </w:r>
      <w:r>
        <w:rPr>
          <w:spacing w:val="-7"/>
        </w:rPr>
        <w:t> </w:t>
      </w:r>
      <w:r>
        <w:rPr/>
        <w:t>profit</w:t>
      </w:r>
      <w:r>
        <w:rPr>
          <w:spacing w:val="-6"/>
        </w:rPr>
        <w:t> </w:t>
      </w:r>
      <w:r>
        <w:rPr/>
        <w:t>margin</w:t>
      </w:r>
      <w:r>
        <w:rPr>
          <w:spacing w:val="-7"/>
        </w:rPr>
        <w:t> </w:t>
      </w:r>
      <w:r>
        <w:rPr/>
        <w:t>at</w:t>
      </w:r>
      <w:r>
        <w:rPr>
          <w:spacing w:val="-6"/>
        </w:rPr>
        <w:t> </w:t>
      </w:r>
      <w:r>
        <w:rPr/>
        <w:t>ith</w:t>
      </w:r>
      <w:r>
        <w:rPr>
          <w:spacing w:val="-7"/>
        </w:rPr>
        <w:t> </w:t>
      </w:r>
      <w:r>
        <w:rPr/>
        <w:t>link GMMi =Gross marketing margin at ith link OEi =Operating expense at ith link TGPM=Total gross profit margin</w:t>
      </w:r>
    </w:p>
    <w:p>
      <w:pPr>
        <w:pStyle w:val="Heading3"/>
        <w:spacing w:line="228" w:lineRule="exact" w:before="225"/>
        <w:jc w:val="left"/>
      </w:pPr>
      <w:r>
        <w:rPr/>
        <w:t>Market</w:t>
      </w:r>
      <w:r>
        <w:rPr>
          <w:b w:val="0"/>
          <w:spacing w:val="-6"/>
        </w:rPr>
        <w:t> </w:t>
      </w:r>
      <w:r>
        <w:rPr/>
        <w:t>outlet</w:t>
      </w:r>
      <w:r>
        <w:rPr>
          <w:b w:val="0"/>
          <w:spacing w:val="-5"/>
        </w:rPr>
        <w:t> </w:t>
      </w:r>
      <w:r>
        <w:rPr/>
        <w:t>choice</w:t>
      </w:r>
      <w:r>
        <w:rPr>
          <w:b w:val="0"/>
          <w:spacing w:val="-4"/>
        </w:rPr>
        <w:t> </w:t>
      </w:r>
      <w:r>
        <w:rPr>
          <w:spacing w:val="-4"/>
        </w:rPr>
        <w:t>model</w:t>
      </w:r>
    </w:p>
    <w:p>
      <w:pPr>
        <w:pStyle w:val="BodyText"/>
        <w:tabs>
          <w:tab w:pos="9101" w:val="left" w:leader="dot"/>
        </w:tabs>
        <w:ind w:right="224"/>
        <w:jc w:val="left"/>
      </w:pPr>
      <w:r>
        <w:rPr/>
        <w:t>A multinomial logit (MNL) model was applied to explain inter household variation in the choice of a specific</w:t>
      </w:r>
      <w:r>
        <w:rPr>
          <w:spacing w:val="80"/>
        </w:rPr>
        <w:t> </w:t>
      </w:r>
      <w:r>
        <w:rPr/>
        <w:t>marketing outlet. This study assumes that farmer’s decision is generated based on its utility maximization. This implies</w:t>
      </w:r>
      <w:r>
        <w:rPr>
          <w:spacing w:val="38"/>
        </w:rPr>
        <w:t> </w:t>
      </w:r>
      <w:r>
        <w:rPr/>
        <w:t>that</w:t>
      </w:r>
      <w:r>
        <w:rPr>
          <w:spacing w:val="39"/>
        </w:rPr>
        <w:t> </w:t>
      </w:r>
      <w:r>
        <w:rPr/>
        <w:t>each</w:t>
      </w:r>
      <w:r>
        <w:rPr>
          <w:spacing w:val="38"/>
        </w:rPr>
        <w:t> </w:t>
      </w:r>
      <w:r>
        <w:rPr/>
        <w:t>alternative</w:t>
      </w:r>
      <w:r>
        <w:rPr>
          <w:spacing w:val="40"/>
        </w:rPr>
        <w:t> </w:t>
      </w:r>
      <w:r>
        <w:rPr/>
        <w:t>marketing</w:t>
      </w:r>
      <w:r>
        <w:rPr>
          <w:spacing w:val="38"/>
        </w:rPr>
        <w:t> </w:t>
      </w:r>
      <w:r>
        <w:rPr/>
        <w:t>outlet</w:t>
      </w:r>
      <w:r>
        <w:rPr>
          <w:spacing w:val="39"/>
        </w:rPr>
        <w:t> </w:t>
      </w:r>
      <w:r>
        <w:rPr/>
        <w:t>choice</w:t>
      </w:r>
      <w:r>
        <w:rPr>
          <w:spacing w:val="40"/>
        </w:rPr>
        <w:t> </w:t>
      </w:r>
      <w:r>
        <w:rPr/>
        <w:t>entails</w:t>
      </w:r>
      <w:r>
        <w:rPr>
          <w:spacing w:val="38"/>
        </w:rPr>
        <w:t> </w:t>
      </w:r>
      <w:r>
        <w:rPr/>
        <w:t>different</w:t>
      </w:r>
      <w:r>
        <w:rPr>
          <w:spacing w:val="39"/>
        </w:rPr>
        <w:t> </w:t>
      </w:r>
      <w:r>
        <w:rPr/>
        <w:t>private</w:t>
      </w:r>
      <w:r>
        <w:rPr>
          <w:spacing w:val="40"/>
        </w:rPr>
        <w:t> </w:t>
      </w:r>
      <w:r>
        <w:rPr/>
        <w:t>costs</w:t>
      </w:r>
      <w:r>
        <w:rPr>
          <w:spacing w:val="38"/>
        </w:rPr>
        <w:t> </w:t>
      </w:r>
      <w:r>
        <w:rPr/>
        <w:t>and</w:t>
      </w:r>
      <w:r>
        <w:rPr>
          <w:spacing w:val="40"/>
        </w:rPr>
        <w:t> </w:t>
      </w:r>
      <w:r>
        <w:rPr/>
        <w:t>benefits,</w:t>
      </w:r>
      <w:r>
        <w:rPr>
          <w:spacing w:val="40"/>
        </w:rPr>
        <w:t> </w:t>
      </w:r>
      <w:r>
        <w:rPr/>
        <w:t>and</w:t>
      </w:r>
      <w:r>
        <w:rPr>
          <w:spacing w:val="40"/>
        </w:rPr>
        <w:t> </w:t>
      </w:r>
      <w:r>
        <w:rPr/>
        <w:t>hence different utility, to a household decision maker. The analytical model is constructed as follows. Suppose that the utility to a household of alternative </w:t>
      </w:r>
      <w:r>
        <w:rPr>
          <w:i/>
        </w:rPr>
        <w:t>j</w:t>
      </w:r>
      <w:r>
        <w:rPr/>
        <w:t> is Uij, where j = 0, 1, 2…. From the decision maker’s perspective, the best alternative is simply the one that maximizes net private benefit at the margin. In other words, household </w:t>
      </w:r>
      <w:r>
        <w:rPr>
          <w:i/>
        </w:rPr>
        <w:t>i</w:t>
      </w:r>
      <w:r>
        <w:rPr/>
        <w:t> were choose</w:t>
      </w:r>
      <w:r>
        <w:rPr>
          <w:spacing w:val="32"/>
        </w:rPr>
        <w:t> </w:t>
      </w:r>
      <w:r>
        <w:rPr/>
        <w:t>marketing</w:t>
      </w:r>
      <w:r>
        <w:rPr>
          <w:spacing w:val="28"/>
        </w:rPr>
        <w:t> </w:t>
      </w:r>
      <w:r>
        <w:rPr/>
        <w:t>oulet</w:t>
      </w:r>
      <w:r>
        <w:rPr>
          <w:spacing w:val="31"/>
        </w:rPr>
        <w:t> </w:t>
      </w:r>
      <w:r>
        <w:rPr>
          <w:i/>
        </w:rPr>
        <w:t>j</w:t>
      </w:r>
      <w:r>
        <w:rPr>
          <w:spacing w:val="29"/>
        </w:rPr>
        <w:t> </w:t>
      </w:r>
      <w:r>
        <w:rPr/>
        <w:t>if</w:t>
      </w:r>
      <w:r>
        <w:rPr>
          <w:spacing w:val="28"/>
        </w:rPr>
        <w:t> </w:t>
      </w:r>
      <w:r>
        <w:rPr/>
        <w:t>and</w:t>
      </w:r>
      <w:r>
        <w:rPr>
          <w:spacing w:val="30"/>
        </w:rPr>
        <w:t> </w:t>
      </w:r>
      <w:r>
        <w:rPr/>
        <w:t>only</w:t>
      </w:r>
      <w:r>
        <w:rPr>
          <w:spacing w:val="28"/>
        </w:rPr>
        <w:t> </w:t>
      </w:r>
      <w:r>
        <w:rPr/>
        <w:t>if</w:t>
      </w:r>
      <w:r>
        <w:rPr>
          <w:spacing w:val="28"/>
        </w:rPr>
        <w:t> </w:t>
      </w:r>
      <w:r>
        <w:rPr/>
        <w:t>Uij</w:t>
      </w:r>
      <w:r>
        <w:rPr>
          <w:spacing w:val="31"/>
        </w:rPr>
        <w:t> </w:t>
      </w:r>
      <w:r>
        <w:rPr/>
        <w:t>&gt;</w:t>
      </w:r>
      <w:r>
        <w:rPr>
          <w:spacing w:val="30"/>
        </w:rPr>
        <w:t> </w:t>
      </w:r>
      <w:r>
        <w:rPr/>
        <w:t>Uik.</w:t>
      </w:r>
      <w:r>
        <w:rPr>
          <w:spacing w:val="30"/>
        </w:rPr>
        <w:t> </w:t>
      </w:r>
      <w:r>
        <w:rPr/>
        <w:t>It</w:t>
      </w:r>
      <w:r>
        <w:rPr>
          <w:spacing w:val="29"/>
        </w:rPr>
        <w:t> </w:t>
      </w:r>
      <w:r>
        <w:rPr/>
        <w:t>is</w:t>
      </w:r>
      <w:r>
        <w:rPr>
          <w:spacing w:val="28"/>
        </w:rPr>
        <w:t> </w:t>
      </w:r>
      <w:r>
        <w:rPr/>
        <w:t>important</w:t>
      </w:r>
      <w:r>
        <w:rPr>
          <w:spacing w:val="29"/>
        </w:rPr>
        <w:t> </w:t>
      </w:r>
      <w:r>
        <w:rPr/>
        <w:t>to</w:t>
      </w:r>
      <w:r>
        <w:rPr>
          <w:spacing w:val="33"/>
        </w:rPr>
        <w:t> </w:t>
      </w:r>
      <w:r>
        <w:rPr/>
        <w:t>note</w:t>
      </w:r>
      <w:r>
        <w:rPr>
          <w:spacing w:val="30"/>
        </w:rPr>
        <w:t> </w:t>
      </w:r>
      <w:r>
        <w:rPr/>
        <w:t>that</w:t>
      </w:r>
      <w:r>
        <w:rPr>
          <w:spacing w:val="31"/>
        </w:rPr>
        <w:t> </w:t>
      </w:r>
      <w:r>
        <w:rPr/>
        <w:t>household’s</w:t>
      </w:r>
      <w:r>
        <w:rPr>
          <w:spacing w:val="31"/>
        </w:rPr>
        <w:t> </w:t>
      </w:r>
      <w:r>
        <w:rPr/>
        <w:t>utility</w:t>
      </w:r>
      <w:r>
        <w:rPr>
          <w:spacing w:val="28"/>
        </w:rPr>
        <w:t> </w:t>
      </w:r>
      <w:r>
        <w:rPr/>
        <w:t>cannot</w:t>
      </w:r>
      <w:r>
        <w:rPr>
          <w:spacing w:val="29"/>
        </w:rPr>
        <w:t> </w:t>
      </w:r>
      <w:r>
        <w:rPr/>
        <w:t>be observed</w:t>
      </w:r>
      <w:r>
        <w:rPr>
          <w:spacing w:val="40"/>
        </w:rPr>
        <w:t> </w:t>
      </w:r>
      <w:r>
        <w:rPr/>
        <w:t>in</w:t>
      </w:r>
      <w:r>
        <w:rPr>
          <w:spacing w:val="36"/>
        </w:rPr>
        <w:t> </w:t>
      </w:r>
      <w:r>
        <w:rPr/>
        <w:t>practice.</w:t>
      </w:r>
      <w:r>
        <w:rPr>
          <w:spacing w:val="38"/>
        </w:rPr>
        <w:t> </w:t>
      </w:r>
      <w:r>
        <w:rPr/>
        <w:t>What</w:t>
      </w:r>
      <w:r>
        <w:rPr>
          <w:spacing w:val="38"/>
        </w:rPr>
        <w:t> </w:t>
      </w:r>
      <w:r>
        <w:rPr/>
        <w:t>a</w:t>
      </w:r>
      <w:r>
        <w:rPr>
          <w:spacing w:val="40"/>
        </w:rPr>
        <w:t> </w:t>
      </w:r>
      <w:r>
        <w:rPr/>
        <w:t>researcher</w:t>
      </w:r>
      <w:r>
        <w:rPr>
          <w:spacing w:val="39"/>
        </w:rPr>
        <w:t> </w:t>
      </w:r>
      <w:r>
        <w:rPr/>
        <w:t>observe</w:t>
      </w:r>
      <w:r>
        <w:rPr>
          <w:spacing w:val="38"/>
        </w:rPr>
        <w:t> </w:t>
      </w:r>
      <w:r>
        <w:rPr/>
        <w:t>are</w:t>
      </w:r>
      <w:r>
        <w:rPr>
          <w:spacing w:val="40"/>
        </w:rPr>
        <w:t> </w:t>
      </w:r>
      <w:r>
        <w:rPr/>
        <w:t>the</w:t>
      </w:r>
      <w:r>
        <w:rPr>
          <w:spacing w:val="40"/>
        </w:rPr>
        <w:t> </w:t>
      </w:r>
      <w:r>
        <w:rPr/>
        <w:t>factors</w:t>
      </w:r>
      <w:r>
        <w:rPr>
          <w:spacing w:val="37"/>
        </w:rPr>
        <w:t> </w:t>
      </w:r>
      <w:r>
        <w:rPr/>
        <w:t>influencing</w:t>
      </w:r>
      <w:r>
        <w:rPr>
          <w:spacing w:val="37"/>
        </w:rPr>
        <w:t> </w:t>
      </w:r>
      <w:r>
        <w:rPr/>
        <w:t>the</w:t>
      </w:r>
      <w:r>
        <w:rPr>
          <w:spacing w:val="40"/>
        </w:rPr>
        <w:t> </w:t>
      </w:r>
      <w:r>
        <w:rPr/>
        <w:t>household’s</w:t>
      </w:r>
      <w:r>
        <w:rPr>
          <w:spacing w:val="39"/>
        </w:rPr>
        <w:t> </w:t>
      </w:r>
      <w:r>
        <w:rPr/>
        <w:t>utility</w:t>
      </w:r>
      <w:r>
        <w:rPr>
          <w:spacing w:val="39"/>
        </w:rPr>
        <w:t> </w:t>
      </w:r>
      <w:r>
        <w:rPr/>
        <w:t>such</w:t>
      </w:r>
      <w:r>
        <w:rPr>
          <w:spacing w:val="37"/>
        </w:rPr>
        <w:t> </w:t>
      </w:r>
      <w:r>
        <w:rPr/>
        <w:t>as household and personal characteristics and attributes of the choice set experienced by the household. Based on McFadden (1978), a household’s utility function from using alternative j can then be expressed as follows: </w:t>
      </w:r>
      <w:r>
        <w:rPr>
          <w:rFonts w:ascii="FreeSerif" w:hAnsi="FreeSerif"/>
          <w:sz w:val="24"/>
        </w:rPr>
        <w:t>U</w:t>
      </w:r>
      <w:r>
        <w:rPr>
          <w:rFonts w:ascii="FreeSerif" w:hAnsi="FreeSerif"/>
          <w:position w:val="1"/>
          <w:sz w:val="24"/>
        </w:rPr>
        <w:t>(</w:t>
      </w:r>
      <w:r>
        <w:rPr>
          <w:rFonts w:ascii="FreeSerif" w:hAnsi="FreeSerif"/>
          <w:sz w:val="24"/>
        </w:rPr>
        <w:t>Choice</w:t>
      </w:r>
      <w:r>
        <w:rPr>
          <w:sz w:val="24"/>
        </w:rPr>
        <w:t> </w:t>
      </w:r>
      <w:r>
        <w:rPr>
          <w:rFonts w:ascii="FreeSerif" w:hAnsi="FreeSerif"/>
          <w:sz w:val="24"/>
        </w:rPr>
        <w:t>of</w:t>
      </w:r>
      <w:r>
        <w:rPr>
          <w:sz w:val="24"/>
        </w:rPr>
        <w:t> </w:t>
      </w:r>
      <w:r>
        <w:rPr>
          <w:rFonts w:ascii="FreeSerif" w:hAnsi="FreeSerif"/>
          <w:sz w:val="24"/>
        </w:rPr>
        <w:t>j</w:t>
      </w:r>
      <w:r>
        <w:rPr>
          <w:sz w:val="24"/>
        </w:rPr>
        <w:t> </w:t>
      </w:r>
      <w:r>
        <w:rPr>
          <w:rFonts w:ascii="FreeSerif" w:hAnsi="FreeSerif"/>
          <w:sz w:val="24"/>
        </w:rPr>
        <w:t>for</w:t>
      </w:r>
      <w:r>
        <w:rPr>
          <w:sz w:val="24"/>
        </w:rPr>
        <w:t> </w:t>
      </w:r>
      <w:r>
        <w:rPr>
          <w:rFonts w:ascii="FreeSerif" w:hAnsi="FreeSerif"/>
          <w:sz w:val="24"/>
        </w:rPr>
        <w:t>household</w:t>
      </w:r>
      <w:r>
        <w:rPr>
          <w:sz w:val="24"/>
        </w:rPr>
        <w:t> </w:t>
      </w:r>
      <w:r>
        <w:rPr>
          <w:rFonts w:ascii="FreeSerif" w:hAnsi="FreeSerif"/>
          <w:sz w:val="24"/>
        </w:rPr>
        <w:t>i</w:t>
      </w:r>
      <w:r>
        <w:rPr>
          <w:rFonts w:ascii="FreeSerif" w:hAnsi="FreeSerif"/>
          <w:position w:val="1"/>
          <w:sz w:val="24"/>
        </w:rPr>
        <w:t>)</w:t>
      </w:r>
      <w:r>
        <w:rPr>
          <w:position w:val="1"/>
          <w:sz w:val="24"/>
        </w:rPr>
        <w:t> </w:t>
      </w:r>
      <w:r>
        <w:rPr>
          <w:rFonts w:ascii="FreeSerif" w:hAnsi="FreeSerif"/>
          <w:w w:val="105"/>
          <w:sz w:val="24"/>
        </w:rPr>
        <w:t>=</w:t>
      </w:r>
      <w:r>
        <w:rPr>
          <w:w w:val="105"/>
          <w:sz w:val="24"/>
        </w:rPr>
        <w:t> </w:t>
      </w:r>
      <w:r>
        <w:rPr>
          <w:rFonts w:ascii="FreeSerif" w:hAnsi="FreeSerif"/>
          <w:sz w:val="24"/>
        </w:rPr>
        <w:t>U</w:t>
      </w:r>
      <w:r>
        <w:rPr>
          <w:rFonts w:ascii="FreeSerif" w:hAnsi="FreeSerif"/>
          <w:sz w:val="24"/>
          <w:vertAlign w:val="subscript"/>
        </w:rPr>
        <w:t>ij</w:t>
      </w:r>
      <w:r>
        <w:rPr>
          <w:sz w:val="24"/>
          <w:vertAlign w:val="baseline"/>
        </w:rPr>
        <w:t> </w:t>
      </w:r>
      <w:r>
        <w:rPr>
          <w:rFonts w:ascii="FreeSerif" w:hAnsi="FreeSerif"/>
          <w:w w:val="105"/>
          <w:sz w:val="24"/>
          <w:vertAlign w:val="baseline"/>
        </w:rPr>
        <w:t>=</w:t>
      </w:r>
      <w:r>
        <w:rPr>
          <w:w w:val="105"/>
          <w:sz w:val="24"/>
          <w:vertAlign w:val="baseline"/>
        </w:rPr>
        <w:t> </w:t>
      </w:r>
      <w:r>
        <w:rPr>
          <w:rFonts w:ascii="FreeSerif" w:hAnsi="FreeSerif"/>
          <w:sz w:val="24"/>
          <w:vertAlign w:val="baseline"/>
        </w:rPr>
        <w:t>V</w:t>
      </w:r>
      <w:r>
        <w:rPr>
          <w:rFonts w:ascii="FreeSerif" w:hAnsi="FreeSerif"/>
          <w:sz w:val="24"/>
          <w:vertAlign w:val="subscript"/>
        </w:rPr>
        <w:t>ij</w:t>
      </w:r>
      <w:r>
        <w:rPr>
          <w:sz w:val="24"/>
          <w:vertAlign w:val="baseline"/>
        </w:rPr>
        <w:t> </w:t>
      </w:r>
      <w:r>
        <w:rPr>
          <w:rFonts w:ascii="FreeSerif" w:hAnsi="FreeSerif"/>
          <w:w w:val="105"/>
          <w:sz w:val="24"/>
          <w:vertAlign w:val="baseline"/>
        </w:rPr>
        <w:t>+</w:t>
      </w:r>
      <w:r>
        <w:rPr>
          <w:w w:val="105"/>
          <w:sz w:val="24"/>
          <w:vertAlign w:val="baseline"/>
        </w:rPr>
        <w:t> </w:t>
      </w:r>
      <w:r>
        <w:rPr>
          <w:rFonts w:ascii="FreeSerif" w:hAnsi="FreeSerif"/>
          <w:sz w:val="24"/>
          <w:vertAlign w:val="baseline"/>
        </w:rPr>
        <w:t>ε</w:t>
      </w:r>
      <w:r>
        <w:rPr>
          <w:rFonts w:ascii="FreeSerif" w:hAnsi="FreeSerif"/>
          <w:sz w:val="24"/>
          <w:vertAlign w:val="subscript"/>
        </w:rPr>
        <w:t>ij</w:t>
      </w:r>
      <w:r>
        <w:rPr>
          <w:position w:val="-4"/>
          <w:sz w:val="17"/>
          <w:vertAlign w:val="baseline"/>
        </w:rPr>
        <w:tab/>
      </w:r>
      <w:r>
        <w:rPr>
          <w:spacing w:val="-6"/>
          <w:vertAlign w:val="baseline"/>
        </w:rPr>
        <w:t>10</w:t>
      </w:r>
    </w:p>
    <w:p>
      <w:pPr>
        <w:pStyle w:val="BodyText"/>
        <w:spacing w:before="11"/>
        <w:jc w:val="left"/>
      </w:pPr>
      <w:r>
        <w:rPr>
          <w:spacing w:val="-2"/>
        </w:rPr>
        <w:t>Where,</w:t>
      </w:r>
    </w:p>
    <w:p>
      <w:pPr>
        <w:pStyle w:val="BodyText"/>
        <w:spacing w:before="1"/>
        <w:jc w:val="left"/>
      </w:pPr>
      <w:r>
        <w:rPr/>
        <w:t>U</w:t>
      </w:r>
      <w:r>
        <w:rPr>
          <w:vertAlign w:val="subscript"/>
        </w:rPr>
        <w:t>ij</w:t>
      </w:r>
      <w:r>
        <w:rPr>
          <w:spacing w:val="-5"/>
          <w:vertAlign w:val="baseline"/>
        </w:rPr>
        <w:t> </w:t>
      </w:r>
      <w:r>
        <w:rPr>
          <w:vertAlign w:val="baseline"/>
        </w:rPr>
        <w:t>is</w:t>
      </w:r>
      <w:r>
        <w:rPr>
          <w:spacing w:val="-5"/>
          <w:vertAlign w:val="baseline"/>
        </w:rPr>
        <w:t> </w:t>
      </w:r>
      <w:r>
        <w:rPr>
          <w:vertAlign w:val="baseline"/>
        </w:rPr>
        <w:t>the</w:t>
      </w:r>
      <w:r>
        <w:rPr>
          <w:spacing w:val="-4"/>
          <w:vertAlign w:val="baseline"/>
        </w:rPr>
        <w:t> </w:t>
      </w:r>
      <w:r>
        <w:rPr>
          <w:vertAlign w:val="baseline"/>
        </w:rPr>
        <w:t>overall</w:t>
      </w:r>
      <w:r>
        <w:rPr>
          <w:spacing w:val="-4"/>
          <w:vertAlign w:val="baseline"/>
        </w:rPr>
        <w:t> </w:t>
      </w:r>
      <w:r>
        <w:rPr>
          <w:spacing w:val="-2"/>
          <w:vertAlign w:val="baseline"/>
        </w:rPr>
        <w:t>utility,</w:t>
      </w:r>
    </w:p>
    <w:p>
      <w:pPr>
        <w:pStyle w:val="BodyText"/>
        <w:ind w:right="6327"/>
        <w:jc w:val="left"/>
      </w:pPr>
      <w:r>
        <w:rPr/>
        <w:t>V</w:t>
      </w:r>
      <w:r>
        <w:rPr>
          <w:vertAlign w:val="subscript"/>
        </w:rPr>
        <w:t>ij</w:t>
      </w:r>
      <w:r>
        <w:rPr>
          <w:spacing w:val="-7"/>
          <w:vertAlign w:val="baseline"/>
        </w:rPr>
        <w:t> </w:t>
      </w:r>
      <w:r>
        <w:rPr>
          <w:vertAlign w:val="baseline"/>
        </w:rPr>
        <w:t>is</w:t>
      </w:r>
      <w:r>
        <w:rPr>
          <w:spacing w:val="-8"/>
          <w:vertAlign w:val="baseline"/>
        </w:rPr>
        <w:t> </w:t>
      </w:r>
      <w:r>
        <w:rPr>
          <w:vertAlign w:val="baseline"/>
        </w:rPr>
        <w:t>an</w:t>
      </w:r>
      <w:r>
        <w:rPr>
          <w:spacing w:val="-8"/>
          <w:vertAlign w:val="baseline"/>
        </w:rPr>
        <w:t> </w:t>
      </w:r>
      <w:r>
        <w:rPr>
          <w:vertAlign w:val="baseline"/>
        </w:rPr>
        <w:t>indirect</w:t>
      </w:r>
      <w:r>
        <w:rPr>
          <w:spacing w:val="-7"/>
          <w:vertAlign w:val="baseline"/>
        </w:rPr>
        <w:t> </w:t>
      </w:r>
      <w:r>
        <w:rPr>
          <w:vertAlign w:val="baseline"/>
        </w:rPr>
        <w:t>utility</w:t>
      </w:r>
      <w:r>
        <w:rPr>
          <w:spacing w:val="-8"/>
          <w:vertAlign w:val="baseline"/>
        </w:rPr>
        <w:t> </w:t>
      </w:r>
      <w:r>
        <w:rPr>
          <w:vertAlign w:val="baseline"/>
        </w:rPr>
        <w:t>function</w:t>
      </w:r>
      <w:r>
        <w:rPr>
          <w:spacing w:val="-8"/>
          <w:vertAlign w:val="baseline"/>
        </w:rPr>
        <w:t> </w:t>
      </w:r>
      <w:r>
        <w:rPr>
          <w:vertAlign w:val="baseline"/>
        </w:rPr>
        <w:t>and ε</w:t>
      </w:r>
      <w:r>
        <w:rPr>
          <w:vertAlign w:val="subscript"/>
        </w:rPr>
        <w:t>ij</w:t>
      </w:r>
      <w:r>
        <w:rPr>
          <w:vertAlign w:val="baseline"/>
        </w:rPr>
        <w:t> is a random error term.</w:t>
      </w:r>
    </w:p>
    <w:p>
      <w:pPr>
        <w:pStyle w:val="BodyText"/>
        <w:spacing w:before="1"/>
        <w:jc w:val="left"/>
      </w:pPr>
      <w:r>
        <w:rPr/>
        <w:t>The</w:t>
      </w:r>
      <w:r>
        <w:rPr>
          <w:spacing w:val="-7"/>
        </w:rPr>
        <w:t> </w:t>
      </w:r>
      <w:r>
        <w:rPr/>
        <w:t>probability</w:t>
      </w:r>
      <w:r>
        <w:rPr>
          <w:spacing w:val="-9"/>
        </w:rPr>
        <w:t> </w:t>
      </w:r>
      <w:r>
        <w:rPr/>
        <w:t>that</w:t>
      </w:r>
      <w:r>
        <w:rPr>
          <w:spacing w:val="-6"/>
        </w:rPr>
        <w:t> </w:t>
      </w:r>
      <w:r>
        <w:rPr/>
        <w:t>household</w:t>
      </w:r>
      <w:r>
        <w:rPr>
          <w:spacing w:val="-6"/>
        </w:rPr>
        <w:t> </w:t>
      </w:r>
      <w:r>
        <w:rPr/>
        <w:t>i</w:t>
      </w:r>
      <w:r>
        <w:rPr>
          <w:spacing w:val="-6"/>
        </w:rPr>
        <w:t> </w:t>
      </w:r>
      <w:r>
        <w:rPr/>
        <w:t>select</w:t>
      </w:r>
      <w:r>
        <w:rPr>
          <w:spacing w:val="-6"/>
        </w:rPr>
        <w:t> </w:t>
      </w:r>
      <w:r>
        <w:rPr/>
        <w:t>alternative</w:t>
      </w:r>
      <w:r>
        <w:rPr>
          <w:spacing w:val="-6"/>
        </w:rPr>
        <w:t> </w:t>
      </w:r>
      <w:r>
        <w:rPr/>
        <w:t>j</w:t>
      </w:r>
      <w:r>
        <w:rPr>
          <w:spacing w:val="-2"/>
        </w:rPr>
        <w:t> </w:t>
      </w:r>
      <w:r>
        <w:rPr/>
        <w:t>was</w:t>
      </w:r>
      <w:r>
        <w:rPr>
          <w:spacing w:val="-7"/>
        </w:rPr>
        <w:t> </w:t>
      </w:r>
      <w:r>
        <w:rPr/>
        <w:t>specified</w:t>
      </w:r>
      <w:r>
        <w:rPr>
          <w:spacing w:val="-5"/>
        </w:rPr>
        <w:t> as:</w:t>
      </w:r>
    </w:p>
    <w:p>
      <w:pPr>
        <w:pStyle w:val="BodyText"/>
        <w:tabs>
          <w:tab w:pos="9111" w:val="left" w:leader="dot"/>
        </w:tabs>
        <w:spacing w:before="8"/>
        <w:ind w:left="1272"/>
        <w:jc w:val="left"/>
      </w:pPr>
      <w:r>
        <w:rPr>
          <w:rFonts w:ascii="FreeSerif" w:hAnsi="FreeSerif"/>
          <w:w w:val="115"/>
        </w:rPr>
        <w:t>P</w:t>
      </w:r>
      <w:r>
        <w:rPr>
          <w:rFonts w:ascii="FreeSerif" w:hAnsi="FreeSerif"/>
          <w:w w:val="115"/>
          <w:vertAlign w:val="subscript"/>
        </w:rPr>
        <w:t>ij</w:t>
      </w:r>
      <w:r>
        <w:rPr>
          <w:spacing w:val="-15"/>
          <w:w w:val="115"/>
          <w:vertAlign w:val="baseline"/>
        </w:rPr>
        <w:t> </w:t>
      </w:r>
      <w:r>
        <w:rPr>
          <w:rFonts w:ascii="FreeSerif" w:hAnsi="FreeSerif"/>
          <w:w w:val="115"/>
          <w:vertAlign w:val="baseline"/>
        </w:rPr>
        <w:t>=</w:t>
      </w:r>
      <w:r>
        <w:rPr>
          <w:spacing w:val="-13"/>
          <w:w w:val="115"/>
          <w:vertAlign w:val="baseline"/>
        </w:rPr>
        <w:t> </w:t>
      </w:r>
      <w:r>
        <w:rPr>
          <w:rFonts w:ascii="FreeSerif" w:hAnsi="FreeSerif"/>
          <w:w w:val="115"/>
          <w:vertAlign w:val="baseline"/>
        </w:rPr>
        <w:t>Pr(V</w:t>
      </w:r>
      <w:r>
        <w:rPr>
          <w:rFonts w:ascii="FreeSerif" w:hAnsi="FreeSerif"/>
          <w:w w:val="115"/>
          <w:vertAlign w:val="subscript"/>
        </w:rPr>
        <w:t>ij</w:t>
      </w:r>
      <w:r>
        <w:rPr>
          <w:spacing w:val="-14"/>
          <w:w w:val="115"/>
          <w:vertAlign w:val="baseline"/>
        </w:rPr>
        <w:t> </w:t>
      </w:r>
      <w:r>
        <w:rPr>
          <w:rFonts w:ascii="FreeSerif" w:hAnsi="FreeSerif"/>
          <w:w w:val="115"/>
          <w:vertAlign w:val="baseline"/>
        </w:rPr>
        <w:t>+</w:t>
      </w:r>
      <w:r>
        <w:rPr>
          <w:spacing w:val="13"/>
          <w:w w:val="115"/>
          <w:vertAlign w:val="baseline"/>
        </w:rPr>
        <w:t> </w:t>
      </w:r>
      <w:r>
        <w:rPr>
          <w:rFonts w:ascii="FreeSerif" w:hAnsi="FreeSerif"/>
          <w:w w:val="115"/>
          <w:vertAlign w:val="baseline"/>
        </w:rPr>
        <w:t>ε</w:t>
      </w:r>
      <w:r>
        <w:rPr>
          <w:rFonts w:ascii="FreeSerif" w:hAnsi="FreeSerif"/>
          <w:w w:val="115"/>
          <w:vertAlign w:val="subscript"/>
        </w:rPr>
        <w:t>ij</w:t>
      </w:r>
      <w:r>
        <w:rPr>
          <w:spacing w:val="-5"/>
          <w:w w:val="115"/>
          <w:vertAlign w:val="baseline"/>
        </w:rPr>
        <w:t> </w:t>
      </w:r>
      <w:r>
        <w:rPr>
          <w:rFonts w:ascii="FreeSerif" w:hAnsi="FreeSerif"/>
          <w:w w:val="115"/>
          <w:vertAlign w:val="baseline"/>
        </w:rPr>
        <w:t>&gt;</w:t>
      </w:r>
      <w:r>
        <w:rPr>
          <w:spacing w:val="-14"/>
          <w:w w:val="115"/>
          <w:vertAlign w:val="baseline"/>
        </w:rPr>
        <w:t> </w:t>
      </w:r>
      <w:r>
        <w:rPr>
          <w:rFonts w:ascii="FreeSerif" w:hAnsi="FreeSerif"/>
          <w:w w:val="115"/>
          <w:vertAlign w:val="baseline"/>
        </w:rPr>
        <w:t>V</w:t>
      </w:r>
      <w:r>
        <w:rPr>
          <w:rFonts w:ascii="FreeSerif" w:hAnsi="FreeSerif"/>
          <w:w w:val="115"/>
          <w:vertAlign w:val="subscript"/>
        </w:rPr>
        <w:t>ik</w:t>
      </w:r>
      <w:r>
        <w:rPr>
          <w:spacing w:val="-14"/>
          <w:w w:val="115"/>
          <w:vertAlign w:val="baseline"/>
        </w:rPr>
        <w:t> </w:t>
      </w:r>
      <w:r>
        <w:rPr>
          <w:rFonts w:ascii="FreeSerif" w:hAnsi="FreeSerif"/>
          <w:w w:val="115"/>
          <w:vertAlign w:val="baseline"/>
        </w:rPr>
        <w:t>+</w:t>
      </w:r>
      <w:r>
        <w:rPr>
          <w:spacing w:val="-14"/>
          <w:w w:val="115"/>
          <w:vertAlign w:val="baseline"/>
        </w:rPr>
        <w:t> </w:t>
      </w:r>
      <w:r>
        <w:rPr>
          <w:rFonts w:ascii="FreeSerif" w:hAnsi="FreeSerif"/>
          <w:spacing w:val="-4"/>
          <w:w w:val="115"/>
          <w:vertAlign w:val="baseline"/>
        </w:rPr>
        <w:t>ε</w:t>
      </w:r>
      <w:r>
        <w:rPr>
          <w:rFonts w:ascii="FreeSerif" w:hAnsi="FreeSerif"/>
          <w:spacing w:val="-4"/>
          <w:w w:val="115"/>
          <w:vertAlign w:val="subscript"/>
        </w:rPr>
        <w:t>ik</w:t>
      </w:r>
      <w:r>
        <w:rPr>
          <w:rFonts w:ascii="FreeSerif" w:hAnsi="FreeSerif"/>
          <w:spacing w:val="-4"/>
          <w:w w:val="115"/>
          <w:vertAlign w:val="baseline"/>
        </w:rPr>
        <w:t>)</w:t>
      </w:r>
      <w:r>
        <w:rPr>
          <w:vertAlign w:val="baseline"/>
        </w:rPr>
        <w:tab/>
      </w:r>
      <w:r>
        <w:rPr>
          <w:spacing w:val="-5"/>
          <w:w w:val="115"/>
          <w:vertAlign w:val="baseline"/>
        </w:rPr>
        <w:t>11</w:t>
      </w:r>
    </w:p>
    <w:p>
      <w:pPr>
        <w:pStyle w:val="Heading1"/>
        <w:tabs>
          <w:tab w:pos="9111" w:val="left" w:leader="dot"/>
        </w:tabs>
        <w:spacing w:before="21"/>
        <w:ind w:left="677"/>
        <w:rPr>
          <w:rFonts w:ascii="Times New Roman" w:hAnsi="Times New Roman"/>
          <w:sz w:val="20"/>
        </w:rPr>
      </w:pPr>
      <w:r>
        <w:rPr>
          <w:w w:val="115"/>
        </w:rPr>
        <w:t>P</w:t>
      </w:r>
      <w:r>
        <w:rPr>
          <w:w w:val="115"/>
          <w:vertAlign w:val="subscript"/>
        </w:rPr>
        <w:t>ij</w:t>
      </w:r>
      <w:r>
        <w:rPr>
          <w:rFonts w:ascii="Times New Roman" w:hAnsi="Times New Roman"/>
          <w:spacing w:val="-18"/>
          <w:w w:val="115"/>
          <w:vertAlign w:val="baseline"/>
        </w:rPr>
        <w:t> </w:t>
      </w:r>
      <w:r>
        <w:rPr>
          <w:w w:val="115"/>
          <w:vertAlign w:val="baseline"/>
        </w:rPr>
        <w:t>=</w:t>
      </w:r>
      <w:r>
        <w:rPr>
          <w:rFonts w:ascii="Times New Roman" w:hAnsi="Times New Roman"/>
          <w:spacing w:val="-17"/>
          <w:w w:val="115"/>
          <w:vertAlign w:val="baseline"/>
        </w:rPr>
        <w:t> </w:t>
      </w:r>
      <w:r>
        <w:rPr>
          <w:w w:val="115"/>
          <w:vertAlign w:val="baseline"/>
        </w:rPr>
        <w:t>Pr(ε</w:t>
      </w:r>
      <w:r>
        <w:rPr>
          <w:w w:val="115"/>
          <w:vertAlign w:val="subscript"/>
        </w:rPr>
        <w:t>ik</w:t>
      </w:r>
      <w:r>
        <w:rPr>
          <w:rFonts w:ascii="Times New Roman" w:hAnsi="Times New Roman"/>
          <w:spacing w:val="-17"/>
          <w:w w:val="115"/>
          <w:vertAlign w:val="baseline"/>
        </w:rPr>
        <w:t> </w:t>
      </w:r>
      <w:r>
        <w:rPr>
          <w:w w:val="115"/>
          <w:vertAlign w:val="baseline"/>
        </w:rPr>
        <w:t>&lt;</w:t>
      </w:r>
      <w:r>
        <w:rPr>
          <w:rFonts w:ascii="Times New Roman" w:hAnsi="Times New Roman"/>
          <w:spacing w:val="-17"/>
          <w:w w:val="115"/>
          <w:vertAlign w:val="baseline"/>
        </w:rPr>
        <w:t> </w:t>
      </w:r>
      <w:r>
        <w:rPr>
          <w:w w:val="115"/>
          <w:vertAlign w:val="baseline"/>
        </w:rPr>
        <w:t>ε</w:t>
      </w:r>
      <w:r>
        <w:rPr>
          <w:w w:val="115"/>
          <w:vertAlign w:val="subscript"/>
        </w:rPr>
        <w:t>ij</w:t>
      </w:r>
      <w:r>
        <w:rPr>
          <w:rFonts w:ascii="Times New Roman" w:hAnsi="Times New Roman"/>
          <w:spacing w:val="-17"/>
          <w:w w:val="115"/>
          <w:vertAlign w:val="baseline"/>
        </w:rPr>
        <w:t> </w:t>
      </w:r>
      <w:r>
        <w:rPr>
          <w:w w:val="115"/>
          <w:vertAlign w:val="baseline"/>
        </w:rPr>
        <w:t>+</w:t>
      </w:r>
      <w:r>
        <w:rPr>
          <w:rFonts w:ascii="Times New Roman" w:hAnsi="Times New Roman"/>
          <w:spacing w:val="-17"/>
          <w:w w:val="115"/>
          <w:vertAlign w:val="baseline"/>
        </w:rPr>
        <w:t> </w:t>
      </w:r>
      <w:r>
        <w:rPr>
          <w:w w:val="115"/>
          <w:vertAlign w:val="baseline"/>
        </w:rPr>
        <w:t>V</w:t>
      </w:r>
      <w:r>
        <w:rPr>
          <w:w w:val="115"/>
          <w:vertAlign w:val="subscript"/>
        </w:rPr>
        <w:t>ij</w:t>
      </w:r>
      <w:r>
        <w:rPr>
          <w:rFonts w:ascii="Times New Roman" w:hAnsi="Times New Roman"/>
          <w:spacing w:val="-16"/>
          <w:w w:val="115"/>
          <w:vertAlign w:val="baseline"/>
        </w:rPr>
        <w:t> </w:t>
      </w:r>
      <w:r>
        <w:rPr>
          <w:w w:val="115"/>
          <w:vertAlign w:val="baseline"/>
        </w:rPr>
        <w:t>−</w:t>
      </w:r>
      <w:r>
        <w:rPr>
          <w:rFonts w:ascii="Times New Roman" w:hAnsi="Times New Roman"/>
          <w:spacing w:val="-17"/>
          <w:w w:val="115"/>
          <w:vertAlign w:val="baseline"/>
        </w:rPr>
        <w:t> </w:t>
      </w:r>
      <w:r>
        <w:rPr>
          <w:w w:val="115"/>
          <w:vertAlign w:val="baseline"/>
        </w:rPr>
        <w:t>V</w:t>
      </w:r>
      <w:r>
        <w:rPr>
          <w:w w:val="115"/>
          <w:vertAlign w:val="subscript"/>
        </w:rPr>
        <w:t>ik</w:t>
      </w:r>
      <w:r>
        <w:rPr>
          <w:w w:val="115"/>
          <w:vertAlign w:val="baseline"/>
        </w:rPr>
        <w:t>,</w:t>
      </w:r>
      <w:r>
        <w:rPr>
          <w:rFonts w:ascii="Times New Roman" w:hAnsi="Times New Roman"/>
          <w:spacing w:val="-30"/>
          <w:w w:val="115"/>
          <w:vertAlign w:val="baseline"/>
        </w:rPr>
        <w:t> </w:t>
      </w:r>
      <w:r>
        <w:rPr>
          <w:w w:val="115"/>
          <w:vertAlign w:val="baseline"/>
        </w:rPr>
        <w:t>∀</w:t>
      </w:r>
      <w:r>
        <w:rPr>
          <w:rFonts w:ascii="Times New Roman" w:hAnsi="Times New Roman"/>
          <w:spacing w:val="-17"/>
          <w:w w:val="115"/>
          <w:vertAlign w:val="baseline"/>
        </w:rPr>
        <w:t> </w:t>
      </w:r>
      <w:r>
        <w:rPr>
          <w:w w:val="115"/>
          <w:vertAlign w:val="baseline"/>
        </w:rPr>
        <w:t>G</w:t>
      </w:r>
      <w:r>
        <w:rPr>
          <w:rFonts w:ascii="Times New Roman" w:hAnsi="Times New Roman"/>
          <w:spacing w:val="-13"/>
          <w:w w:val="115"/>
          <w:vertAlign w:val="baseline"/>
        </w:rPr>
        <w:t> </w:t>
      </w:r>
      <w:r>
        <w:rPr>
          <w:spacing w:val="-5"/>
          <w:w w:val="115"/>
          <w:vertAlign w:val="baseline"/>
        </w:rPr>
        <w:t>j)</w:t>
      </w:r>
      <w:r>
        <w:rPr>
          <w:rFonts w:ascii="Times New Roman" w:hAnsi="Times New Roman"/>
          <w:vertAlign w:val="baseline"/>
        </w:rPr>
        <w:tab/>
      </w:r>
      <w:r>
        <w:rPr>
          <w:rFonts w:ascii="Times New Roman" w:hAnsi="Times New Roman"/>
          <w:spacing w:val="-5"/>
          <w:w w:val="115"/>
          <w:sz w:val="20"/>
          <w:vertAlign w:val="baseline"/>
        </w:rPr>
        <w:t>12</w:t>
      </w:r>
    </w:p>
    <w:p>
      <w:pPr>
        <w:pStyle w:val="BodyText"/>
        <w:spacing w:before="10"/>
        <w:ind w:right="158" w:hanging="1"/>
      </w:pPr>
      <w:r>
        <w:rPr/>
        <w:t>Assuming</w:t>
      </w:r>
      <w:r>
        <w:rPr>
          <w:spacing w:val="-2"/>
        </w:rPr>
        <w:t> </w:t>
      </w:r>
      <w:r>
        <w:rPr/>
        <w:t>that the</w:t>
      </w:r>
      <w:r>
        <w:rPr>
          <w:spacing w:val="-1"/>
        </w:rPr>
        <w:t> </w:t>
      </w:r>
      <w:r>
        <w:rPr/>
        <w:t>error terms are</w:t>
      </w:r>
      <w:r>
        <w:rPr>
          <w:spacing w:val="-1"/>
        </w:rPr>
        <w:t> </w:t>
      </w:r>
      <w:r>
        <w:rPr/>
        <w:t>identically</w:t>
      </w:r>
      <w:r>
        <w:rPr>
          <w:spacing w:val="-2"/>
        </w:rPr>
        <w:t> </w:t>
      </w:r>
      <w:r>
        <w:rPr/>
        <w:t>and independently</w:t>
      </w:r>
      <w:r>
        <w:rPr>
          <w:spacing w:val="-5"/>
        </w:rPr>
        <w:t> </w:t>
      </w:r>
      <w:r>
        <w:rPr/>
        <w:t>distributed with</w:t>
      </w:r>
      <w:r>
        <w:rPr>
          <w:spacing w:val="-2"/>
        </w:rPr>
        <w:t> </w:t>
      </w:r>
      <w:r>
        <w:rPr/>
        <w:t>type</w:t>
      </w:r>
      <w:r>
        <w:rPr>
          <w:spacing w:val="-1"/>
        </w:rPr>
        <w:t> </w:t>
      </w:r>
      <w:r>
        <w:rPr/>
        <w:t>i</w:t>
      </w:r>
      <w:r>
        <w:rPr>
          <w:spacing w:val="-1"/>
        </w:rPr>
        <w:t> </w:t>
      </w:r>
      <w:r>
        <w:rPr/>
        <w:t>extreme value distribution, the</w:t>
      </w:r>
      <w:r>
        <w:rPr>
          <w:spacing w:val="-3"/>
        </w:rPr>
        <w:t> </w:t>
      </w:r>
      <w:r>
        <w:rPr/>
        <w:t>probability</w:t>
      </w:r>
      <w:r>
        <w:rPr>
          <w:spacing w:val="-6"/>
        </w:rPr>
        <w:t> </w:t>
      </w:r>
      <w:r>
        <w:rPr/>
        <w:t>that</w:t>
      </w:r>
      <w:r>
        <w:rPr>
          <w:spacing w:val="-3"/>
        </w:rPr>
        <w:t> </w:t>
      </w:r>
      <w:r>
        <w:rPr/>
        <w:t>a household</w:t>
      </w:r>
      <w:r>
        <w:rPr>
          <w:spacing w:val="-2"/>
        </w:rPr>
        <w:t> </w:t>
      </w:r>
      <w:r>
        <w:rPr/>
        <w:t>chooses</w:t>
      </w:r>
      <w:r>
        <w:rPr>
          <w:spacing w:val="-4"/>
        </w:rPr>
        <w:t> </w:t>
      </w:r>
      <w:r>
        <w:rPr/>
        <w:t>alternative</w:t>
      </w:r>
      <w:r>
        <w:rPr>
          <w:spacing w:val="-3"/>
        </w:rPr>
        <w:t> </w:t>
      </w:r>
      <w:r>
        <w:rPr/>
        <w:t>j were</w:t>
      </w:r>
      <w:r>
        <w:rPr>
          <w:spacing w:val="-3"/>
        </w:rPr>
        <w:t> </w:t>
      </w:r>
      <w:r>
        <w:rPr/>
        <w:t>explained</w:t>
      </w:r>
      <w:r>
        <w:rPr>
          <w:spacing w:val="-2"/>
        </w:rPr>
        <w:t> </w:t>
      </w:r>
      <w:r>
        <w:rPr/>
        <w:t>by</w:t>
      </w:r>
      <w:r>
        <w:rPr>
          <w:spacing w:val="-4"/>
        </w:rPr>
        <w:t> </w:t>
      </w:r>
      <w:r>
        <w:rPr/>
        <w:t>a multinomial</w:t>
      </w:r>
      <w:r>
        <w:rPr>
          <w:spacing w:val="-1"/>
        </w:rPr>
        <w:t> </w:t>
      </w:r>
      <w:r>
        <w:rPr/>
        <w:t>logit</w:t>
      </w:r>
      <w:r>
        <w:rPr>
          <w:spacing w:val="-1"/>
        </w:rPr>
        <w:t> </w:t>
      </w:r>
      <w:r>
        <w:rPr/>
        <w:t>model</w:t>
      </w:r>
      <w:r>
        <w:rPr>
          <w:spacing w:val="-3"/>
        </w:rPr>
        <w:t> </w:t>
      </w:r>
      <w:r>
        <w:rPr/>
        <w:t>(Greene,</w:t>
      </w:r>
      <w:r>
        <w:rPr>
          <w:spacing w:val="-2"/>
        </w:rPr>
        <w:t> </w:t>
      </w:r>
      <w:r>
        <w:rPr/>
        <w:t>2000) as follow:</w:t>
      </w:r>
    </w:p>
    <w:p>
      <w:pPr>
        <w:spacing w:after="0"/>
        <w:sectPr>
          <w:type w:val="continuous"/>
          <w:pgSz w:w="11900" w:h="16840"/>
          <w:pgMar w:header="846" w:footer="819" w:top="1640" w:bottom="1000" w:left="1180" w:right="1180"/>
        </w:sectPr>
      </w:pPr>
    </w:p>
    <w:p>
      <w:pPr>
        <w:tabs>
          <w:tab w:pos="655" w:val="left" w:leader="none"/>
        </w:tabs>
        <w:spacing w:line="64" w:lineRule="auto" w:before="281"/>
        <w:ind w:left="0" w:right="0" w:firstLine="0"/>
        <w:jc w:val="right"/>
        <w:rPr>
          <w:rFonts w:ascii="FreeSerif" w:eastAsia="FreeSerif"/>
          <w:sz w:val="14"/>
        </w:rPr>
      </w:pPr>
      <w:r>
        <w:rPr/>
        <mc:AlternateContent>
          <mc:Choice Requires="wps">
            <w:drawing>
              <wp:anchor distT="0" distB="0" distL="0" distR="0" allowOverlap="1" layoutInCell="1" locked="0" behindDoc="0" simplePos="0" relativeHeight="15735296">
                <wp:simplePos x="0" y="0"/>
                <wp:positionH relativeFrom="page">
                  <wp:posOffset>3547871</wp:posOffset>
                </wp:positionH>
                <wp:positionV relativeFrom="paragraph">
                  <wp:posOffset>266156</wp:posOffset>
                </wp:positionV>
                <wp:extent cx="692150" cy="762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92150" cy="7620"/>
                        </a:xfrm>
                        <a:custGeom>
                          <a:avLst/>
                          <a:gdLst/>
                          <a:ahLst/>
                          <a:cxnLst/>
                          <a:rect l="l" t="t" r="r" b="b"/>
                          <a:pathLst>
                            <a:path w="692150" h="7620">
                              <a:moveTo>
                                <a:pt x="691895" y="0"/>
                              </a:moveTo>
                              <a:lnTo>
                                <a:pt x="0" y="0"/>
                              </a:lnTo>
                              <a:lnTo>
                                <a:pt x="0" y="7619"/>
                              </a:lnTo>
                              <a:lnTo>
                                <a:pt x="691895" y="7619"/>
                              </a:lnTo>
                              <a:lnTo>
                                <a:pt x="691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20.957193pt;width:54.479999pt;height:.6pt;mso-position-horizontal-relative:page;mso-position-vertical-relative:paragraph;z-index:15735296" id="docshape1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6320">
                <wp:simplePos x="0" y="0"/>
                <wp:positionH relativeFrom="page">
                  <wp:posOffset>3547972</wp:posOffset>
                </wp:positionH>
                <wp:positionV relativeFrom="paragraph">
                  <wp:posOffset>297997</wp:posOffset>
                </wp:positionV>
                <wp:extent cx="62865" cy="104139"/>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2865" cy="104139"/>
                        </a:xfrm>
                        <a:prstGeom prst="rect">
                          <a:avLst/>
                        </a:prstGeom>
                      </wps:spPr>
                      <wps:txbx>
                        <w:txbxContent>
                          <w:p>
                            <w:pPr>
                              <w:spacing w:line="157" w:lineRule="exact" w:before="6"/>
                              <w:ind w:left="0" w:right="0" w:firstLine="0"/>
                              <w:jc w:val="left"/>
                              <w:rPr>
                                <w:rFonts w:ascii="FreeSerif" w:hAnsi="FreeSerif"/>
                                <w:sz w:val="14"/>
                              </w:rPr>
                            </w:pPr>
                            <w:r>
                              <w:rPr>
                                <w:rFonts w:ascii="FreeSerif" w:hAnsi="FreeSerif"/>
                                <w:spacing w:val="-12"/>
                                <w:sz w:val="14"/>
                              </w:rPr>
                              <w:t>∑</w:t>
                            </w:r>
                          </w:p>
                        </w:txbxContent>
                      </wps:txbx>
                      <wps:bodyPr wrap="square" lIns="0" tIns="0" rIns="0" bIns="0" rtlCol="0">
                        <a:noAutofit/>
                      </wps:bodyPr>
                    </wps:wsp>
                  </a:graphicData>
                </a:graphic>
              </wp:anchor>
            </w:drawing>
          </mc:Choice>
          <mc:Fallback>
            <w:pict>
              <v:shape style="position:absolute;margin-left:279.367920pt;margin-top:23.464371pt;width:4.95pt;height:8.2pt;mso-position-horizontal-relative:page;mso-position-vertical-relative:paragraph;z-index:15736320" type="#_x0000_t202" id="docshape20" filled="false" stroked="false">
                <v:textbox inset="0,0,0,0">
                  <w:txbxContent>
                    <w:p>
                      <w:pPr>
                        <w:spacing w:line="157" w:lineRule="exact" w:before="6"/>
                        <w:ind w:left="0" w:right="0" w:firstLine="0"/>
                        <w:jc w:val="left"/>
                        <w:rPr>
                          <w:rFonts w:ascii="FreeSerif" w:hAnsi="FreeSerif"/>
                          <w:sz w:val="14"/>
                        </w:rPr>
                      </w:pPr>
                      <w:r>
                        <w:rPr>
                          <w:rFonts w:ascii="FreeSerif" w:hAnsi="FreeSerif"/>
                          <w:spacing w:val="-12"/>
                          <w:sz w:val="14"/>
                        </w:rPr>
                        <w:t>∑</w:t>
                      </w:r>
                    </w:p>
                  </w:txbxContent>
                </v:textbox>
                <w10:wrap type="none"/>
              </v:shape>
            </w:pict>
          </mc:Fallback>
        </mc:AlternateContent>
      </w:r>
      <w:r>
        <w:rPr>
          <w:rFonts w:ascii="FreeSerif" w:eastAsia="FreeSerif"/>
          <w:w w:val="110"/>
          <w:position w:val="-11"/>
          <w:sz w:val="20"/>
        </w:rPr>
        <w:t>Pu</w:t>
      </w:r>
      <w:r>
        <w:rPr>
          <w:spacing w:val="-10"/>
          <w:w w:val="110"/>
          <w:position w:val="-11"/>
          <w:sz w:val="20"/>
        </w:rPr>
        <w:t> </w:t>
      </w:r>
      <w:r>
        <w:rPr>
          <w:rFonts w:ascii="FreeSerif" w:eastAsia="FreeSerif"/>
          <w:spacing w:val="-10"/>
          <w:w w:val="120"/>
          <w:position w:val="-11"/>
          <w:sz w:val="20"/>
        </w:rPr>
        <w:t>=</w:t>
      </w:r>
      <w:r>
        <w:rPr>
          <w:position w:val="-11"/>
          <w:sz w:val="20"/>
        </w:rPr>
        <w:tab/>
      </w:r>
      <w:r>
        <w:rPr>
          <w:rFonts w:ascii="FreeSerif" w:eastAsia="FreeSerif"/>
          <w:spacing w:val="-2"/>
          <w:w w:val="115"/>
          <w:sz w:val="14"/>
        </w:rPr>
        <w:t>exp(𝛽j𝑋𝑡j)</w:t>
      </w:r>
    </w:p>
    <w:p>
      <w:pPr>
        <w:pStyle w:val="BodyText"/>
        <w:spacing w:line="118" w:lineRule="exact" w:before="295"/>
        <w:ind w:left="163"/>
        <w:jc w:val="left"/>
      </w:pPr>
      <w:r>
        <w:rPr/>
        <w:br w:type="column"/>
      </w:r>
      <w:r>
        <w:rPr>
          <w:rFonts w:ascii="FreeSerif" w:hAnsi="FreeSerif"/>
          <w:w w:val="70"/>
        </w:rPr>
        <w:t>…</w:t>
      </w:r>
      <w:r>
        <w:rPr>
          <w:spacing w:val="-4"/>
        </w:rPr>
        <w:t> </w:t>
      </w:r>
      <w:r>
        <w:rPr>
          <w:rFonts w:ascii="FreeSerif" w:hAnsi="FreeSerif"/>
          <w:w w:val="70"/>
        </w:rPr>
        <w:t>…</w:t>
      </w:r>
      <w:r>
        <w:rPr>
          <w:spacing w:val="-7"/>
        </w:rPr>
        <w:t> </w:t>
      </w:r>
      <w:r>
        <w:rPr>
          <w:rFonts w:ascii="FreeSerif" w:hAnsi="FreeSerif"/>
          <w:w w:val="70"/>
        </w:rPr>
        <w:t>…</w:t>
      </w:r>
      <w:r>
        <w:rPr>
          <w:spacing w:val="-4"/>
        </w:rPr>
        <w:t> </w:t>
      </w:r>
      <w:r>
        <w:rPr>
          <w:rFonts w:ascii="FreeSerif" w:hAnsi="FreeSerif"/>
          <w:w w:val="70"/>
        </w:rPr>
        <w:t>…</w:t>
      </w:r>
      <w:r>
        <w:rPr>
          <w:spacing w:val="-7"/>
        </w:rPr>
        <w:t> </w:t>
      </w:r>
      <w:r>
        <w:rPr>
          <w:rFonts w:ascii="FreeSerif" w:hAnsi="FreeSerif"/>
          <w:w w:val="70"/>
        </w:rPr>
        <w:t>…</w:t>
      </w:r>
      <w:r>
        <w:rPr>
          <w:spacing w:val="-4"/>
        </w:rPr>
        <w:t> </w:t>
      </w:r>
      <w:r>
        <w:rPr>
          <w:rFonts w:ascii="FreeSerif" w:hAnsi="FreeSerif"/>
          <w:w w:val="70"/>
        </w:rPr>
        <w:t>…</w:t>
      </w:r>
      <w:r>
        <w:rPr>
          <w:spacing w:val="-3"/>
        </w:rPr>
        <w:t> </w:t>
      </w:r>
      <w:r>
        <w:rPr>
          <w:rFonts w:ascii="FreeSerif" w:hAnsi="FreeSerif"/>
          <w:w w:val="70"/>
        </w:rPr>
        <w:t>…</w:t>
      </w:r>
      <w:r>
        <w:rPr>
          <w:spacing w:val="-8"/>
        </w:rPr>
        <w:t> </w:t>
      </w:r>
      <w:r>
        <w:rPr>
          <w:rFonts w:ascii="FreeSerif" w:hAnsi="FreeSerif"/>
          <w:w w:val="70"/>
        </w:rPr>
        <w:t>…</w:t>
      </w:r>
      <w:r>
        <w:rPr>
          <w:spacing w:val="-3"/>
        </w:rPr>
        <w:t> </w:t>
      </w:r>
      <w:r>
        <w:rPr>
          <w:rFonts w:ascii="FreeSerif" w:hAnsi="FreeSerif"/>
          <w:w w:val="70"/>
        </w:rPr>
        <w:t>…</w:t>
      </w:r>
      <w:r>
        <w:rPr>
          <w:spacing w:val="-8"/>
        </w:rPr>
        <w:t> </w:t>
      </w:r>
      <w:r>
        <w:rPr>
          <w:rFonts w:ascii="FreeSerif" w:hAnsi="FreeSerif"/>
          <w:w w:val="70"/>
        </w:rPr>
        <w:t>…</w:t>
      </w:r>
      <w:r>
        <w:rPr>
          <w:spacing w:val="-3"/>
        </w:rPr>
        <w:t> </w:t>
      </w:r>
      <w:r>
        <w:rPr>
          <w:rFonts w:ascii="FreeSerif" w:hAnsi="FreeSerif"/>
          <w:w w:val="70"/>
        </w:rPr>
        <w:t>…</w:t>
      </w:r>
      <w:r>
        <w:rPr>
          <w:spacing w:val="-8"/>
        </w:rPr>
        <w:t> </w:t>
      </w:r>
      <w:r>
        <w:rPr>
          <w:rFonts w:ascii="FreeSerif" w:hAnsi="FreeSerif"/>
          <w:w w:val="70"/>
        </w:rPr>
        <w:t>…</w:t>
      </w:r>
      <w:r>
        <w:rPr>
          <w:spacing w:val="-3"/>
        </w:rPr>
        <w:t> </w:t>
      </w:r>
      <w:r>
        <w:rPr>
          <w:rFonts w:ascii="FreeSerif" w:hAnsi="FreeSerif"/>
          <w:w w:val="70"/>
        </w:rPr>
        <w:t>…</w:t>
      </w:r>
      <w:r>
        <w:rPr>
          <w:spacing w:val="-7"/>
        </w:rPr>
        <w:t> </w:t>
      </w:r>
      <w:r>
        <w:rPr>
          <w:rFonts w:ascii="FreeSerif" w:hAnsi="FreeSerif"/>
          <w:w w:val="70"/>
        </w:rPr>
        <w:t>…</w:t>
      </w:r>
      <w:r>
        <w:rPr>
          <w:spacing w:val="-4"/>
        </w:rPr>
        <w:t> </w:t>
      </w:r>
      <w:r>
        <w:rPr>
          <w:rFonts w:ascii="FreeSerif" w:hAnsi="FreeSerif"/>
          <w:w w:val="70"/>
        </w:rPr>
        <w:t>…</w:t>
      </w:r>
      <w:r>
        <w:rPr>
          <w:spacing w:val="-3"/>
        </w:rPr>
        <w:t> </w:t>
      </w:r>
      <w:r>
        <w:rPr>
          <w:rFonts w:ascii="FreeSerif" w:hAnsi="FreeSerif"/>
          <w:w w:val="70"/>
        </w:rPr>
        <w:t>…</w:t>
      </w:r>
      <w:r>
        <w:rPr>
          <w:spacing w:val="-8"/>
        </w:rPr>
        <w:t> </w:t>
      </w:r>
      <w:r>
        <w:rPr>
          <w:rFonts w:ascii="FreeSerif" w:hAnsi="FreeSerif"/>
          <w:spacing w:val="-2"/>
          <w:w w:val="70"/>
        </w:rPr>
        <w:t>….</w:t>
      </w:r>
      <w:r>
        <w:rPr>
          <w:spacing w:val="-2"/>
          <w:w w:val="70"/>
        </w:rPr>
        <w:t>…….13</w:t>
      </w:r>
    </w:p>
    <w:p>
      <w:pPr>
        <w:spacing w:after="0" w:line="118" w:lineRule="exact"/>
        <w:jc w:val="left"/>
        <w:sectPr>
          <w:type w:val="continuous"/>
          <w:pgSz w:w="11900" w:h="16840"/>
          <w:pgMar w:header="846" w:footer="819" w:top="1640" w:bottom="1000" w:left="1180" w:right="1180"/>
          <w:cols w:num="2" w:equalWidth="0">
            <w:col w:w="5327" w:space="40"/>
            <w:col w:w="4173"/>
          </w:cols>
        </w:sectPr>
      </w:pPr>
    </w:p>
    <w:p>
      <w:pPr>
        <w:pStyle w:val="BodyText"/>
        <w:spacing w:before="275"/>
        <w:jc w:val="left"/>
      </w:pPr>
      <w:r>
        <w:rPr>
          <w:spacing w:val="-2"/>
        </w:rPr>
        <w:t>Where,</w:t>
      </w:r>
    </w:p>
    <w:p>
      <w:pPr>
        <w:spacing w:line="235" w:lineRule="auto" w:before="8"/>
        <w:ind w:left="240" w:right="0" w:firstLine="0"/>
        <w:jc w:val="left"/>
        <w:rPr>
          <w:rFonts w:ascii="FreeSerif"/>
          <w:sz w:val="12"/>
        </w:rPr>
      </w:pPr>
      <w:r>
        <w:rPr/>
        <w:br w:type="column"/>
      </w:r>
      <w:r>
        <w:rPr>
          <w:rFonts w:ascii="FreeSerif"/>
          <w:spacing w:val="-10"/>
          <w:w w:val="135"/>
          <w:sz w:val="12"/>
        </w:rPr>
        <w:t>j</w:t>
      </w:r>
      <w:r>
        <w:rPr>
          <w:spacing w:val="40"/>
          <w:w w:val="135"/>
          <w:sz w:val="12"/>
        </w:rPr>
        <w:t> </w:t>
      </w:r>
      <w:r>
        <w:rPr>
          <w:rFonts w:ascii="FreeSerif"/>
          <w:spacing w:val="-4"/>
          <w:w w:val="130"/>
          <w:sz w:val="12"/>
        </w:rPr>
        <w:t>j=0</w:t>
      </w:r>
    </w:p>
    <w:p>
      <w:pPr>
        <w:spacing w:before="67"/>
        <w:ind w:left="0" w:right="0" w:firstLine="0"/>
        <w:jc w:val="left"/>
        <w:rPr>
          <w:rFonts w:ascii="FreeSerif" w:eastAsia="FreeSerif"/>
          <w:sz w:val="14"/>
        </w:rPr>
      </w:pPr>
      <w:r>
        <w:rPr/>
        <w:br w:type="column"/>
      </w:r>
      <w:r>
        <w:rPr>
          <w:rFonts w:ascii="FreeSerif" w:eastAsia="FreeSerif"/>
          <w:spacing w:val="-2"/>
          <w:w w:val="125"/>
          <w:sz w:val="14"/>
        </w:rPr>
        <w:t>exp(𝛽j𝑋𝑡j)</w:t>
      </w:r>
    </w:p>
    <w:p>
      <w:pPr>
        <w:spacing w:after="0"/>
        <w:jc w:val="left"/>
        <w:rPr>
          <w:rFonts w:ascii="FreeSerif" w:eastAsia="FreeSerif"/>
          <w:sz w:val="14"/>
        </w:rPr>
        <w:sectPr>
          <w:type w:val="continuous"/>
          <w:pgSz w:w="11900" w:h="16840"/>
          <w:pgMar w:header="846" w:footer="819" w:top="1640" w:bottom="1000" w:left="1180" w:right="1180"/>
          <w:cols w:num="3" w:equalWidth="0">
            <w:col w:w="864" w:space="3401"/>
            <w:col w:w="461" w:space="24"/>
            <w:col w:w="4790"/>
          </w:cols>
        </w:sectPr>
      </w:pPr>
    </w:p>
    <w:p>
      <w:pPr>
        <w:pStyle w:val="BodyText"/>
        <w:jc w:val="left"/>
      </w:pPr>
      <w:r>
        <w:rPr/>
        <w:t>X</w:t>
      </w:r>
      <w:r>
        <w:rPr>
          <w:vertAlign w:val="subscript"/>
        </w:rPr>
        <w:t>j</w:t>
      </w:r>
      <w:r>
        <w:rPr>
          <w:spacing w:val="-5"/>
          <w:vertAlign w:val="baseline"/>
        </w:rPr>
        <w:t> </w:t>
      </w:r>
      <w:r>
        <w:rPr>
          <w:vertAlign w:val="baseline"/>
        </w:rPr>
        <w:t>is</w:t>
      </w:r>
      <w:r>
        <w:rPr>
          <w:spacing w:val="-6"/>
          <w:vertAlign w:val="baseline"/>
        </w:rPr>
        <w:t> </w:t>
      </w:r>
      <w:r>
        <w:rPr>
          <w:vertAlign w:val="baseline"/>
        </w:rPr>
        <w:t>a</w:t>
      </w:r>
      <w:r>
        <w:rPr>
          <w:spacing w:val="-5"/>
          <w:vertAlign w:val="baseline"/>
        </w:rPr>
        <w:t> </w:t>
      </w:r>
      <w:r>
        <w:rPr>
          <w:vertAlign w:val="baseline"/>
        </w:rPr>
        <w:t>vector</w:t>
      </w:r>
      <w:r>
        <w:rPr>
          <w:spacing w:val="-4"/>
          <w:vertAlign w:val="baseline"/>
        </w:rPr>
        <w:t> </w:t>
      </w:r>
      <w:r>
        <w:rPr>
          <w:vertAlign w:val="baseline"/>
        </w:rPr>
        <w:t>of</w:t>
      </w:r>
      <w:r>
        <w:rPr>
          <w:spacing w:val="-7"/>
          <w:vertAlign w:val="baseline"/>
        </w:rPr>
        <w:t> </w:t>
      </w:r>
      <w:r>
        <w:rPr>
          <w:vertAlign w:val="baseline"/>
        </w:rPr>
        <w:t>household</w:t>
      </w:r>
      <w:r>
        <w:rPr>
          <w:spacing w:val="-4"/>
          <w:vertAlign w:val="baseline"/>
        </w:rPr>
        <w:t> </w:t>
      </w:r>
      <w:r>
        <w:rPr>
          <w:vertAlign w:val="baseline"/>
        </w:rPr>
        <w:t>of</w:t>
      </w:r>
      <w:r>
        <w:rPr>
          <w:spacing w:val="-6"/>
          <w:vertAlign w:val="baseline"/>
        </w:rPr>
        <w:t> </w:t>
      </w:r>
      <w:r>
        <w:rPr>
          <w:vertAlign w:val="baseline"/>
        </w:rPr>
        <w:t>the</w:t>
      </w:r>
      <w:r>
        <w:rPr>
          <w:spacing w:val="-5"/>
          <w:vertAlign w:val="baseline"/>
        </w:rPr>
        <w:t> </w:t>
      </w:r>
      <w:r>
        <w:rPr>
          <w:vertAlign w:val="baseline"/>
        </w:rPr>
        <w:t>ith</w:t>
      </w:r>
      <w:r>
        <w:rPr>
          <w:spacing w:val="-6"/>
          <w:vertAlign w:val="baseline"/>
        </w:rPr>
        <w:t> </w:t>
      </w:r>
      <w:r>
        <w:rPr>
          <w:vertAlign w:val="baseline"/>
        </w:rPr>
        <w:t>respondent</w:t>
      </w:r>
      <w:r>
        <w:rPr>
          <w:spacing w:val="-3"/>
          <w:vertAlign w:val="baseline"/>
        </w:rPr>
        <w:t> </w:t>
      </w:r>
      <w:r>
        <w:rPr>
          <w:vertAlign w:val="baseline"/>
        </w:rPr>
        <w:t>facing</w:t>
      </w:r>
      <w:r>
        <w:rPr>
          <w:spacing w:val="-6"/>
          <w:vertAlign w:val="baseline"/>
        </w:rPr>
        <w:t> </w:t>
      </w:r>
      <w:r>
        <w:rPr>
          <w:vertAlign w:val="baseline"/>
        </w:rPr>
        <w:t>alternative</w:t>
      </w:r>
      <w:r>
        <w:rPr>
          <w:spacing w:val="-5"/>
          <w:vertAlign w:val="baseline"/>
        </w:rPr>
        <w:t> </w:t>
      </w:r>
      <w:r>
        <w:rPr>
          <w:spacing w:val="-10"/>
          <w:vertAlign w:val="baseline"/>
        </w:rPr>
        <w:t>j</w:t>
      </w:r>
    </w:p>
    <w:p>
      <w:pPr>
        <w:pStyle w:val="BodyText"/>
        <w:spacing w:before="1"/>
        <w:jc w:val="left"/>
      </w:pPr>
      <w:r>
        <w:rPr/>
        <w:t>β</w:t>
      </w:r>
      <w:r>
        <w:rPr>
          <w:vertAlign w:val="subscript"/>
        </w:rPr>
        <w:t>j</w:t>
      </w:r>
      <w:r>
        <w:rPr>
          <w:spacing w:val="-7"/>
          <w:vertAlign w:val="baseline"/>
        </w:rPr>
        <w:t> </w:t>
      </w:r>
      <w:r>
        <w:rPr>
          <w:vertAlign w:val="baseline"/>
        </w:rPr>
        <w:t>is</w:t>
      </w:r>
      <w:r>
        <w:rPr>
          <w:spacing w:val="-7"/>
          <w:vertAlign w:val="baseline"/>
        </w:rPr>
        <w:t> </w:t>
      </w:r>
      <w:r>
        <w:rPr>
          <w:vertAlign w:val="baseline"/>
        </w:rPr>
        <w:t>a</w:t>
      </w:r>
      <w:r>
        <w:rPr>
          <w:spacing w:val="-6"/>
          <w:vertAlign w:val="baseline"/>
        </w:rPr>
        <w:t> </w:t>
      </w:r>
      <w:r>
        <w:rPr>
          <w:vertAlign w:val="baseline"/>
        </w:rPr>
        <w:t>vector</w:t>
      </w:r>
      <w:r>
        <w:rPr>
          <w:spacing w:val="-6"/>
          <w:vertAlign w:val="baseline"/>
        </w:rPr>
        <w:t> </w:t>
      </w:r>
      <w:r>
        <w:rPr>
          <w:vertAlign w:val="baseline"/>
        </w:rPr>
        <w:t>of</w:t>
      </w:r>
      <w:r>
        <w:rPr>
          <w:spacing w:val="-8"/>
          <w:vertAlign w:val="baseline"/>
        </w:rPr>
        <w:t> </w:t>
      </w:r>
      <w:r>
        <w:rPr>
          <w:vertAlign w:val="baseline"/>
        </w:rPr>
        <w:t>regression</w:t>
      </w:r>
      <w:r>
        <w:rPr>
          <w:spacing w:val="-7"/>
          <w:vertAlign w:val="baseline"/>
        </w:rPr>
        <w:t> </w:t>
      </w:r>
      <w:r>
        <w:rPr>
          <w:vertAlign w:val="baseline"/>
        </w:rPr>
        <w:t>parameter</w:t>
      </w:r>
      <w:r>
        <w:rPr>
          <w:spacing w:val="-5"/>
          <w:vertAlign w:val="baseline"/>
        </w:rPr>
        <w:t> </w:t>
      </w:r>
      <w:r>
        <w:rPr>
          <w:vertAlign w:val="baseline"/>
        </w:rPr>
        <w:t>estimates</w:t>
      </w:r>
      <w:r>
        <w:rPr>
          <w:spacing w:val="-7"/>
          <w:vertAlign w:val="baseline"/>
        </w:rPr>
        <w:t> </w:t>
      </w:r>
      <w:r>
        <w:rPr>
          <w:vertAlign w:val="baseline"/>
        </w:rPr>
        <w:t>associated</w:t>
      </w:r>
      <w:r>
        <w:rPr>
          <w:spacing w:val="-3"/>
          <w:vertAlign w:val="baseline"/>
        </w:rPr>
        <w:t> </w:t>
      </w:r>
      <w:r>
        <w:rPr>
          <w:vertAlign w:val="baseline"/>
        </w:rPr>
        <w:t>with</w:t>
      </w:r>
      <w:r>
        <w:rPr>
          <w:spacing w:val="-7"/>
          <w:vertAlign w:val="baseline"/>
        </w:rPr>
        <w:t> </w:t>
      </w:r>
      <w:r>
        <w:rPr>
          <w:vertAlign w:val="baseline"/>
        </w:rPr>
        <w:t>alternative</w:t>
      </w:r>
      <w:r>
        <w:rPr>
          <w:spacing w:val="-7"/>
          <w:vertAlign w:val="baseline"/>
        </w:rPr>
        <w:t> </w:t>
      </w:r>
      <w:r>
        <w:rPr>
          <w:spacing w:val="-5"/>
          <w:vertAlign w:val="baseline"/>
        </w:rPr>
        <w:t>j.</w:t>
      </w:r>
    </w:p>
    <w:p>
      <w:pPr>
        <w:pStyle w:val="BodyText"/>
        <w:ind w:left="0"/>
        <w:jc w:val="left"/>
      </w:pPr>
    </w:p>
    <w:p>
      <w:pPr>
        <w:pStyle w:val="BodyText"/>
        <w:spacing w:line="226" w:lineRule="exact" w:before="1"/>
        <w:jc w:val="left"/>
      </w:pPr>
      <w:r>
        <w:rPr/>
        <mc:AlternateContent>
          <mc:Choice Requires="wps">
            <w:drawing>
              <wp:anchor distT="0" distB="0" distL="0" distR="0" allowOverlap="1" layoutInCell="1" locked="0" behindDoc="1" simplePos="0" relativeHeight="486320640">
                <wp:simplePos x="0" y="0"/>
                <wp:positionH relativeFrom="page">
                  <wp:posOffset>1872979</wp:posOffset>
                </wp:positionH>
                <wp:positionV relativeFrom="paragraph">
                  <wp:posOffset>187496</wp:posOffset>
                </wp:positionV>
                <wp:extent cx="104394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43940" cy="194310"/>
                        </a:xfrm>
                        <a:prstGeom prst="rect">
                          <a:avLst/>
                        </a:prstGeom>
                      </wps:spPr>
                      <wps:txbx>
                        <w:txbxContent>
                          <w:p>
                            <w:pPr>
                              <w:tabs>
                                <w:tab w:pos="1389" w:val="left" w:leader="none"/>
                              </w:tabs>
                              <w:spacing w:line="269" w:lineRule="exact" w:before="36"/>
                              <w:ind w:left="0" w:right="0" w:firstLine="0"/>
                              <w:jc w:val="left"/>
                              <w:rPr>
                                <w:sz w:val="24"/>
                              </w:rPr>
                            </w:pPr>
                            <w:r>
                              <w:rPr>
                                <w:rFonts w:ascii="FreeSerif"/>
                                <w:w w:val="120"/>
                                <w:sz w:val="24"/>
                              </w:rPr>
                              <w:t>=</w:t>
                            </w:r>
                            <w:r>
                              <w:rPr>
                                <w:spacing w:val="-13"/>
                                <w:w w:val="120"/>
                                <w:sz w:val="24"/>
                              </w:rPr>
                              <w:t> </w:t>
                            </w:r>
                            <w:r>
                              <w:rPr>
                                <w:rFonts w:ascii="FreeSerif"/>
                                <w:w w:val="120"/>
                                <w:sz w:val="24"/>
                              </w:rPr>
                              <w:t>j)</w:t>
                            </w:r>
                            <w:r>
                              <w:rPr>
                                <w:spacing w:val="-15"/>
                                <w:w w:val="120"/>
                                <w:sz w:val="24"/>
                              </w:rPr>
                              <w:t> </w:t>
                            </w:r>
                            <w:r>
                              <w:rPr>
                                <w:rFonts w:ascii="FreeSerif"/>
                                <w:spacing w:val="-10"/>
                                <w:w w:val="120"/>
                                <w:sz w:val="24"/>
                              </w:rPr>
                              <w:t>=</w:t>
                            </w:r>
                            <w:r>
                              <w:rPr>
                                <w:sz w:val="24"/>
                              </w:rPr>
                              <w:tab/>
                            </w:r>
                            <w:r>
                              <w:rPr>
                                <w:rFonts w:ascii="FreeSerif"/>
                                <w:w w:val="120"/>
                                <w:sz w:val="24"/>
                                <w:u w:val="single"/>
                                <w:vertAlign w:val="superscript"/>
                              </w:rPr>
                              <w:t>j</w:t>
                            </w:r>
                            <w:r>
                              <w:rPr>
                                <w:spacing w:val="34"/>
                                <w:w w:val="120"/>
                                <w:sz w:val="24"/>
                                <w:u w:val="none"/>
                                <w:vertAlign w:val="baseline"/>
                              </w:rPr>
                              <w:t> </w:t>
                            </w:r>
                            <w:r>
                              <w:rPr>
                                <w:rFonts w:ascii="FreeSerif"/>
                                <w:spacing w:val="-10"/>
                                <w:w w:val="120"/>
                                <w:sz w:val="24"/>
                                <w:u w:val="single"/>
                                <w:vertAlign w:val="superscript"/>
                              </w:rPr>
                              <w:t>i</w:t>
                            </w:r>
                            <w:r>
                              <w:rPr>
                                <w:spacing w:val="40"/>
                                <w:w w:val="120"/>
                                <w:sz w:val="24"/>
                                <w:u w:val="single"/>
                                <w:vertAlign w:val="baseline"/>
                              </w:rPr>
                              <w:t> </w:t>
                            </w:r>
                          </w:p>
                        </w:txbxContent>
                      </wps:txbx>
                      <wps:bodyPr wrap="square" lIns="0" tIns="0" rIns="0" bIns="0" rtlCol="0">
                        <a:noAutofit/>
                      </wps:bodyPr>
                    </wps:wsp>
                  </a:graphicData>
                </a:graphic>
              </wp:anchor>
            </w:drawing>
          </mc:Choice>
          <mc:Fallback>
            <w:pict>
              <v:shape style="position:absolute;margin-left:147.478683pt;margin-top:14.763474pt;width:82.2pt;height:15.3pt;mso-position-horizontal-relative:page;mso-position-vertical-relative:paragraph;z-index:-16995840" type="#_x0000_t202" id="docshape21" filled="false" stroked="false">
                <v:textbox inset="0,0,0,0">
                  <w:txbxContent>
                    <w:p>
                      <w:pPr>
                        <w:tabs>
                          <w:tab w:pos="1389" w:val="left" w:leader="none"/>
                        </w:tabs>
                        <w:spacing w:line="269" w:lineRule="exact" w:before="36"/>
                        <w:ind w:left="0" w:right="0" w:firstLine="0"/>
                        <w:jc w:val="left"/>
                        <w:rPr>
                          <w:sz w:val="24"/>
                        </w:rPr>
                      </w:pPr>
                      <w:r>
                        <w:rPr>
                          <w:rFonts w:ascii="FreeSerif"/>
                          <w:w w:val="120"/>
                          <w:sz w:val="24"/>
                        </w:rPr>
                        <w:t>=</w:t>
                      </w:r>
                      <w:r>
                        <w:rPr>
                          <w:spacing w:val="-13"/>
                          <w:w w:val="120"/>
                          <w:sz w:val="24"/>
                        </w:rPr>
                        <w:t> </w:t>
                      </w:r>
                      <w:r>
                        <w:rPr>
                          <w:rFonts w:ascii="FreeSerif"/>
                          <w:w w:val="120"/>
                          <w:sz w:val="24"/>
                        </w:rPr>
                        <w:t>j)</w:t>
                      </w:r>
                      <w:r>
                        <w:rPr>
                          <w:spacing w:val="-15"/>
                          <w:w w:val="120"/>
                          <w:sz w:val="24"/>
                        </w:rPr>
                        <w:t> </w:t>
                      </w:r>
                      <w:r>
                        <w:rPr>
                          <w:rFonts w:ascii="FreeSerif"/>
                          <w:spacing w:val="-10"/>
                          <w:w w:val="120"/>
                          <w:sz w:val="24"/>
                        </w:rPr>
                        <w:t>=</w:t>
                      </w:r>
                      <w:r>
                        <w:rPr>
                          <w:sz w:val="24"/>
                        </w:rPr>
                        <w:tab/>
                      </w:r>
                      <w:r>
                        <w:rPr>
                          <w:rFonts w:ascii="FreeSerif"/>
                          <w:w w:val="120"/>
                          <w:sz w:val="24"/>
                          <w:u w:val="single"/>
                          <w:vertAlign w:val="superscript"/>
                        </w:rPr>
                        <w:t>j</w:t>
                      </w:r>
                      <w:r>
                        <w:rPr>
                          <w:spacing w:val="34"/>
                          <w:w w:val="120"/>
                          <w:sz w:val="24"/>
                          <w:u w:val="none"/>
                          <w:vertAlign w:val="baseline"/>
                        </w:rPr>
                        <w:t> </w:t>
                      </w:r>
                      <w:r>
                        <w:rPr>
                          <w:rFonts w:ascii="FreeSerif"/>
                          <w:spacing w:val="-10"/>
                          <w:w w:val="120"/>
                          <w:sz w:val="24"/>
                          <w:u w:val="single"/>
                          <w:vertAlign w:val="superscript"/>
                        </w:rPr>
                        <w:t>i</w:t>
                      </w:r>
                      <w:r>
                        <w:rPr>
                          <w:spacing w:val="40"/>
                          <w:w w:val="120"/>
                          <w:sz w:val="24"/>
                          <w:u w:val="single"/>
                          <w:vertAlign w:val="baseline"/>
                        </w:rPr>
                        <w:t> </w:t>
                      </w:r>
                    </w:p>
                  </w:txbxContent>
                </v:textbox>
                <w10:wrap type="none"/>
              </v:shape>
            </w:pict>
          </mc:Fallback>
        </mc:AlternateContent>
      </w:r>
      <w:r>
        <w:rPr/>
        <w:t>Following</w:t>
      </w:r>
      <w:r>
        <w:rPr>
          <w:spacing w:val="-6"/>
        </w:rPr>
        <w:t> </w:t>
      </w:r>
      <w:r>
        <w:rPr/>
        <w:t>equation</w:t>
      </w:r>
      <w:r>
        <w:rPr>
          <w:spacing w:val="-6"/>
        </w:rPr>
        <w:t> </w:t>
      </w:r>
      <w:r>
        <w:rPr/>
        <w:t>above,</w:t>
      </w:r>
      <w:r>
        <w:rPr>
          <w:spacing w:val="-2"/>
        </w:rPr>
        <w:t> </w:t>
      </w:r>
      <w:r>
        <w:rPr/>
        <w:t>we</w:t>
      </w:r>
      <w:r>
        <w:rPr>
          <w:spacing w:val="-2"/>
        </w:rPr>
        <w:t> </w:t>
      </w:r>
      <w:r>
        <w:rPr/>
        <w:t>can</w:t>
      </w:r>
      <w:r>
        <w:rPr>
          <w:spacing w:val="-6"/>
        </w:rPr>
        <w:t> </w:t>
      </w:r>
      <w:r>
        <w:rPr/>
        <w:t>adapt</w:t>
      </w:r>
      <w:r>
        <w:rPr>
          <w:spacing w:val="-5"/>
        </w:rPr>
        <w:t> </w:t>
      </w:r>
      <w:r>
        <w:rPr/>
        <w:t>the</w:t>
      </w:r>
      <w:r>
        <w:rPr>
          <w:spacing w:val="-5"/>
        </w:rPr>
        <w:t> </w:t>
      </w:r>
      <w:r>
        <w:rPr/>
        <w:t>MNL</w:t>
      </w:r>
      <w:r>
        <w:rPr>
          <w:spacing w:val="-4"/>
        </w:rPr>
        <w:t> </w:t>
      </w:r>
      <w:r>
        <w:rPr/>
        <w:t>model</w:t>
      </w:r>
      <w:r>
        <w:rPr>
          <w:spacing w:val="-5"/>
        </w:rPr>
        <w:t> </w:t>
      </w:r>
      <w:r>
        <w:rPr/>
        <w:t>fitting</w:t>
      </w:r>
      <w:r>
        <w:rPr>
          <w:spacing w:val="-6"/>
        </w:rPr>
        <w:t> </w:t>
      </w:r>
      <w:r>
        <w:rPr/>
        <w:t>to</w:t>
      </w:r>
      <w:r>
        <w:rPr>
          <w:spacing w:val="-4"/>
        </w:rPr>
        <w:t> </w:t>
      </w:r>
      <w:r>
        <w:rPr/>
        <w:t>this</w:t>
      </w:r>
      <w:r>
        <w:rPr>
          <w:spacing w:val="-3"/>
        </w:rPr>
        <w:t> </w:t>
      </w:r>
      <w:r>
        <w:rPr/>
        <w:t>study</w:t>
      </w:r>
      <w:r>
        <w:rPr>
          <w:spacing w:val="-5"/>
        </w:rPr>
        <w:t> </w:t>
      </w:r>
      <w:r>
        <w:rPr/>
        <w:t>as</w:t>
      </w:r>
      <w:r>
        <w:rPr>
          <w:spacing w:val="-4"/>
        </w:rPr>
        <w:t> </w:t>
      </w:r>
      <w:r>
        <w:rPr>
          <w:spacing w:val="-2"/>
        </w:rPr>
        <w:t>follow:</w:t>
      </w:r>
    </w:p>
    <w:p>
      <w:pPr>
        <w:spacing w:after="0" w:line="226" w:lineRule="exact"/>
        <w:jc w:val="left"/>
        <w:sectPr>
          <w:type w:val="continuous"/>
          <w:pgSz w:w="11900" w:h="16840"/>
          <w:pgMar w:header="846" w:footer="819" w:top="1640" w:bottom="1000" w:left="1180" w:right="1180"/>
        </w:sectPr>
      </w:pPr>
    </w:p>
    <w:p>
      <w:pPr>
        <w:pStyle w:val="Heading1"/>
        <w:spacing w:line="102" w:lineRule="exact" w:before="104"/>
        <w:ind w:left="543"/>
      </w:pPr>
      <w:r>
        <w:rPr>
          <w:spacing w:val="-6"/>
        </w:rPr>
        <w:t>P(CHOICE</w:t>
      </w:r>
    </w:p>
    <w:p>
      <w:pPr>
        <w:spacing w:line="164" w:lineRule="exact" w:before="8"/>
        <w:ind w:left="543" w:right="0" w:firstLine="0"/>
        <w:jc w:val="left"/>
        <w:rPr>
          <w:sz w:val="17"/>
        </w:rPr>
      </w:pPr>
      <w:r>
        <w:rPr/>
        <w:br w:type="column"/>
      </w:r>
      <w:r>
        <w:rPr>
          <w:spacing w:val="42"/>
          <w:w w:val="110"/>
          <w:sz w:val="17"/>
          <w:u w:val="single"/>
        </w:rPr>
        <w:t>  </w:t>
      </w:r>
      <w:r>
        <w:rPr>
          <w:rFonts w:ascii="FreeSerif" w:hAnsi="FreeSerif"/>
          <w:w w:val="110"/>
          <w:sz w:val="17"/>
          <w:u w:val="single"/>
        </w:rPr>
        <w:t>Exp(β</w:t>
      </w:r>
      <w:r>
        <w:rPr>
          <w:spacing w:val="8"/>
          <w:w w:val="110"/>
          <w:sz w:val="17"/>
          <w:u w:val="none"/>
        </w:rPr>
        <w:t> </w:t>
      </w:r>
      <w:r>
        <w:rPr>
          <w:rFonts w:ascii="FreeSerif" w:hAnsi="FreeSerif"/>
          <w:w w:val="110"/>
          <w:sz w:val="17"/>
          <w:u w:val="single"/>
        </w:rPr>
        <w:t>X</w:t>
      </w:r>
      <w:r>
        <w:rPr>
          <w:spacing w:val="42"/>
          <w:w w:val="110"/>
          <w:sz w:val="17"/>
          <w:u w:val="none"/>
        </w:rPr>
        <w:t> </w:t>
      </w:r>
      <w:r>
        <w:rPr>
          <w:rFonts w:ascii="FreeSerif" w:hAnsi="FreeSerif"/>
          <w:spacing w:val="-10"/>
          <w:w w:val="110"/>
          <w:sz w:val="17"/>
          <w:u w:val="single"/>
        </w:rPr>
        <w:t>)</w:t>
      </w:r>
      <w:r>
        <w:rPr>
          <w:spacing w:val="40"/>
          <w:w w:val="110"/>
          <w:sz w:val="17"/>
          <w:u w:val="single"/>
        </w:rPr>
        <w:t> </w:t>
      </w:r>
    </w:p>
    <w:p>
      <w:pPr>
        <w:pStyle w:val="BodyText"/>
        <w:spacing w:line="33" w:lineRule="exact"/>
        <w:ind w:left="1714"/>
        <w:jc w:val="left"/>
      </w:pPr>
      <w:r>
        <w:rPr/>
        <mc:AlternateContent>
          <mc:Choice Requires="wps">
            <w:drawing>
              <wp:anchor distT="0" distB="0" distL="0" distR="0" allowOverlap="1" layoutInCell="1" locked="0" behindDoc="0" simplePos="0" relativeHeight="15737344">
                <wp:simplePos x="0" y="0"/>
                <wp:positionH relativeFrom="page">
                  <wp:posOffset>2331699</wp:posOffset>
                </wp:positionH>
                <wp:positionV relativeFrom="paragraph">
                  <wp:posOffset>73327</wp:posOffset>
                </wp:positionV>
                <wp:extent cx="76835" cy="1270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6835" cy="127000"/>
                        </a:xfrm>
                        <a:prstGeom prst="rect">
                          <a:avLst/>
                        </a:prstGeom>
                      </wps:spPr>
                      <wps:txbx>
                        <w:txbxContent>
                          <w:p>
                            <w:pPr>
                              <w:spacing w:line="191" w:lineRule="exact" w:before="9"/>
                              <w:ind w:left="0" w:right="0" w:firstLine="0"/>
                              <w:jc w:val="left"/>
                              <w:rPr>
                                <w:rFonts w:ascii="FreeSerif" w:hAnsi="FreeSerif"/>
                                <w:sz w:val="17"/>
                              </w:rPr>
                            </w:pPr>
                            <w:r>
                              <w:rPr>
                                <w:rFonts w:ascii="FreeSerif" w:hAnsi="FreeSerif"/>
                                <w:spacing w:val="-12"/>
                                <w:sz w:val="17"/>
                              </w:rPr>
                              <w:t>∑</w:t>
                            </w:r>
                          </w:p>
                        </w:txbxContent>
                      </wps:txbx>
                      <wps:bodyPr wrap="square" lIns="0" tIns="0" rIns="0" bIns="0" rtlCol="0">
                        <a:noAutofit/>
                      </wps:bodyPr>
                    </wps:wsp>
                  </a:graphicData>
                </a:graphic>
              </wp:anchor>
            </w:drawing>
          </mc:Choice>
          <mc:Fallback>
            <w:pict>
              <v:shape style="position:absolute;margin-left:183.598373pt;margin-top:5.773852pt;width:6.05pt;height:10pt;mso-position-horizontal-relative:page;mso-position-vertical-relative:paragraph;z-index:15737344" type="#_x0000_t202" id="docshape22" filled="false" stroked="false">
                <v:textbox inset="0,0,0,0">
                  <w:txbxContent>
                    <w:p>
                      <w:pPr>
                        <w:spacing w:line="191" w:lineRule="exact" w:before="9"/>
                        <w:ind w:left="0" w:right="0" w:firstLine="0"/>
                        <w:jc w:val="left"/>
                        <w:rPr>
                          <w:rFonts w:ascii="FreeSerif" w:hAnsi="FreeSerif"/>
                          <w:sz w:val="17"/>
                        </w:rPr>
                      </w:pPr>
                      <w:r>
                        <w:rPr>
                          <w:rFonts w:ascii="FreeSerif" w:hAnsi="FreeSerif"/>
                          <w:spacing w:val="-12"/>
                          <w:sz w:val="17"/>
                        </w:rPr>
                        <w:t>∑</w:t>
                      </w:r>
                    </w:p>
                  </w:txbxContent>
                </v:textbox>
                <w10:wrap type="none"/>
              </v:shape>
            </w:pict>
          </mc:Fallback>
        </mc:AlternateContent>
      </w:r>
      <w:r>
        <w:rPr>
          <w:spacing w:val="-2"/>
        </w:rPr>
        <w:t>…………………………………………………………………….…14</w:t>
      </w:r>
    </w:p>
    <w:p>
      <w:pPr>
        <w:spacing w:after="0" w:line="33" w:lineRule="exact"/>
        <w:jc w:val="left"/>
        <w:sectPr>
          <w:type w:val="continuous"/>
          <w:pgSz w:w="11900" w:h="16840"/>
          <w:pgMar w:header="846" w:footer="819" w:top="1640" w:bottom="1000" w:left="1180" w:right="1180"/>
          <w:cols w:num="2" w:equalWidth="0">
            <w:col w:w="1626" w:space="322"/>
            <w:col w:w="7592"/>
          </w:cols>
        </w:sectPr>
      </w:pPr>
    </w:p>
    <w:p>
      <w:pPr>
        <w:spacing w:before="9"/>
        <w:ind w:left="0" w:right="38" w:firstLine="0"/>
        <w:jc w:val="right"/>
        <w:rPr>
          <w:rFonts w:ascii="FreeSerif"/>
          <w:sz w:val="17"/>
        </w:rPr>
      </w:pPr>
      <w:r>
        <w:rPr>
          <w:rFonts w:ascii="FreeSerif"/>
          <w:spacing w:val="-5"/>
          <w:w w:val="105"/>
          <w:sz w:val="17"/>
        </w:rPr>
        <w:t>ij</w:t>
      </w:r>
    </w:p>
    <w:p>
      <w:pPr>
        <w:pStyle w:val="BodyText"/>
        <w:spacing w:line="210" w:lineRule="exact" w:before="127"/>
        <w:jc w:val="left"/>
      </w:pPr>
      <w:r>
        <w:rPr>
          <w:spacing w:val="-2"/>
        </w:rPr>
        <w:t>Where</w:t>
      </w:r>
    </w:p>
    <w:p>
      <w:pPr>
        <w:spacing w:line="223" w:lineRule="auto" w:before="42"/>
        <w:ind w:left="240" w:right="0" w:firstLine="0"/>
        <w:jc w:val="left"/>
        <w:rPr>
          <w:rFonts w:ascii="FreeSerif"/>
          <w:sz w:val="14"/>
        </w:rPr>
      </w:pPr>
      <w:r>
        <w:rPr/>
        <w:br w:type="column"/>
      </w:r>
      <w:r>
        <w:rPr>
          <w:rFonts w:ascii="FreeSerif"/>
          <w:spacing w:val="-10"/>
          <w:w w:val="115"/>
          <w:sz w:val="14"/>
        </w:rPr>
        <w:t>J</w:t>
      </w:r>
      <w:r>
        <w:rPr>
          <w:spacing w:val="40"/>
          <w:w w:val="115"/>
          <w:sz w:val="14"/>
        </w:rPr>
        <w:t> </w:t>
      </w:r>
      <w:r>
        <w:rPr>
          <w:rFonts w:ascii="FreeSerif"/>
          <w:spacing w:val="-4"/>
          <w:w w:val="115"/>
          <w:sz w:val="14"/>
        </w:rPr>
        <w:t>J=1</w:t>
      </w:r>
    </w:p>
    <w:p>
      <w:pPr>
        <w:spacing w:before="98"/>
        <w:ind w:left="0" w:right="0" w:firstLine="0"/>
        <w:jc w:val="left"/>
        <w:rPr>
          <w:rFonts w:ascii="FreeSerif" w:hAnsi="FreeSerif"/>
          <w:sz w:val="17"/>
        </w:rPr>
      </w:pPr>
      <w:r>
        <w:rPr/>
        <w:br w:type="column"/>
      </w:r>
      <w:r>
        <w:rPr>
          <w:rFonts w:ascii="FreeSerif" w:hAnsi="FreeSerif"/>
          <w:spacing w:val="-2"/>
          <w:w w:val="115"/>
          <w:sz w:val="17"/>
        </w:rPr>
        <w:t>Exp(β</w:t>
      </w:r>
      <w:r>
        <w:rPr>
          <w:rFonts w:ascii="FreeSerif" w:hAnsi="FreeSerif"/>
          <w:spacing w:val="-2"/>
          <w:w w:val="115"/>
          <w:position w:val="-3"/>
          <w:sz w:val="14"/>
        </w:rPr>
        <w:t>j</w:t>
      </w:r>
      <w:r>
        <w:rPr>
          <w:rFonts w:ascii="FreeSerif" w:hAnsi="FreeSerif"/>
          <w:spacing w:val="-2"/>
          <w:w w:val="115"/>
          <w:sz w:val="17"/>
        </w:rPr>
        <w:t>X</w:t>
      </w:r>
      <w:r>
        <w:rPr>
          <w:rFonts w:ascii="FreeSerif" w:hAnsi="FreeSerif"/>
          <w:spacing w:val="-2"/>
          <w:w w:val="115"/>
          <w:position w:val="-3"/>
          <w:sz w:val="14"/>
        </w:rPr>
        <w:t>i</w:t>
      </w:r>
      <w:r>
        <w:rPr>
          <w:rFonts w:ascii="FreeSerif" w:hAnsi="FreeSerif"/>
          <w:spacing w:val="-2"/>
          <w:w w:val="115"/>
          <w:sz w:val="17"/>
        </w:rPr>
        <w:t>)</w:t>
      </w:r>
    </w:p>
    <w:p>
      <w:pPr>
        <w:spacing w:after="0"/>
        <w:jc w:val="left"/>
        <w:rPr>
          <w:rFonts w:ascii="FreeSerif" w:hAnsi="FreeSerif"/>
          <w:sz w:val="17"/>
        </w:rPr>
        <w:sectPr>
          <w:type w:val="continuous"/>
          <w:pgSz w:w="11900" w:h="16840"/>
          <w:pgMar w:header="846" w:footer="819" w:top="1640" w:bottom="1000" w:left="1180" w:right="1180"/>
          <w:cols w:num="3" w:equalWidth="0">
            <w:col w:w="1736" w:space="635"/>
            <w:col w:w="485" w:space="27"/>
            <w:col w:w="6657"/>
          </w:cols>
        </w:sectPr>
      </w:pPr>
    </w:p>
    <w:p>
      <w:pPr>
        <w:pStyle w:val="BodyText"/>
        <w:spacing w:before="20"/>
      </w:pPr>
      <w:r>
        <w:rPr/>
        <w:t>i</w:t>
      </w:r>
      <w:r>
        <w:rPr>
          <w:spacing w:val="-2"/>
        </w:rPr>
        <w:t> </w:t>
      </w:r>
      <w:r>
        <w:rPr/>
        <w:t>represents</w:t>
      </w:r>
      <w:r>
        <w:rPr>
          <w:spacing w:val="-3"/>
        </w:rPr>
        <w:t> </w:t>
      </w:r>
      <w:r>
        <w:rPr/>
        <w:t>i</w:t>
      </w:r>
      <w:r>
        <w:rPr>
          <w:vertAlign w:val="superscript"/>
        </w:rPr>
        <w:t>th</w:t>
      </w:r>
      <w:r>
        <w:rPr>
          <w:vertAlign w:val="baseline"/>
        </w:rPr>
        <w:t> farm</w:t>
      </w:r>
      <w:r>
        <w:rPr>
          <w:spacing w:val="-3"/>
          <w:vertAlign w:val="baseline"/>
        </w:rPr>
        <w:t> </w:t>
      </w:r>
      <w:r>
        <w:rPr>
          <w:vertAlign w:val="baseline"/>
        </w:rPr>
        <w:t>household,</w:t>
      </w:r>
      <w:r>
        <w:rPr>
          <w:spacing w:val="-1"/>
          <w:vertAlign w:val="baseline"/>
        </w:rPr>
        <w:t> </w:t>
      </w:r>
      <w:r>
        <w:rPr>
          <w:vertAlign w:val="baseline"/>
        </w:rPr>
        <w:t>and</w:t>
      </w:r>
      <w:r>
        <w:rPr>
          <w:spacing w:val="-1"/>
          <w:vertAlign w:val="baseline"/>
        </w:rPr>
        <w:t> </w:t>
      </w:r>
      <w:r>
        <w:rPr>
          <w:vertAlign w:val="baseline"/>
        </w:rPr>
        <w:t>i=1,</w:t>
      </w:r>
      <w:r>
        <w:rPr>
          <w:spacing w:val="-1"/>
          <w:vertAlign w:val="baseline"/>
        </w:rPr>
        <w:t> </w:t>
      </w:r>
      <w:r>
        <w:rPr>
          <w:vertAlign w:val="baseline"/>
        </w:rPr>
        <w:t>2,</w:t>
      </w:r>
      <w:r>
        <w:rPr>
          <w:spacing w:val="-4"/>
          <w:vertAlign w:val="baseline"/>
        </w:rPr>
        <w:t> </w:t>
      </w:r>
      <w:r>
        <w:rPr>
          <w:vertAlign w:val="baseline"/>
        </w:rPr>
        <w:t>3</w:t>
      </w:r>
      <w:r>
        <w:rPr>
          <w:spacing w:val="69"/>
          <w:vertAlign w:val="baseline"/>
        </w:rPr>
        <w:t>    </w:t>
      </w:r>
      <w:r>
        <w:rPr>
          <w:vertAlign w:val="baseline"/>
        </w:rPr>
        <w:t>127 </w:t>
      </w:r>
      <w:r>
        <w:rPr>
          <w:spacing w:val="-10"/>
          <w:vertAlign w:val="baseline"/>
        </w:rPr>
        <w:t>.</w:t>
      </w:r>
    </w:p>
    <w:p>
      <w:pPr>
        <w:pStyle w:val="BodyText"/>
        <w:ind w:right="223" w:hanging="1"/>
      </w:pPr>
      <w:r>
        <w:rPr/>
        <w:t>j represents</w:t>
      </w:r>
      <w:r>
        <w:rPr>
          <w:spacing w:val="-1"/>
        </w:rPr>
        <w:t> </w:t>
      </w:r>
      <w:r>
        <w:rPr/>
        <w:t>different marketing</w:t>
      </w:r>
      <w:r>
        <w:rPr>
          <w:spacing w:val="-2"/>
        </w:rPr>
        <w:t> </w:t>
      </w:r>
      <w:r>
        <w:rPr/>
        <w:t>outlets, j=0 for sale to sale to wholesalers, j=1 for sale to cooperative and j=2 for sale to collectors. P represents the probability of sesame marketing outlet j to be chosen by farm household i; CHOICEij = j means that sesame marketing outlet j is chosen by farm household i;</w:t>
      </w:r>
    </w:p>
    <w:p>
      <w:pPr>
        <w:pStyle w:val="BodyText"/>
        <w:spacing w:line="229" w:lineRule="exact"/>
      </w:pPr>
      <w:r>
        <w:rPr/>
        <w:t>Xi</w:t>
      </w:r>
      <w:r>
        <w:rPr>
          <w:spacing w:val="-6"/>
        </w:rPr>
        <w:t> </w:t>
      </w:r>
      <w:r>
        <w:rPr/>
        <w:t>is</w:t>
      </w:r>
      <w:r>
        <w:rPr>
          <w:spacing w:val="-6"/>
        </w:rPr>
        <w:t> </w:t>
      </w:r>
      <w:r>
        <w:rPr/>
        <w:t>independent</w:t>
      </w:r>
      <w:r>
        <w:rPr>
          <w:spacing w:val="-6"/>
        </w:rPr>
        <w:t> </w:t>
      </w:r>
      <w:r>
        <w:rPr>
          <w:spacing w:val="-2"/>
        </w:rPr>
        <w:t>variables.</w:t>
      </w:r>
    </w:p>
    <w:p>
      <w:pPr>
        <w:pStyle w:val="BodyText"/>
        <w:spacing w:before="210"/>
        <w:ind w:right="224"/>
      </w:pPr>
      <w:r>
        <w:rPr/>
        <w:t>The</w:t>
      </w:r>
      <w:r>
        <w:rPr>
          <w:spacing w:val="-2"/>
        </w:rPr>
        <w:t> </w:t>
      </w:r>
      <w:r>
        <w:rPr/>
        <w:t>coefficients</w:t>
      </w:r>
      <w:r>
        <w:rPr>
          <w:spacing w:val="-3"/>
        </w:rPr>
        <w:t> </w:t>
      </w:r>
      <w:r>
        <w:rPr/>
        <w:t>of</w:t>
      </w:r>
      <w:r>
        <w:rPr>
          <w:spacing w:val="-1"/>
        </w:rPr>
        <w:t> </w:t>
      </w:r>
      <w:r>
        <w:rPr/>
        <w:t>explanatory</w:t>
      </w:r>
      <w:r>
        <w:rPr>
          <w:spacing w:val="-1"/>
        </w:rPr>
        <w:t> </w:t>
      </w:r>
      <w:r>
        <w:rPr/>
        <w:t>variables</w:t>
      </w:r>
      <w:r>
        <w:rPr>
          <w:spacing w:val="-3"/>
        </w:rPr>
        <w:t> </w:t>
      </w:r>
      <w:r>
        <w:rPr/>
        <w:t>on</w:t>
      </w:r>
      <w:r>
        <w:rPr>
          <w:spacing w:val="-1"/>
        </w:rPr>
        <w:t> </w:t>
      </w:r>
      <w:r>
        <w:rPr/>
        <w:t>the</w:t>
      </w:r>
      <w:r>
        <w:rPr>
          <w:spacing w:val="-2"/>
        </w:rPr>
        <w:t> </w:t>
      </w:r>
      <w:r>
        <w:rPr/>
        <w:t>omitted</w:t>
      </w:r>
      <w:r>
        <w:rPr>
          <w:spacing w:val="-1"/>
        </w:rPr>
        <w:t> </w:t>
      </w:r>
      <w:r>
        <w:rPr/>
        <w:t>or</w:t>
      </w:r>
      <w:r>
        <w:rPr>
          <w:spacing w:val="-1"/>
        </w:rPr>
        <w:t> </w:t>
      </w:r>
      <w:r>
        <w:rPr/>
        <w:t>base</w:t>
      </w:r>
      <w:r>
        <w:rPr>
          <w:spacing w:val="-2"/>
        </w:rPr>
        <w:t> </w:t>
      </w:r>
      <w:r>
        <w:rPr/>
        <w:t>category</w:t>
      </w:r>
      <w:r>
        <w:rPr>
          <w:spacing w:val="-5"/>
        </w:rPr>
        <w:t> </w:t>
      </w:r>
      <w:r>
        <w:rPr/>
        <w:t>are</w:t>
      </w:r>
      <w:r>
        <w:rPr>
          <w:spacing w:val="-2"/>
        </w:rPr>
        <w:t> </w:t>
      </w:r>
      <w:r>
        <w:rPr/>
        <w:t>assumed</w:t>
      </w:r>
      <w:r>
        <w:rPr>
          <w:spacing w:val="-1"/>
        </w:rPr>
        <w:t> </w:t>
      </w:r>
      <w:r>
        <w:rPr/>
        <w:t>to</w:t>
      </w:r>
      <w:r>
        <w:rPr>
          <w:spacing w:val="-1"/>
        </w:rPr>
        <w:t> </w:t>
      </w:r>
      <w:r>
        <w:rPr/>
        <w:t>be</w:t>
      </w:r>
      <w:r>
        <w:rPr>
          <w:spacing w:val="-2"/>
        </w:rPr>
        <w:t> </w:t>
      </w:r>
      <w:r>
        <w:rPr/>
        <w:t>zero.</w:t>
      </w:r>
      <w:r>
        <w:rPr>
          <w:spacing w:val="-1"/>
        </w:rPr>
        <w:t> </w:t>
      </w:r>
      <w:r>
        <w:rPr/>
        <w:t>The</w:t>
      </w:r>
      <w:r>
        <w:rPr>
          <w:spacing w:val="-2"/>
        </w:rPr>
        <w:t> </w:t>
      </w:r>
      <w:r>
        <w:rPr/>
        <w:t>probability that a base category were chosen can be calculated as follows:</w:t>
      </w:r>
    </w:p>
    <w:p>
      <w:pPr>
        <w:spacing w:after="0"/>
        <w:sectPr>
          <w:type w:val="continuous"/>
          <w:pgSz w:w="11900" w:h="16840"/>
          <w:pgMar w:header="846" w:footer="819" w:top="1640" w:bottom="1000" w:left="1180" w:right="1180"/>
        </w:sectPr>
      </w:pPr>
    </w:p>
    <w:p>
      <w:pPr>
        <w:spacing w:before="101"/>
        <w:ind w:left="0" w:right="0" w:firstLine="0"/>
        <w:jc w:val="right"/>
        <w:rPr>
          <w:rFonts w:ascii="FreeSerif" w:eastAsia="FreeSerif"/>
          <w:sz w:val="20"/>
        </w:rPr>
      </w:pPr>
      <w:r>
        <w:rPr>
          <w:rFonts w:ascii="FreeSerif" w:eastAsia="FreeSerif"/>
          <w:spacing w:val="-5"/>
          <w:w w:val="120"/>
          <w:position w:val="6"/>
          <w:sz w:val="28"/>
        </w:rPr>
        <w:t>𝑃</w:t>
      </w:r>
      <w:r>
        <w:rPr>
          <w:rFonts w:ascii="FreeSerif" w:eastAsia="FreeSerif"/>
          <w:spacing w:val="-5"/>
          <w:w w:val="120"/>
          <w:sz w:val="20"/>
        </w:rPr>
        <w:t>𝑖j</w:t>
      </w:r>
    </w:p>
    <w:p>
      <w:pPr>
        <w:tabs>
          <w:tab w:pos="1191" w:val="left" w:leader="none"/>
        </w:tabs>
        <w:spacing w:before="9"/>
        <w:ind w:left="56" w:right="0" w:firstLine="0"/>
        <w:jc w:val="left"/>
        <w:rPr>
          <w:rFonts w:ascii="FreeSerif"/>
          <w:sz w:val="20"/>
        </w:rPr>
      </w:pPr>
      <w:r>
        <w:rPr/>
        <w:br w:type="column"/>
      </w:r>
      <w:r>
        <w:rPr>
          <w:rFonts w:ascii="FreeSerif"/>
          <w:spacing w:val="-10"/>
          <w:w w:val="125"/>
          <w:position w:val="-16"/>
          <w:sz w:val="28"/>
        </w:rPr>
        <w:t>=</w:t>
      </w:r>
      <w:r>
        <w:rPr>
          <w:position w:val="-16"/>
          <w:sz w:val="28"/>
        </w:rPr>
        <w:tab/>
      </w:r>
      <w:r>
        <w:rPr>
          <w:rFonts w:ascii="FreeSerif"/>
          <w:spacing w:val="-21"/>
          <w:w w:val="125"/>
          <w:sz w:val="20"/>
        </w:rPr>
        <w:t>1</w:t>
      </w:r>
    </w:p>
    <w:p>
      <w:pPr>
        <w:spacing w:line="182" w:lineRule="exact" w:before="6"/>
        <w:ind w:left="744" w:right="0" w:firstLine="0"/>
        <w:jc w:val="left"/>
        <w:rPr>
          <w:rFonts w:ascii="FreeSerif" w:hAnsi="FreeSerif"/>
          <w:sz w:val="16"/>
        </w:rPr>
      </w:pPr>
      <w:r>
        <w:rPr/>
        <mc:AlternateContent>
          <mc:Choice Requires="wps">
            <w:drawing>
              <wp:anchor distT="0" distB="0" distL="0" distR="0" allowOverlap="1" layoutInCell="1" locked="0" behindDoc="1" simplePos="0" relativeHeight="486319616">
                <wp:simplePos x="0" y="0"/>
                <wp:positionH relativeFrom="page">
                  <wp:posOffset>1856232</wp:posOffset>
                </wp:positionH>
                <wp:positionV relativeFrom="paragraph">
                  <wp:posOffset>-112088</wp:posOffset>
                </wp:positionV>
                <wp:extent cx="1153795" cy="127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153795" cy="12700"/>
                        </a:xfrm>
                        <a:custGeom>
                          <a:avLst/>
                          <a:gdLst/>
                          <a:ahLst/>
                          <a:cxnLst/>
                          <a:rect l="l" t="t" r="r" b="b"/>
                          <a:pathLst>
                            <a:path w="1153795" h="12700">
                              <a:moveTo>
                                <a:pt x="1153667" y="0"/>
                              </a:moveTo>
                              <a:lnTo>
                                <a:pt x="0" y="0"/>
                              </a:lnTo>
                              <a:lnTo>
                                <a:pt x="0" y="12191"/>
                              </a:lnTo>
                              <a:lnTo>
                                <a:pt x="1153667" y="12191"/>
                              </a:lnTo>
                              <a:lnTo>
                                <a:pt x="1153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160004pt;margin-top:-8.825896pt;width:90.839998pt;height:.96pt;mso-position-horizontal-relative:page;mso-position-vertical-relative:paragraph;z-index:-16996864" id="docshape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321664">
                <wp:simplePos x="0" y="0"/>
                <wp:positionH relativeFrom="page">
                  <wp:posOffset>1856315</wp:posOffset>
                </wp:positionH>
                <wp:positionV relativeFrom="paragraph">
                  <wp:posOffset>-117665</wp:posOffset>
                </wp:positionV>
                <wp:extent cx="1154430" cy="1924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54430" cy="192405"/>
                        </a:xfrm>
                        <a:prstGeom prst="rect">
                          <a:avLst/>
                        </a:prstGeom>
                      </wps:spPr>
                      <wps:txbx>
                        <w:txbxContent>
                          <w:p>
                            <w:pPr>
                              <w:spacing w:line="298" w:lineRule="exact" w:before="4"/>
                              <w:ind w:left="0" w:right="0" w:firstLine="0"/>
                              <w:jc w:val="left"/>
                              <w:rPr>
                                <w:rFonts w:ascii="FreeSerif" w:hAnsi="FreeSerif" w:eastAsia="FreeSerif"/>
                                <w:sz w:val="20"/>
                              </w:rPr>
                            </w:pPr>
                            <w:r>
                              <w:rPr>
                                <w:rFonts w:ascii="FreeSerif" w:hAnsi="FreeSerif" w:eastAsia="FreeSerif"/>
                                <w:w w:val="115"/>
                                <w:sz w:val="20"/>
                              </w:rPr>
                              <w:t>1+</w:t>
                            </w:r>
                            <w:r>
                              <w:rPr>
                                <w:rFonts w:ascii="FreeSerif" w:hAnsi="FreeSerif" w:eastAsia="FreeSerif"/>
                                <w:w w:val="115"/>
                                <w:position w:val="1"/>
                                <w:sz w:val="20"/>
                              </w:rPr>
                              <w:t>∑</w:t>
                            </w:r>
                            <w:r>
                              <w:rPr>
                                <w:rFonts w:ascii="FreeSerif" w:hAnsi="FreeSerif" w:eastAsia="FreeSerif"/>
                                <w:w w:val="115"/>
                                <w:position w:val="11"/>
                                <w:sz w:val="16"/>
                              </w:rPr>
                              <w:t>𝐽−1</w:t>
                            </w:r>
                            <w:r>
                              <w:rPr>
                                <w:spacing w:val="1"/>
                                <w:w w:val="115"/>
                                <w:position w:val="11"/>
                                <w:sz w:val="16"/>
                              </w:rPr>
                              <w:t> </w:t>
                            </w:r>
                            <w:r>
                              <w:rPr>
                                <w:rFonts w:ascii="FreeSerif" w:hAnsi="FreeSerif" w:eastAsia="FreeSerif"/>
                                <w:spacing w:val="-2"/>
                                <w:w w:val="115"/>
                                <w:sz w:val="20"/>
                              </w:rPr>
                              <w:t>𝐸𝑥𝑝(𝛽j𝑋𝑖j)</w:t>
                            </w:r>
                          </w:p>
                        </w:txbxContent>
                      </wps:txbx>
                      <wps:bodyPr wrap="square" lIns="0" tIns="0" rIns="0" bIns="0" rtlCol="0">
                        <a:noAutofit/>
                      </wps:bodyPr>
                    </wps:wsp>
                  </a:graphicData>
                </a:graphic>
              </wp:anchor>
            </w:drawing>
          </mc:Choice>
          <mc:Fallback>
            <w:pict>
              <v:shape style="position:absolute;margin-left:146.166611pt;margin-top:-9.265008pt;width:90.9pt;height:15.15pt;mso-position-horizontal-relative:page;mso-position-vertical-relative:paragraph;z-index:-16994816" type="#_x0000_t202" id="docshape24" filled="false" stroked="false">
                <v:textbox inset="0,0,0,0">
                  <w:txbxContent>
                    <w:p>
                      <w:pPr>
                        <w:spacing w:line="298" w:lineRule="exact" w:before="4"/>
                        <w:ind w:left="0" w:right="0" w:firstLine="0"/>
                        <w:jc w:val="left"/>
                        <w:rPr>
                          <w:rFonts w:ascii="FreeSerif" w:hAnsi="FreeSerif" w:eastAsia="FreeSerif"/>
                          <w:sz w:val="20"/>
                        </w:rPr>
                      </w:pPr>
                      <w:r>
                        <w:rPr>
                          <w:rFonts w:ascii="FreeSerif" w:hAnsi="FreeSerif" w:eastAsia="FreeSerif"/>
                          <w:w w:val="115"/>
                          <w:sz w:val="20"/>
                        </w:rPr>
                        <w:t>1+</w:t>
                      </w:r>
                      <w:r>
                        <w:rPr>
                          <w:rFonts w:ascii="FreeSerif" w:hAnsi="FreeSerif" w:eastAsia="FreeSerif"/>
                          <w:w w:val="115"/>
                          <w:position w:val="1"/>
                          <w:sz w:val="20"/>
                        </w:rPr>
                        <w:t>∑</w:t>
                      </w:r>
                      <w:r>
                        <w:rPr>
                          <w:rFonts w:ascii="FreeSerif" w:hAnsi="FreeSerif" w:eastAsia="FreeSerif"/>
                          <w:w w:val="115"/>
                          <w:position w:val="11"/>
                          <w:sz w:val="16"/>
                        </w:rPr>
                        <w:t>𝐽−1</w:t>
                      </w:r>
                      <w:r>
                        <w:rPr>
                          <w:spacing w:val="1"/>
                          <w:w w:val="115"/>
                          <w:position w:val="11"/>
                          <w:sz w:val="16"/>
                        </w:rPr>
                        <w:t> </w:t>
                      </w:r>
                      <w:r>
                        <w:rPr>
                          <w:rFonts w:ascii="FreeSerif" w:hAnsi="FreeSerif" w:eastAsia="FreeSerif"/>
                          <w:spacing w:val="-2"/>
                          <w:w w:val="115"/>
                          <w:sz w:val="20"/>
                        </w:rPr>
                        <w:t>𝐸𝑥𝑝(𝛽j𝑋𝑖j)</w:t>
                      </w:r>
                    </w:p>
                  </w:txbxContent>
                </v:textbox>
                <w10:wrap type="none"/>
              </v:shape>
            </w:pict>
          </mc:Fallback>
        </mc:AlternateContent>
      </w:r>
      <w:r>
        <w:rPr>
          <w:rFonts w:ascii="FreeSerif" w:hAnsi="FreeSerif"/>
          <w:spacing w:val="-5"/>
          <w:w w:val="130"/>
          <w:sz w:val="16"/>
        </w:rPr>
        <w:t>j−1</w:t>
      </w:r>
    </w:p>
    <w:p>
      <w:pPr>
        <w:pStyle w:val="BodyText"/>
        <w:spacing w:before="168"/>
        <w:ind w:left="814"/>
        <w:jc w:val="left"/>
      </w:pPr>
      <w:r>
        <w:rPr/>
        <w:br w:type="column"/>
      </w:r>
      <w:r>
        <w:rPr>
          <w:spacing w:val="-2"/>
        </w:rPr>
        <w:t>………………………………………………………………………...15</w:t>
      </w:r>
    </w:p>
    <w:p>
      <w:pPr>
        <w:spacing w:after="0"/>
        <w:jc w:val="left"/>
        <w:sectPr>
          <w:type w:val="continuous"/>
          <w:pgSz w:w="11900" w:h="16840"/>
          <w:pgMar w:header="846" w:footer="819" w:top="1640" w:bottom="1000" w:left="1180" w:right="1180"/>
          <w:cols w:num="3" w:equalWidth="0">
            <w:col w:w="1362" w:space="40"/>
            <w:col w:w="1307" w:space="39"/>
            <w:col w:w="6792"/>
          </w:cols>
        </w:sectPr>
      </w:pPr>
    </w:p>
    <w:p>
      <w:pPr>
        <w:pStyle w:val="BodyText"/>
        <w:spacing w:line="219" w:lineRule="exact"/>
        <w:jc w:val="left"/>
      </w:pPr>
      <w:r>
        <w:rPr/>
        <w:t>The</w:t>
      </w:r>
      <w:r>
        <w:rPr>
          <w:spacing w:val="-6"/>
        </w:rPr>
        <w:t> </w:t>
      </w:r>
      <w:r>
        <w:rPr/>
        <w:t>marginal</w:t>
      </w:r>
      <w:r>
        <w:rPr>
          <w:spacing w:val="-5"/>
        </w:rPr>
        <w:t> </w:t>
      </w:r>
      <w:r>
        <w:rPr/>
        <w:t>effects</w:t>
      </w:r>
      <w:r>
        <w:rPr>
          <w:spacing w:val="-6"/>
        </w:rPr>
        <w:t> </w:t>
      </w:r>
      <w:r>
        <w:rPr/>
        <w:t>of</w:t>
      </w:r>
      <w:r>
        <w:rPr>
          <w:spacing w:val="-7"/>
        </w:rPr>
        <w:t> </w:t>
      </w:r>
      <w:r>
        <w:rPr/>
        <w:t>the</w:t>
      </w:r>
      <w:r>
        <w:rPr>
          <w:spacing w:val="-6"/>
        </w:rPr>
        <w:t> </w:t>
      </w:r>
      <w:r>
        <w:rPr/>
        <w:t>attributes</w:t>
      </w:r>
      <w:r>
        <w:rPr>
          <w:spacing w:val="-6"/>
        </w:rPr>
        <w:t> </w:t>
      </w:r>
      <w:r>
        <w:rPr/>
        <w:t>on</w:t>
      </w:r>
      <w:r>
        <w:rPr>
          <w:spacing w:val="-6"/>
        </w:rPr>
        <w:t> </w:t>
      </w:r>
      <w:r>
        <w:rPr/>
        <w:t>probability</w:t>
      </w:r>
      <w:r>
        <w:rPr>
          <w:spacing w:val="-9"/>
        </w:rPr>
        <w:t> </w:t>
      </w:r>
      <w:r>
        <w:rPr/>
        <w:t>of</w:t>
      </w:r>
      <w:r>
        <w:rPr>
          <w:spacing w:val="-7"/>
        </w:rPr>
        <w:t> </w:t>
      </w:r>
      <w:r>
        <w:rPr/>
        <w:t>choice</w:t>
      </w:r>
      <w:r>
        <w:rPr>
          <w:spacing w:val="-5"/>
        </w:rPr>
        <w:t> </w:t>
      </w:r>
      <w:r>
        <w:rPr/>
        <w:t>are</w:t>
      </w:r>
      <w:r>
        <w:rPr>
          <w:spacing w:val="-6"/>
        </w:rPr>
        <w:t> </w:t>
      </w:r>
      <w:r>
        <w:rPr/>
        <w:t>determined</w:t>
      </w:r>
      <w:r>
        <w:rPr>
          <w:spacing w:val="-4"/>
        </w:rPr>
        <w:t> </w:t>
      </w:r>
      <w:r>
        <w:rPr/>
        <w:t>by</w:t>
      </w:r>
      <w:r>
        <w:rPr>
          <w:spacing w:val="-9"/>
        </w:rPr>
        <w:t> </w:t>
      </w:r>
      <w:r>
        <w:rPr/>
        <w:t>differentiating</w:t>
      </w:r>
      <w:r>
        <w:rPr>
          <w:spacing w:val="-6"/>
        </w:rPr>
        <w:t> </w:t>
      </w:r>
      <w:r>
        <w:rPr>
          <w:spacing w:val="-2"/>
        </w:rPr>
        <w:t>equation</w:t>
      </w:r>
    </w:p>
    <w:p>
      <w:pPr>
        <w:spacing w:after="0" w:line="219" w:lineRule="exact"/>
        <w:jc w:val="left"/>
        <w:sectPr>
          <w:type w:val="continuous"/>
          <w:pgSz w:w="11900" w:h="16840"/>
          <w:pgMar w:header="846" w:footer="819" w:top="1640" w:bottom="1000" w:left="1180" w:right="1180"/>
        </w:sectPr>
      </w:pPr>
    </w:p>
    <w:p>
      <w:pPr>
        <w:spacing w:line="199" w:lineRule="exact" w:before="7"/>
        <w:ind w:left="241" w:right="0" w:firstLine="0"/>
        <w:jc w:val="left"/>
        <w:rPr>
          <w:rFonts w:ascii="FreeSerif" w:hAnsi="FreeSerif" w:eastAsia="FreeSerif"/>
          <w:sz w:val="24"/>
        </w:rPr>
      </w:pPr>
      <w:r>
        <w:rPr>
          <w:rFonts w:ascii="FreeSerif" w:hAnsi="FreeSerif" w:eastAsia="FreeSerif"/>
          <w:w w:val="115"/>
          <w:sz w:val="24"/>
        </w:rPr>
        <w:t>δ</w:t>
      </w:r>
      <w:r>
        <w:rPr>
          <w:spacing w:val="56"/>
          <w:w w:val="115"/>
          <w:sz w:val="24"/>
        </w:rPr>
        <w:t> </w:t>
      </w:r>
      <w:r>
        <w:rPr>
          <w:rFonts w:ascii="FreeSerif" w:hAnsi="FreeSerif" w:eastAsia="FreeSerif"/>
          <w:w w:val="115"/>
          <w:sz w:val="24"/>
        </w:rPr>
        <w:t>=</w:t>
      </w:r>
      <w:r>
        <w:rPr>
          <w:spacing w:val="-6"/>
          <w:w w:val="115"/>
          <w:sz w:val="24"/>
        </w:rPr>
        <w:t> </w:t>
      </w:r>
      <w:r>
        <w:rPr>
          <w:rFonts w:ascii="FreeSerif" w:hAnsi="FreeSerif" w:eastAsia="FreeSerif"/>
          <w:w w:val="115"/>
          <w:position w:val="16"/>
          <w:sz w:val="17"/>
          <w:u w:val="single"/>
        </w:rPr>
        <w:t>𝛛P</w:t>
      </w:r>
      <w:r>
        <w:rPr>
          <w:rFonts w:ascii="FreeSerif" w:hAnsi="FreeSerif" w:eastAsia="FreeSerif"/>
          <w:w w:val="115"/>
          <w:position w:val="12"/>
          <w:sz w:val="14"/>
          <w:u w:val="single"/>
        </w:rPr>
        <w:t>j</w:t>
      </w:r>
      <w:r>
        <w:rPr>
          <w:spacing w:val="33"/>
          <w:w w:val="115"/>
          <w:position w:val="12"/>
          <w:sz w:val="14"/>
          <w:u w:val="none"/>
        </w:rPr>
        <w:t> </w:t>
      </w:r>
      <w:r>
        <w:rPr>
          <w:rFonts w:ascii="FreeSerif" w:hAnsi="FreeSerif" w:eastAsia="FreeSerif"/>
          <w:w w:val="115"/>
          <w:sz w:val="24"/>
          <w:u w:val="none"/>
        </w:rPr>
        <w:t>=</w:t>
      </w:r>
      <w:r>
        <w:rPr>
          <w:spacing w:val="-7"/>
          <w:w w:val="115"/>
          <w:sz w:val="24"/>
          <w:u w:val="none"/>
        </w:rPr>
        <w:t> </w:t>
      </w:r>
      <w:r>
        <w:rPr>
          <w:rFonts w:ascii="FreeSerif" w:hAnsi="FreeSerif" w:eastAsia="FreeSerif"/>
          <w:w w:val="115"/>
          <w:sz w:val="24"/>
          <w:u w:val="none"/>
        </w:rPr>
        <w:t>P</w:t>
      </w:r>
      <w:r>
        <w:rPr>
          <w:spacing w:val="27"/>
          <w:w w:val="115"/>
          <w:sz w:val="24"/>
          <w:u w:val="none"/>
        </w:rPr>
        <w:t> </w:t>
      </w:r>
      <w:r>
        <w:rPr>
          <w:rFonts w:ascii="FreeSerif" w:hAnsi="FreeSerif" w:eastAsia="FreeSerif"/>
          <w:w w:val="115"/>
          <w:sz w:val="24"/>
          <w:u w:val="none"/>
        </w:rPr>
        <w:t>=</w:t>
      </w:r>
      <w:r>
        <w:rPr>
          <w:spacing w:val="-6"/>
          <w:w w:val="115"/>
          <w:sz w:val="24"/>
          <w:u w:val="none"/>
        </w:rPr>
        <w:t> </w:t>
      </w:r>
      <w:r>
        <w:rPr>
          <w:rFonts w:ascii="FreeSerif" w:hAnsi="FreeSerif" w:eastAsia="FreeSerif"/>
          <w:w w:val="115"/>
          <w:sz w:val="24"/>
          <w:u w:val="none"/>
        </w:rPr>
        <w:t>P</w:t>
      </w:r>
      <w:r>
        <w:rPr>
          <w:spacing w:val="-2"/>
          <w:w w:val="115"/>
          <w:sz w:val="24"/>
          <w:u w:val="none"/>
        </w:rPr>
        <w:t> </w:t>
      </w:r>
      <w:r>
        <w:rPr>
          <w:rFonts w:ascii="FreeSerif" w:hAnsi="FreeSerif" w:eastAsia="FreeSerif"/>
          <w:spacing w:val="-10"/>
          <w:w w:val="115"/>
          <w:sz w:val="24"/>
          <w:u w:val="none"/>
        </w:rPr>
        <w:t>[β</w:t>
      </w:r>
    </w:p>
    <w:p>
      <w:pPr>
        <w:pStyle w:val="Heading1"/>
        <w:tabs>
          <w:tab w:pos="798" w:val="left" w:leader="none"/>
          <w:tab w:pos="1103" w:val="left" w:leader="none"/>
          <w:tab w:pos="2041" w:val="left" w:leader="none"/>
          <w:tab w:pos="6960" w:val="right" w:leader="dot"/>
        </w:tabs>
        <w:spacing w:line="112" w:lineRule="exact" w:before="94"/>
        <w:ind w:left="76"/>
        <w:rPr>
          <w:rFonts w:ascii="Times New Roman" w:hAnsi="Times New Roman"/>
          <w:sz w:val="20"/>
        </w:rPr>
      </w:pPr>
      <w:r>
        <w:rPr/>
        <w:br w:type="column"/>
      </w:r>
      <w:r>
        <w:rPr>
          <w:w w:val="105"/>
        </w:rPr>
        <w:t>−</w:t>
      </w:r>
      <w:r>
        <w:rPr>
          <w:rFonts w:ascii="Times New Roman" w:hAnsi="Times New Roman"/>
          <w:spacing w:val="26"/>
          <w:w w:val="105"/>
        </w:rPr>
        <w:t> </w:t>
      </w:r>
      <w:r>
        <w:rPr>
          <w:spacing w:val="-5"/>
          <w:w w:val="95"/>
          <w:position w:val="1"/>
        </w:rPr>
        <w:t>∑</w:t>
      </w:r>
      <w:r>
        <w:rPr>
          <w:spacing w:val="-5"/>
          <w:w w:val="95"/>
          <w:position w:val="1"/>
          <w:vertAlign w:val="superscript"/>
        </w:rPr>
        <w:t>J</w:t>
      </w:r>
      <w:r>
        <w:rPr>
          <w:rFonts w:ascii="Times New Roman" w:hAnsi="Times New Roman"/>
          <w:position w:val="1"/>
          <w:vertAlign w:val="baseline"/>
        </w:rPr>
        <w:tab/>
      </w:r>
      <w:r>
        <w:rPr>
          <w:spacing w:val="-10"/>
          <w:vertAlign w:val="baseline"/>
        </w:rPr>
        <w:t>(</w:t>
      </w:r>
      <w:r>
        <w:rPr>
          <w:rFonts w:ascii="Times New Roman" w:hAnsi="Times New Roman"/>
          <w:vertAlign w:val="baseline"/>
        </w:rPr>
        <w:tab/>
      </w:r>
      <w:r>
        <w:rPr>
          <w:vertAlign w:val="baseline"/>
        </w:rPr>
        <w:t>)(β</w:t>
      </w:r>
      <w:r>
        <w:rPr>
          <w:rFonts w:ascii="Times New Roman" w:hAnsi="Times New Roman"/>
          <w:spacing w:val="47"/>
          <w:vertAlign w:val="baseline"/>
        </w:rPr>
        <w:t> </w:t>
      </w:r>
      <w:r>
        <w:rPr>
          <w:spacing w:val="-5"/>
          <w:vertAlign w:val="baseline"/>
        </w:rPr>
        <w:t>)]</w:t>
      </w:r>
      <w:r>
        <w:rPr>
          <w:rFonts w:ascii="Times New Roman" w:hAnsi="Times New Roman"/>
          <w:vertAlign w:val="baseline"/>
        </w:rPr>
        <w:tab/>
      </w:r>
      <w:r>
        <w:rPr>
          <w:w w:val="90"/>
          <w:vertAlign w:val="baseline"/>
        </w:rPr>
        <w:t>for</w:t>
      </w:r>
      <w:r>
        <w:rPr>
          <w:rFonts w:ascii="Times New Roman" w:hAnsi="Times New Roman"/>
          <w:spacing w:val="-9"/>
          <w:w w:val="90"/>
          <w:vertAlign w:val="baseline"/>
        </w:rPr>
        <w:t> </w:t>
      </w:r>
      <w:r>
        <w:rPr>
          <w:w w:val="90"/>
          <w:vertAlign w:val="baseline"/>
        </w:rPr>
        <w:t>J</w:t>
      </w:r>
      <w:r>
        <w:rPr>
          <w:rFonts w:ascii="Times New Roman" w:hAnsi="Times New Roman"/>
          <w:spacing w:val="3"/>
          <w:vertAlign w:val="baseline"/>
        </w:rPr>
        <w:t> </w:t>
      </w:r>
      <w:r>
        <w:rPr>
          <w:w w:val="90"/>
          <w:vertAlign w:val="baseline"/>
        </w:rPr>
        <w:t>=</w:t>
      </w:r>
      <w:r>
        <w:rPr>
          <w:rFonts w:ascii="Times New Roman" w:hAnsi="Times New Roman"/>
          <w:spacing w:val="6"/>
          <w:vertAlign w:val="baseline"/>
        </w:rPr>
        <w:t> </w:t>
      </w:r>
      <w:r>
        <w:rPr>
          <w:w w:val="90"/>
          <w:vertAlign w:val="baseline"/>
        </w:rPr>
        <w:t>1,2,3,</w:t>
      </w:r>
      <w:r>
        <w:rPr>
          <w:rFonts w:ascii="Times New Roman" w:hAnsi="Times New Roman"/>
          <w:spacing w:val="-15"/>
          <w:w w:val="90"/>
          <w:vertAlign w:val="baseline"/>
        </w:rPr>
        <w:t> </w:t>
      </w:r>
      <w:r>
        <w:rPr>
          <w:w w:val="90"/>
          <w:vertAlign w:val="baseline"/>
        </w:rPr>
        <w:t>…</w:t>
      </w:r>
      <w:r>
        <w:rPr>
          <w:rFonts w:ascii="Times New Roman" w:hAnsi="Times New Roman"/>
          <w:spacing w:val="-14"/>
          <w:w w:val="90"/>
          <w:vertAlign w:val="baseline"/>
        </w:rPr>
        <w:t> </w:t>
      </w:r>
      <w:r>
        <w:rPr>
          <w:w w:val="90"/>
          <w:vertAlign w:val="baseline"/>
        </w:rPr>
        <w:t>…</w:t>
      </w:r>
      <w:r>
        <w:rPr>
          <w:rFonts w:ascii="Times New Roman" w:hAnsi="Times New Roman"/>
          <w:spacing w:val="-14"/>
          <w:w w:val="90"/>
          <w:vertAlign w:val="baseline"/>
        </w:rPr>
        <w:t> </w:t>
      </w:r>
      <w:r>
        <w:rPr>
          <w:w w:val="90"/>
          <w:vertAlign w:val="baseline"/>
        </w:rPr>
        <w:t>…</w:t>
      </w:r>
      <w:r>
        <w:rPr>
          <w:rFonts w:ascii="Times New Roman" w:hAnsi="Times New Roman"/>
          <w:spacing w:val="-14"/>
          <w:w w:val="90"/>
          <w:vertAlign w:val="baseline"/>
        </w:rPr>
        <w:t> </w:t>
      </w:r>
      <w:r>
        <w:rPr>
          <w:w w:val="90"/>
          <w:vertAlign w:val="baseline"/>
        </w:rPr>
        <w:t>…</w:t>
      </w:r>
      <w:r>
        <w:rPr>
          <w:rFonts w:ascii="Times New Roman" w:hAnsi="Times New Roman"/>
          <w:spacing w:val="-14"/>
          <w:w w:val="90"/>
          <w:vertAlign w:val="baseline"/>
        </w:rPr>
        <w:t> </w:t>
      </w:r>
      <w:r>
        <w:rPr>
          <w:w w:val="90"/>
          <w:vertAlign w:val="baseline"/>
        </w:rPr>
        <w:t>.</w:t>
      </w:r>
      <w:r>
        <w:rPr>
          <w:rFonts w:ascii="Times New Roman" w:hAnsi="Times New Roman"/>
          <w:spacing w:val="-15"/>
          <w:w w:val="90"/>
          <w:vertAlign w:val="baseline"/>
        </w:rPr>
        <w:t> </w:t>
      </w:r>
      <w:r>
        <w:rPr>
          <w:spacing w:val="-10"/>
          <w:w w:val="90"/>
          <w:vertAlign w:val="baseline"/>
        </w:rPr>
        <w:t>J</w:t>
      </w:r>
      <w:r>
        <w:rPr>
          <w:rFonts w:ascii="Times New Roman" w:hAnsi="Times New Roman"/>
          <w:vertAlign w:val="baseline"/>
        </w:rPr>
        <w:tab/>
      </w:r>
      <w:r>
        <w:rPr>
          <w:rFonts w:ascii="Times New Roman" w:hAnsi="Times New Roman"/>
          <w:spacing w:val="-5"/>
          <w:sz w:val="20"/>
          <w:vertAlign w:val="baseline"/>
        </w:rPr>
        <w:t>16</w:t>
      </w:r>
    </w:p>
    <w:p>
      <w:pPr>
        <w:spacing w:after="0" w:line="112" w:lineRule="exact"/>
        <w:rPr>
          <w:rFonts w:ascii="Times New Roman" w:hAnsi="Times New Roman"/>
          <w:sz w:val="20"/>
        </w:rPr>
        <w:sectPr>
          <w:type w:val="continuous"/>
          <w:pgSz w:w="11900" w:h="16840"/>
          <w:pgMar w:header="846" w:footer="819" w:top="1640" w:bottom="1000" w:left="1180" w:right="1180"/>
          <w:cols w:num="2" w:equalWidth="0">
            <w:col w:w="2232" w:space="40"/>
            <w:col w:w="7268"/>
          </w:cols>
        </w:sectPr>
      </w:pPr>
    </w:p>
    <w:p>
      <w:pPr>
        <w:tabs>
          <w:tab w:pos="742" w:val="left" w:leader="none"/>
          <w:tab w:pos="1428" w:val="left" w:leader="none"/>
          <w:tab w:pos="1908" w:val="left" w:leader="none"/>
          <w:tab w:pos="2232" w:val="left" w:leader="none"/>
        </w:tabs>
        <w:spacing w:line="225" w:lineRule="auto" w:before="11"/>
        <w:ind w:left="365" w:right="0" w:firstLine="0"/>
        <w:jc w:val="left"/>
        <w:rPr>
          <w:rFonts w:ascii="FreeSerif" w:eastAsia="FreeSerif"/>
          <w:sz w:val="17"/>
        </w:rPr>
      </w:pPr>
      <w:r>
        <w:rPr>
          <w:rFonts w:ascii="FreeSerif" w:eastAsia="FreeSerif"/>
          <w:spacing w:val="-10"/>
          <w:sz w:val="17"/>
        </w:rPr>
        <w:t>j</w:t>
      </w:r>
      <w:r>
        <w:rPr>
          <w:sz w:val="17"/>
        </w:rPr>
        <w:tab/>
      </w:r>
      <w:r>
        <w:rPr>
          <w:rFonts w:ascii="FreeSerif" w:eastAsia="FreeSerif"/>
          <w:spacing w:val="-5"/>
          <w:position w:val="-6"/>
          <w:sz w:val="17"/>
        </w:rPr>
        <w:t>𝛛X</w:t>
      </w:r>
      <w:r>
        <w:rPr>
          <w:rFonts w:ascii="FreeSerif" w:eastAsia="FreeSerif"/>
          <w:spacing w:val="-5"/>
          <w:position w:val="-10"/>
          <w:sz w:val="14"/>
        </w:rPr>
        <w:t>j</w:t>
      </w:r>
      <w:r>
        <w:rPr>
          <w:position w:val="-10"/>
          <w:sz w:val="14"/>
        </w:rPr>
        <w:tab/>
      </w:r>
      <w:r>
        <w:rPr>
          <w:rFonts w:ascii="FreeSerif" w:eastAsia="FreeSerif"/>
          <w:spacing w:val="-10"/>
          <w:sz w:val="17"/>
        </w:rPr>
        <w:t>j</w:t>
      </w:r>
      <w:r>
        <w:rPr>
          <w:sz w:val="17"/>
        </w:rPr>
        <w:tab/>
      </w:r>
      <w:r>
        <w:rPr>
          <w:rFonts w:ascii="FreeSerif" w:eastAsia="FreeSerif"/>
          <w:spacing w:val="-10"/>
          <w:sz w:val="17"/>
        </w:rPr>
        <w:t>j</w:t>
      </w:r>
      <w:r>
        <w:rPr>
          <w:sz w:val="17"/>
        </w:rPr>
        <w:tab/>
      </w:r>
      <w:r>
        <w:rPr>
          <w:rFonts w:ascii="FreeSerif" w:eastAsia="FreeSerif"/>
          <w:spacing w:val="-10"/>
          <w:sz w:val="17"/>
        </w:rPr>
        <w:t>j</w:t>
      </w:r>
    </w:p>
    <w:p>
      <w:pPr>
        <w:tabs>
          <w:tab w:pos="1323" w:val="left" w:leader="none"/>
        </w:tabs>
        <w:spacing w:before="7"/>
        <w:ind w:left="365" w:right="0" w:firstLine="0"/>
        <w:jc w:val="left"/>
        <w:rPr>
          <w:rFonts w:ascii="FreeSerif"/>
          <w:sz w:val="17"/>
        </w:rPr>
      </w:pPr>
      <w:r>
        <w:rPr/>
        <w:br w:type="column"/>
      </w:r>
      <w:r>
        <w:rPr>
          <w:rFonts w:ascii="FreeSerif"/>
          <w:position w:val="2"/>
          <w:sz w:val="17"/>
        </w:rPr>
        <w:t>J=0</w:t>
      </w:r>
      <w:r>
        <w:rPr>
          <w:spacing w:val="42"/>
          <w:position w:val="2"/>
          <w:sz w:val="17"/>
        </w:rPr>
        <w:t>  </w:t>
      </w:r>
      <w:r>
        <w:rPr>
          <w:rFonts w:ascii="FreeSerif"/>
          <w:spacing w:val="-5"/>
          <w:position w:val="4"/>
          <w:sz w:val="17"/>
        </w:rPr>
        <w:t>P</w:t>
      </w:r>
      <w:r>
        <w:rPr>
          <w:rFonts w:ascii="FreeSerif"/>
          <w:spacing w:val="-5"/>
          <w:sz w:val="14"/>
        </w:rPr>
        <w:t>j</w:t>
      </w:r>
      <w:r>
        <w:rPr>
          <w:sz w:val="14"/>
        </w:rPr>
        <w:tab/>
      </w:r>
      <w:r>
        <w:rPr>
          <w:rFonts w:ascii="FreeSerif"/>
          <w:spacing w:val="-10"/>
          <w:position w:val="4"/>
          <w:sz w:val="17"/>
        </w:rPr>
        <w:t>j</w:t>
      </w:r>
    </w:p>
    <w:p>
      <w:pPr>
        <w:spacing w:after="0"/>
        <w:jc w:val="left"/>
        <w:rPr>
          <w:rFonts w:ascii="FreeSerif"/>
          <w:sz w:val="17"/>
        </w:rPr>
        <w:sectPr>
          <w:type w:val="continuous"/>
          <w:pgSz w:w="11900" w:h="16840"/>
          <w:pgMar w:header="846" w:footer="819" w:top="1640" w:bottom="1000" w:left="1180" w:right="1180"/>
          <w:cols w:num="2" w:equalWidth="0">
            <w:col w:w="2326" w:space="59"/>
            <w:col w:w="7155"/>
          </w:cols>
        </w:sectPr>
      </w:pPr>
    </w:p>
    <w:p>
      <w:pPr>
        <w:pStyle w:val="BodyText"/>
        <w:spacing w:line="221" w:lineRule="exact"/>
        <w:jc w:val="left"/>
      </w:pPr>
      <w:r>
        <w:rPr>
          <w:spacing w:val="-2"/>
        </w:rPr>
        <w:t>Where,</w:t>
      </w:r>
    </w:p>
    <w:p>
      <w:pPr>
        <w:pStyle w:val="BodyText"/>
        <w:jc w:val="left"/>
      </w:pPr>
      <w:r>
        <w:rPr/>
        <w:t>Pj</w:t>
      </w:r>
      <w:r>
        <w:rPr>
          <w:spacing w:val="42"/>
        </w:rPr>
        <w:t> </w:t>
      </w:r>
      <w:r>
        <w:rPr/>
        <w:t>is</w:t>
      </w:r>
      <w:r>
        <w:rPr>
          <w:spacing w:val="42"/>
        </w:rPr>
        <w:t> </w:t>
      </w:r>
      <w:r>
        <w:rPr/>
        <w:t>the</w:t>
      </w:r>
      <w:r>
        <w:rPr>
          <w:spacing w:val="43"/>
        </w:rPr>
        <w:t> </w:t>
      </w:r>
      <w:r>
        <w:rPr/>
        <w:t>probability</w:t>
      </w:r>
      <w:r>
        <w:rPr>
          <w:spacing w:val="39"/>
        </w:rPr>
        <w:t> </w:t>
      </w:r>
      <w:r>
        <w:rPr/>
        <w:t>that</w:t>
      </w:r>
      <w:r>
        <w:rPr>
          <w:spacing w:val="42"/>
        </w:rPr>
        <w:t> </w:t>
      </w:r>
      <w:r>
        <w:rPr/>
        <w:t>farmers</w:t>
      </w:r>
      <w:r>
        <w:rPr>
          <w:spacing w:val="42"/>
        </w:rPr>
        <w:t> </w:t>
      </w:r>
      <w:r>
        <w:rPr/>
        <w:t>choose</w:t>
      </w:r>
      <w:r>
        <w:rPr>
          <w:spacing w:val="46"/>
        </w:rPr>
        <w:t> </w:t>
      </w:r>
      <w:r>
        <w:rPr/>
        <w:t>market</w:t>
      </w:r>
      <w:r>
        <w:rPr>
          <w:spacing w:val="42"/>
        </w:rPr>
        <w:t> </w:t>
      </w:r>
      <w:r>
        <w:rPr/>
        <w:t>outlet</w:t>
      </w:r>
      <w:r>
        <w:rPr>
          <w:spacing w:val="43"/>
        </w:rPr>
        <w:t> </w:t>
      </w:r>
      <w:r>
        <w:rPr/>
        <w:t>j.</w:t>
      </w:r>
      <w:r>
        <w:rPr>
          <w:spacing w:val="44"/>
        </w:rPr>
        <w:t> </w:t>
      </w:r>
      <w:r>
        <w:rPr/>
        <w:t>βj</w:t>
      </w:r>
      <w:r>
        <w:rPr>
          <w:spacing w:val="44"/>
        </w:rPr>
        <w:t> </w:t>
      </w:r>
      <w:r>
        <w:rPr/>
        <w:t>is</w:t>
      </w:r>
      <w:r>
        <w:rPr>
          <w:spacing w:val="42"/>
        </w:rPr>
        <w:t> </w:t>
      </w:r>
      <w:r>
        <w:rPr/>
        <w:t>a</w:t>
      </w:r>
      <w:r>
        <w:rPr>
          <w:spacing w:val="41"/>
        </w:rPr>
        <w:t> </w:t>
      </w:r>
      <w:r>
        <w:rPr/>
        <w:t>vector</w:t>
      </w:r>
      <w:r>
        <w:rPr>
          <w:spacing w:val="44"/>
        </w:rPr>
        <w:t> </w:t>
      </w:r>
      <w:r>
        <w:rPr/>
        <w:t>of</w:t>
      </w:r>
      <w:r>
        <w:rPr>
          <w:spacing w:val="40"/>
        </w:rPr>
        <w:t> </w:t>
      </w:r>
      <w:r>
        <w:rPr/>
        <w:t>regression</w:t>
      </w:r>
      <w:r>
        <w:rPr>
          <w:spacing w:val="44"/>
        </w:rPr>
        <w:t> </w:t>
      </w:r>
      <w:r>
        <w:rPr/>
        <w:t>parameter</w:t>
      </w:r>
      <w:r>
        <w:rPr>
          <w:spacing w:val="44"/>
        </w:rPr>
        <w:t> </w:t>
      </w:r>
      <w:r>
        <w:rPr>
          <w:spacing w:val="-2"/>
        </w:rPr>
        <w:t>estimates</w:t>
      </w:r>
    </w:p>
    <w:p>
      <w:pPr>
        <w:spacing w:after="0"/>
        <w:jc w:val="left"/>
        <w:sectPr>
          <w:type w:val="continuous"/>
          <w:pgSz w:w="11900" w:h="16840"/>
          <w:pgMar w:header="846" w:footer="819" w:top="1640" w:bottom="1000" w:left="1180" w:right="1180"/>
        </w:sectPr>
      </w:pPr>
    </w:p>
    <w:p>
      <w:pPr>
        <w:pStyle w:val="BodyText"/>
        <w:spacing w:before="98"/>
      </w:pPr>
      <w:r>
        <w:rPr/>
        <w:t>associated</w:t>
      </w:r>
      <w:r>
        <w:rPr>
          <w:spacing w:val="-5"/>
        </w:rPr>
        <w:t> </w:t>
      </w:r>
      <w:r>
        <w:rPr/>
        <w:t>with</w:t>
      </w:r>
      <w:r>
        <w:rPr>
          <w:spacing w:val="-8"/>
        </w:rPr>
        <w:t> </w:t>
      </w:r>
      <w:r>
        <w:rPr/>
        <w:t>alternative</w:t>
      </w:r>
      <w:r>
        <w:rPr>
          <w:spacing w:val="-8"/>
        </w:rPr>
        <w:t> </w:t>
      </w:r>
      <w:r>
        <w:rPr>
          <w:i/>
        </w:rPr>
        <w:t>j</w:t>
      </w:r>
      <w:r>
        <w:rPr>
          <w:spacing w:val="-7"/>
        </w:rPr>
        <w:t> </w:t>
      </w:r>
      <w:r>
        <w:rPr>
          <w:spacing w:val="-10"/>
        </w:rPr>
        <w:t>.</w:t>
      </w:r>
    </w:p>
    <w:p>
      <w:pPr>
        <w:pStyle w:val="BodyText"/>
        <w:spacing w:before="1"/>
        <w:ind w:right="223" w:firstLine="720"/>
      </w:pPr>
      <w:r>
        <w:rPr/>
        <w:t>In the case of this study, farmers have three market outlets to sell most of their sesame produce, </w:t>
      </w:r>
      <w:r>
        <w:rPr>
          <w:i/>
        </w:rPr>
        <w:t>J</w:t>
      </w:r>
      <w:r>
        <w:rPr/>
        <w:t> = 3, and the alternatives </w:t>
      </w:r>
      <w:r>
        <w:rPr>
          <w:i/>
        </w:rPr>
        <w:t>j</w:t>
      </w:r>
      <w:r>
        <w:rPr/>
        <w:t> = 1, 2, 3, represent sale outlets to wholesalers, to cooperatives and to collectors, respectively. The dependent variables (the marketing outlet (CHOICE) chosen) in the analysis are measured by the probability of selling sesames to either of these markets. According to the survey result, three main different marketing outlets were identified. These include sales to wholesalers (3=Wholesaler); sales to collectors (1=Collectors) and sales to retailer (2=cooperatives).</w:t>
      </w:r>
    </w:p>
    <w:p>
      <w:pPr>
        <w:pStyle w:val="BodyText"/>
        <w:ind w:right="226" w:firstLine="720"/>
      </w:pPr>
      <w:r>
        <w:rPr/>
        <w:t>The model predicts the relative probability that a producer would choose one of the three categories based on the nature of the explanatory variables. For this analysis, the market outlet Wholesaler was used as comparison base because this outlet was chosen by the majority of sesame selling farmers in trading their sesames. Econometric analysis of the data was done with Sata 11 software.</w:t>
      </w:r>
    </w:p>
    <w:p>
      <w:pPr>
        <w:pStyle w:val="BodyText"/>
        <w:ind w:right="223" w:firstLine="720"/>
      </w:pPr>
      <w:r>
        <w:rPr/>
        <w:t>It is important to check Multicollinearity</w:t>
      </w:r>
      <w:r>
        <w:rPr>
          <w:spacing w:val="-3"/>
        </w:rPr>
        <w:t> </w:t>
      </w:r>
      <w:r>
        <w:rPr/>
        <w:t>problems before running the model. Multicollinearity</w:t>
      </w:r>
      <w:r>
        <w:rPr>
          <w:spacing w:val="-3"/>
        </w:rPr>
        <w:t> </w:t>
      </w:r>
      <w:r>
        <w:rPr/>
        <w:t>problem arises due to a linear relationship among explanatory variables; and becomes difficult to identify the separate effect of independent variables on the dependent variable because there exists strong relationship among them (Gujarati, 2003). Variance inflation factors (VIF) technique was employed to detect Multicollinearity in explanatory variable. According to Gujarati (2003) VIF (Xj) can be defined as:</w:t>
      </w:r>
    </w:p>
    <w:p>
      <w:pPr>
        <w:spacing w:line="230" w:lineRule="exact" w:before="0"/>
        <w:ind w:left="2863" w:right="0" w:firstLine="0"/>
        <w:jc w:val="left"/>
        <w:rPr>
          <w:rFonts w:ascii="FreeSerif"/>
          <w:sz w:val="23"/>
        </w:rPr>
      </w:pPr>
      <w:r>
        <w:rPr>
          <w:rFonts w:ascii="FreeSerif"/>
          <w:spacing w:val="-10"/>
          <w:w w:val="115"/>
          <w:sz w:val="23"/>
        </w:rPr>
        <w:t>1</w:t>
      </w:r>
    </w:p>
    <w:p>
      <w:pPr>
        <w:tabs>
          <w:tab w:pos="9313" w:val="right" w:leader="dot"/>
        </w:tabs>
        <w:spacing w:line="177" w:lineRule="auto" w:before="0"/>
        <w:ind w:left="1553" w:right="0" w:firstLine="0"/>
        <w:jc w:val="left"/>
        <w:rPr>
          <w:sz w:val="20"/>
        </w:rPr>
      </w:pPr>
      <w:r>
        <w:rPr/>
        <mc:AlternateContent>
          <mc:Choice Requires="wps">
            <w:drawing>
              <wp:anchor distT="0" distB="0" distL="0" distR="0" allowOverlap="1" layoutInCell="1" locked="0" behindDoc="1" simplePos="0" relativeHeight="486322176">
                <wp:simplePos x="0" y="0"/>
                <wp:positionH relativeFrom="page">
                  <wp:posOffset>2395727</wp:posOffset>
                </wp:positionH>
                <wp:positionV relativeFrom="paragraph">
                  <wp:posOffset>33309</wp:posOffset>
                </wp:positionV>
                <wp:extent cx="428625" cy="139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28625" cy="13970"/>
                        </a:xfrm>
                        <a:custGeom>
                          <a:avLst/>
                          <a:gdLst/>
                          <a:ahLst/>
                          <a:cxnLst/>
                          <a:rect l="l" t="t" r="r" b="b"/>
                          <a:pathLst>
                            <a:path w="428625" h="13970">
                              <a:moveTo>
                                <a:pt x="428243" y="0"/>
                              </a:moveTo>
                              <a:lnTo>
                                <a:pt x="0" y="0"/>
                              </a:lnTo>
                              <a:lnTo>
                                <a:pt x="0" y="13715"/>
                              </a:lnTo>
                              <a:lnTo>
                                <a:pt x="428243" y="13715"/>
                              </a:lnTo>
                              <a:lnTo>
                                <a:pt x="428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8.639999pt;margin-top:2.622792pt;width:33.719999pt;height:1.08pt;mso-position-horizontal-relative:page;mso-position-vertical-relative:paragraph;z-index:-16994304"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322688">
                <wp:simplePos x="0" y="0"/>
                <wp:positionH relativeFrom="page">
                  <wp:posOffset>2683728</wp:posOffset>
                </wp:positionH>
                <wp:positionV relativeFrom="paragraph">
                  <wp:posOffset>139897</wp:posOffset>
                </wp:positionV>
                <wp:extent cx="59055" cy="1416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9055" cy="141605"/>
                        </a:xfrm>
                        <a:prstGeom prst="rect">
                          <a:avLst/>
                        </a:prstGeom>
                      </wps:spPr>
                      <wps:txbx>
                        <w:txbxContent>
                          <w:p>
                            <w:pPr>
                              <w:spacing w:line="213" w:lineRule="exact" w:before="9"/>
                              <w:ind w:left="0" w:right="0" w:firstLine="0"/>
                              <w:jc w:val="left"/>
                              <w:rPr>
                                <w:rFonts w:ascii="FreeSerif"/>
                                <w:sz w:val="19"/>
                              </w:rPr>
                            </w:pPr>
                            <w:r>
                              <w:rPr>
                                <w:rFonts w:ascii="FreeSerif"/>
                                <w:spacing w:val="-10"/>
                                <w:w w:val="140"/>
                                <w:sz w:val="19"/>
                              </w:rPr>
                              <w:t>j</w:t>
                            </w:r>
                          </w:p>
                        </w:txbxContent>
                      </wps:txbx>
                      <wps:bodyPr wrap="square" lIns="0" tIns="0" rIns="0" bIns="0" rtlCol="0">
                        <a:noAutofit/>
                      </wps:bodyPr>
                    </wps:wsp>
                  </a:graphicData>
                </a:graphic>
              </wp:anchor>
            </w:drawing>
          </mc:Choice>
          <mc:Fallback>
            <w:pict>
              <v:shape style="position:absolute;margin-left:211.31723pt;margin-top:11.015547pt;width:4.650pt;height:11.15pt;mso-position-horizontal-relative:page;mso-position-vertical-relative:paragraph;z-index:-16993792" type="#_x0000_t202" id="docshape26" filled="false" stroked="false">
                <v:textbox inset="0,0,0,0">
                  <w:txbxContent>
                    <w:p>
                      <w:pPr>
                        <w:spacing w:line="213" w:lineRule="exact" w:before="9"/>
                        <w:ind w:left="0" w:right="0" w:firstLine="0"/>
                        <w:jc w:val="left"/>
                        <w:rPr>
                          <w:rFonts w:ascii="FreeSerif"/>
                          <w:sz w:val="19"/>
                        </w:rPr>
                      </w:pPr>
                      <w:r>
                        <w:rPr>
                          <w:rFonts w:ascii="FreeSerif"/>
                          <w:spacing w:val="-10"/>
                          <w:w w:val="140"/>
                          <w:sz w:val="19"/>
                        </w:rPr>
                        <w:t>j</w:t>
                      </w:r>
                    </w:p>
                  </w:txbxContent>
                </v:textbox>
                <w10:wrap type="none"/>
              </v:shape>
            </w:pict>
          </mc:Fallback>
        </mc:AlternateContent>
      </w:r>
      <w:r>
        <w:rPr>
          <w:sz w:val="20"/>
        </w:rPr>
        <w:t>VIF</w:t>
      </w:r>
      <w:r>
        <w:rPr>
          <w:spacing w:val="7"/>
          <w:sz w:val="20"/>
        </w:rPr>
        <w:t> </w:t>
      </w:r>
      <w:r>
        <w:rPr>
          <w:sz w:val="20"/>
        </w:rPr>
        <w:t>(</w:t>
      </w:r>
      <w:r>
        <w:rPr>
          <w:spacing w:val="30"/>
          <w:sz w:val="20"/>
        </w:rPr>
        <w:t>  </w:t>
      </w:r>
      <w:r>
        <w:rPr>
          <w:sz w:val="20"/>
        </w:rPr>
        <w:t>X</w:t>
      </w:r>
      <w:r>
        <w:rPr>
          <w:sz w:val="20"/>
          <w:vertAlign w:val="subscript"/>
        </w:rPr>
        <w:t>i</w:t>
      </w:r>
      <w:r>
        <w:rPr>
          <w:sz w:val="20"/>
          <w:vertAlign w:val="baseline"/>
        </w:rPr>
        <w:t>)</w:t>
      </w:r>
      <w:r>
        <w:rPr>
          <w:spacing w:val="10"/>
          <w:sz w:val="20"/>
          <w:vertAlign w:val="baseline"/>
        </w:rPr>
        <w:t> </w:t>
      </w:r>
      <w:r>
        <w:rPr>
          <w:sz w:val="20"/>
          <w:vertAlign w:val="baseline"/>
        </w:rPr>
        <w:t>=</w:t>
      </w:r>
      <w:r>
        <w:rPr>
          <w:spacing w:val="7"/>
          <w:sz w:val="20"/>
          <w:vertAlign w:val="baseline"/>
        </w:rPr>
        <w:t> </w:t>
      </w:r>
      <w:r>
        <w:rPr>
          <w:rFonts w:ascii="FreeSerif" w:hAnsi="FreeSerif" w:eastAsia="FreeSerif"/>
          <w:position w:val="-15"/>
          <w:sz w:val="23"/>
          <w:vertAlign w:val="baseline"/>
        </w:rPr>
        <w:t>1−𝑅</w:t>
      </w:r>
      <w:r>
        <w:rPr>
          <w:spacing w:val="45"/>
          <w:position w:val="-15"/>
          <w:sz w:val="23"/>
          <w:vertAlign w:val="baseline"/>
        </w:rPr>
        <w:t> </w:t>
      </w:r>
      <w:r>
        <w:rPr>
          <w:rFonts w:ascii="FreeSerif" w:hAnsi="FreeSerif" w:eastAsia="FreeSerif"/>
          <w:spacing w:val="-10"/>
          <w:position w:val="-18"/>
          <w:sz w:val="19"/>
          <w:vertAlign w:val="baseline"/>
        </w:rPr>
        <w:t>2</w:t>
      </w:r>
      <w:r>
        <w:rPr>
          <w:position w:val="-18"/>
          <w:sz w:val="19"/>
          <w:vertAlign w:val="baseline"/>
        </w:rPr>
        <w:tab/>
      </w:r>
      <w:r>
        <w:rPr>
          <w:spacing w:val="-5"/>
          <w:sz w:val="20"/>
          <w:vertAlign w:val="baseline"/>
        </w:rPr>
        <w:t>17</w:t>
      </w:r>
    </w:p>
    <w:p>
      <w:pPr>
        <w:pStyle w:val="BodyText"/>
        <w:spacing w:before="75"/>
        <w:ind w:right="224"/>
      </w:pPr>
      <w:r>
        <w:rPr/>
        <w:t>Where, Rj is</w:t>
      </w:r>
      <w:r>
        <w:rPr>
          <w:spacing w:val="-1"/>
        </w:rPr>
        <w:t> </w:t>
      </w:r>
      <w:r>
        <w:rPr/>
        <w:t>the multiple correlation</w:t>
      </w:r>
      <w:r>
        <w:rPr>
          <w:spacing w:val="-2"/>
        </w:rPr>
        <w:t> </w:t>
      </w:r>
      <w:r>
        <w:rPr/>
        <w:t>coefficients</w:t>
      </w:r>
      <w:r>
        <w:rPr>
          <w:spacing w:val="-1"/>
        </w:rPr>
        <w:t> </w:t>
      </w:r>
      <w:r>
        <w:rPr/>
        <w:t>between</w:t>
      </w:r>
      <w:r>
        <w:rPr>
          <w:spacing w:val="-2"/>
        </w:rPr>
        <w:t> </w:t>
      </w:r>
      <w:r>
        <w:rPr/>
        <w:t>Xj and</w:t>
      </w:r>
      <w:r>
        <w:rPr>
          <w:spacing w:val="-2"/>
        </w:rPr>
        <w:t> </w:t>
      </w:r>
      <w:r>
        <w:rPr/>
        <w:t>other explanatory</w:t>
      </w:r>
      <w:r>
        <w:rPr>
          <w:spacing w:val="-4"/>
        </w:rPr>
        <w:t> </w:t>
      </w:r>
      <w:r>
        <w:rPr/>
        <w:t>variables. If</w:t>
      </w:r>
      <w:r>
        <w:rPr>
          <w:spacing w:val="-2"/>
        </w:rPr>
        <w:t> </w:t>
      </w:r>
      <w:r>
        <w:rPr/>
        <w:t>the value of</w:t>
      </w:r>
      <w:r>
        <w:rPr>
          <w:spacing w:val="-2"/>
        </w:rPr>
        <w:t> </w:t>
      </w:r>
      <w:r>
        <w:rPr/>
        <w:t>VIF is 10 and above, the variables are said to be collinear.</w:t>
      </w:r>
    </w:p>
    <w:p>
      <w:pPr>
        <w:pStyle w:val="BodyText"/>
        <w:ind w:right="226" w:firstLine="720"/>
      </w:pPr>
      <w:r>
        <w:rPr/>
        <w:t>MNL model were applicable only if the conditions of Independent Irrelevant Alternative assumption is fulfilled (Green, 2003). IIA</w:t>
      </w:r>
      <w:r>
        <w:rPr>
          <w:spacing w:val="-9"/>
        </w:rPr>
        <w:t> </w:t>
      </w:r>
      <w:r>
        <w:rPr/>
        <w:t>implies that the decision between two alternatives is independent from the existence of more alternatives. The validity of IIA</w:t>
      </w:r>
      <w:r>
        <w:rPr>
          <w:spacing w:val="-10"/>
        </w:rPr>
        <w:t> </w:t>
      </w:r>
      <w:r>
        <w:rPr/>
        <w:t>assumption was tested using Haussmann’s specification test. Following (Green, 2003) the statistics is given as:</w:t>
      </w:r>
    </w:p>
    <w:p>
      <w:pPr>
        <w:spacing w:after="0"/>
        <w:sectPr>
          <w:pgSz w:w="11900" w:h="16840"/>
          <w:pgMar w:header="846" w:footer="819" w:top="1640" w:bottom="1000" w:left="1180" w:right="1180"/>
        </w:sectPr>
      </w:pPr>
    </w:p>
    <w:p>
      <w:pPr>
        <w:pStyle w:val="Heading1"/>
        <w:spacing w:line="152" w:lineRule="exact" w:before="50"/>
        <w:ind w:left="504"/>
      </w:pPr>
      <w:r>
        <w:rPr>
          <w:w w:val="115"/>
        </w:rPr>
        <w:t>X</w:t>
      </w:r>
      <w:r>
        <w:rPr>
          <w:w w:val="115"/>
          <w:vertAlign w:val="superscript"/>
        </w:rPr>
        <w:t>2</w:t>
      </w:r>
      <w:r>
        <w:rPr>
          <w:rFonts w:ascii="Times New Roman" w:hAnsi="Times New Roman"/>
          <w:w w:val="115"/>
          <w:vertAlign w:val="baseline"/>
        </w:rPr>
        <w:t> </w:t>
      </w:r>
      <w:r>
        <w:rPr>
          <w:w w:val="115"/>
          <w:vertAlign w:val="baseline"/>
        </w:rPr>
        <w:t>=</w:t>
      </w:r>
      <w:r>
        <w:rPr>
          <w:rFonts w:ascii="Times New Roman" w:hAnsi="Times New Roman"/>
          <w:spacing w:val="-9"/>
          <w:w w:val="115"/>
          <w:vertAlign w:val="baseline"/>
        </w:rPr>
        <w:t> </w:t>
      </w:r>
      <w:r>
        <w:rPr>
          <w:spacing w:val="-9"/>
          <w:w w:val="140"/>
          <w:vertAlign w:val="baseline"/>
        </w:rPr>
        <w:t>(</w:t>
      </w:r>
      <w:r>
        <w:rPr>
          <w:spacing w:val="-123"/>
          <w:w w:val="111"/>
          <w:vertAlign w:val="baseline"/>
        </w:rPr>
        <w:t>β</w:t>
      </w:r>
      <w:r>
        <w:rPr>
          <w:spacing w:val="-9"/>
          <w:w w:val="92"/>
          <w:position w:val="5"/>
          <w:vertAlign w:val="baseline"/>
        </w:rPr>
        <w:t>^</w:t>
      </w:r>
    </w:p>
    <w:p>
      <w:pPr>
        <w:pStyle w:val="Heading1"/>
        <w:tabs>
          <w:tab w:pos="7978" w:val="right" w:leader="dot"/>
        </w:tabs>
        <w:spacing w:line="203" w:lineRule="exact" w:before="0"/>
        <w:ind w:left="124"/>
        <w:rPr>
          <w:rFonts w:ascii="Times New Roman" w:hAnsi="Times New Roman"/>
          <w:sz w:val="20"/>
        </w:rPr>
      </w:pPr>
      <w:r>
        <w:rPr/>
        <w:br w:type="column"/>
      </w:r>
      <w:r>
        <w:rPr>
          <w:spacing w:val="-10"/>
          <w:w w:val="110"/>
        </w:rPr>
        <w:t>−</w:t>
      </w:r>
      <w:r>
        <w:rPr>
          <w:rFonts w:ascii="Times New Roman" w:hAnsi="Times New Roman"/>
          <w:spacing w:val="-13"/>
          <w:w w:val="110"/>
        </w:rPr>
        <w:t> </w:t>
      </w:r>
      <w:r>
        <w:rPr>
          <w:spacing w:val="-114"/>
          <w:w w:val="119"/>
        </w:rPr>
        <w:t>β</w:t>
      </w:r>
      <w:r>
        <w:rPr>
          <w:position w:val="5"/>
        </w:rPr>
        <w:t>^</w:t>
      </w:r>
      <w:r>
        <w:rPr>
          <w:rFonts w:ascii="Times New Roman" w:hAnsi="Times New Roman"/>
          <w:spacing w:val="21"/>
          <w:w w:val="109"/>
          <w:position w:val="5"/>
        </w:rPr>
        <w:t> </w:t>
      </w:r>
      <w:r>
        <w:rPr>
          <w:spacing w:val="16"/>
          <w:w w:val="135"/>
        </w:rPr>
        <w:t>)</w:t>
      </w:r>
      <w:r>
        <w:rPr>
          <w:rFonts w:ascii="Times New Roman" w:hAnsi="Times New Roman"/>
          <w:spacing w:val="24"/>
          <w:w w:val="101"/>
          <w:position w:val="16"/>
          <w:sz w:val="17"/>
        </w:rPr>
        <w:t>′</w:t>
      </w:r>
      <w:r>
        <w:rPr>
          <w:spacing w:val="17"/>
          <w:w w:val="107"/>
        </w:rPr>
        <w:t>[</w:t>
      </w:r>
      <w:r>
        <w:rPr>
          <w:spacing w:val="-124"/>
          <w:w w:val="87"/>
        </w:rPr>
        <w:t>V</w:t>
      </w:r>
      <w:r>
        <w:rPr>
          <w:spacing w:val="16"/>
          <w:w w:val="119"/>
          <w:position w:val="5"/>
        </w:rPr>
        <w:t>^</w:t>
      </w:r>
      <w:r>
        <w:rPr>
          <w:rFonts w:ascii="Times New Roman" w:hAnsi="Times New Roman"/>
          <w:spacing w:val="19"/>
          <w:w w:val="110"/>
          <w:position w:val="5"/>
        </w:rPr>
        <w:t> </w:t>
      </w:r>
      <w:r>
        <w:rPr>
          <w:spacing w:val="-10"/>
          <w:w w:val="110"/>
        </w:rPr>
        <w:t>−</w:t>
      </w:r>
      <w:r>
        <w:rPr>
          <w:rFonts w:ascii="Times New Roman" w:hAnsi="Times New Roman"/>
          <w:spacing w:val="-13"/>
          <w:w w:val="110"/>
        </w:rPr>
        <w:t> </w:t>
      </w:r>
      <w:r>
        <w:rPr>
          <w:spacing w:val="-140"/>
          <w:w w:val="94"/>
        </w:rPr>
        <w:t>V</w:t>
      </w:r>
      <w:r>
        <w:rPr>
          <w:w w:val="126"/>
          <w:position w:val="5"/>
        </w:rPr>
        <w:t>^</w:t>
      </w:r>
      <w:r>
        <w:rPr>
          <w:rFonts w:ascii="Times New Roman" w:hAnsi="Times New Roman"/>
          <w:spacing w:val="-4"/>
          <w:position w:val="5"/>
        </w:rPr>
        <w:t> </w:t>
      </w:r>
      <w:r>
        <w:rPr>
          <w:spacing w:val="8"/>
          <w:w w:val="105"/>
        </w:rPr>
        <w:t>]</w:t>
      </w:r>
      <w:r>
        <w:rPr>
          <w:spacing w:val="7"/>
          <w:w w:val="128"/>
          <w:position w:val="16"/>
          <w:sz w:val="17"/>
        </w:rPr>
        <w:t>−</w:t>
      </w:r>
      <w:r>
        <w:rPr>
          <w:spacing w:val="16"/>
          <w:w w:val="114"/>
          <w:position w:val="16"/>
          <w:sz w:val="17"/>
        </w:rPr>
        <w:t>1</w:t>
      </w:r>
      <w:r>
        <w:rPr>
          <w:spacing w:val="8"/>
          <w:w w:val="123"/>
        </w:rPr>
        <w:t>(</w:t>
      </w:r>
      <w:r>
        <w:rPr>
          <w:spacing w:val="-110"/>
          <w:w w:val="104"/>
        </w:rPr>
        <w:t>β</w:t>
      </w:r>
      <w:r>
        <w:rPr>
          <w:spacing w:val="7"/>
          <w:w w:val="85"/>
          <w:position w:val="5"/>
        </w:rPr>
        <w:t>^</w:t>
      </w:r>
      <w:r>
        <w:rPr>
          <w:rFonts w:ascii="Times New Roman" w:hAnsi="Times New Roman"/>
          <w:spacing w:val="49"/>
          <w:w w:val="110"/>
          <w:position w:val="5"/>
        </w:rPr>
        <w:t> </w:t>
      </w:r>
      <w:r>
        <w:rPr>
          <w:spacing w:val="-10"/>
          <w:w w:val="110"/>
        </w:rPr>
        <w:t>−</w:t>
      </w:r>
      <w:r>
        <w:rPr>
          <w:rFonts w:ascii="Times New Roman" w:hAnsi="Times New Roman"/>
          <w:spacing w:val="-13"/>
          <w:w w:val="110"/>
        </w:rPr>
        <w:t> </w:t>
      </w:r>
      <w:r>
        <w:rPr>
          <w:spacing w:val="-114"/>
          <w:w w:val="119"/>
        </w:rPr>
        <w:t>β</w:t>
      </w:r>
      <w:r>
        <w:rPr>
          <w:position w:val="5"/>
        </w:rPr>
        <w:t>^</w:t>
      </w:r>
      <w:r>
        <w:rPr>
          <w:rFonts w:ascii="Times New Roman" w:hAnsi="Times New Roman"/>
          <w:spacing w:val="21"/>
          <w:w w:val="110"/>
          <w:position w:val="5"/>
        </w:rPr>
        <w:t> </w:t>
      </w:r>
      <w:r>
        <w:rPr>
          <w:spacing w:val="-10"/>
          <w:w w:val="110"/>
        </w:rPr>
        <w:t>)</w:t>
      </w:r>
      <w:r>
        <w:rPr>
          <w:rFonts w:ascii="Times New Roman" w:hAnsi="Times New Roman"/>
        </w:rPr>
        <w:tab/>
      </w:r>
      <w:r>
        <w:rPr>
          <w:rFonts w:ascii="Times New Roman" w:hAnsi="Times New Roman"/>
          <w:spacing w:val="-5"/>
          <w:w w:val="115"/>
          <w:sz w:val="20"/>
        </w:rPr>
        <w:t>18</w:t>
      </w:r>
    </w:p>
    <w:p>
      <w:pPr>
        <w:spacing w:after="0" w:line="203" w:lineRule="exact"/>
        <w:rPr>
          <w:rFonts w:ascii="Times New Roman" w:hAnsi="Times New Roman"/>
          <w:sz w:val="20"/>
        </w:rPr>
        <w:sectPr>
          <w:type w:val="continuous"/>
          <w:pgSz w:w="11900" w:h="16840"/>
          <w:pgMar w:header="846" w:footer="819" w:top="1640" w:bottom="1000" w:left="1180" w:right="1180"/>
          <w:cols w:num="2" w:equalWidth="0">
            <w:col w:w="1296" w:space="40"/>
            <w:col w:w="8204"/>
          </w:cols>
        </w:sectPr>
      </w:pPr>
    </w:p>
    <w:p>
      <w:pPr>
        <w:tabs>
          <w:tab w:pos="1827" w:val="left" w:leader="none"/>
          <w:tab w:pos="2259" w:val="left" w:leader="none"/>
          <w:tab w:pos="2763" w:val="left" w:leader="none"/>
          <w:tab w:pos="3384" w:val="left" w:leader="none"/>
          <w:tab w:pos="3895" w:val="left" w:leader="none"/>
        </w:tabs>
        <w:spacing w:line="187" w:lineRule="exact" w:before="9"/>
        <w:ind w:left="1313" w:right="0" w:firstLine="0"/>
        <w:jc w:val="left"/>
        <w:rPr>
          <w:rFonts w:ascii="FreeSerif"/>
          <w:sz w:val="17"/>
        </w:rPr>
      </w:pPr>
      <w:r>
        <w:rPr>
          <w:rFonts w:ascii="FreeSerif"/>
          <w:spacing w:val="-10"/>
          <w:w w:val="115"/>
          <w:sz w:val="17"/>
        </w:rPr>
        <w:t>s</w:t>
      </w:r>
      <w:r>
        <w:rPr>
          <w:sz w:val="17"/>
        </w:rPr>
        <w:tab/>
      </w:r>
      <w:r>
        <w:rPr>
          <w:rFonts w:ascii="FreeSerif"/>
          <w:spacing w:val="-10"/>
          <w:w w:val="115"/>
          <w:sz w:val="17"/>
        </w:rPr>
        <w:t>f</w:t>
      </w:r>
      <w:r>
        <w:rPr>
          <w:sz w:val="17"/>
        </w:rPr>
        <w:tab/>
      </w:r>
      <w:r>
        <w:rPr>
          <w:rFonts w:ascii="FreeSerif"/>
          <w:spacing w:val="-12"/>
          <w:w w:val="115"/>
          <w:sz w:val="17"/>
        </w:rPr>
        <w:t>s</w:t>
      </w:r>
      <w:r>
        <w:rPr>
          <w:sz w:val="17"/>
        </w:rPr>
        <w:tab/>
      </w:r>
      <w:r>
        <w:rPr>
          <w:rFonts w:ascii="FreeSerif"/>
          <w:spacing w:val="-10"/>
          <w:w w:val="115"/>
          <w:sz w:val="17"/>
        </w:rPr>
        <w:t>f</w:t>
      </w:r>
      <w:r>
        <w:rPr>
          <w:sz w:val="17"/>
        </w:rPr>
        <w:tab/>
      </w:r>
      <w:r>
        <w:rPr>
          <w:rFonts w:ascii="FreeSerif"/>
          <w:spacing w:val="-10"/>
          <w:w w:val="115"/>
          <w:sz w:val="17"/>
        </w:rPr>
        <w:t>s</w:t>
      </w:r>
      <w:r>
        <w:rPr>
          <w:sz w:val="17"/>
        </w:rPr>
        <w:tab/>
      </w:r>
      <w:r>
        <w:rPr>
          <w:rFonts w:ascii="FreeSerif"/>
          <w:spacing w:val="-10"/>
          <w:w w:val="115"/>
          <w:sz w:val="17"/>
        </w:rPr>
        <w:t>f</w:t>
      </w:r>
    </w:p>
    <w:p>
      <w:pPr>
        <w:pStyle w:val="BodyText"/>
        <w:ind w:right="225"/>
      </w:pPr>
      <w:r>
        <w:rPr/>
        <w:t>Where, s indicates estimators based on the restricted (constrained) subsets, f indicates estimators based on the</w:t>
      </w:r>
      <w:r>
        <w:rPr>
          <w:spacing w:val="40"/>
        </w:rPr>
        <w:t> </w:t>
      </w:r>
      <w:r>
        <w:rPr/>
        <w:t>full set of choices (Unconstrained). Therefore, B</w:t>
      </w:r>
      <w:r>
        <w:rPr>
          <w:vertAlign w:val="subscript"/>
        </w:rPr>
        <w:t>s</w:t>
      </w:r>
      <w:r>
        <w:rPr>
          <w:vertAlign w:val="baseline"/>
        </w:rPr>
        <w:t> and B</w:t>
      </w:r>
      <w:r>
        <w:rPr>
          <w:vertAlign w:val="subscript"/>
        </w:rPr>
        <w:t>f</w:t>
      </w:r>
      <w:r>
        <w:rPr>
          <w:vertAlign w:val="baseline"/>
        </w:rPr>
        <w:t> are the respective coefficients, and V</w:t>
      </w:r>
      <w:r>
        <w:rPr>
          <w:vertAlign w:val="subscript"/>
        </w:rPr>
        <w:t>s</w:t>
      </w:r>
      <w:r>
        <w:rPr>
          <w:spacing w:val="-9"/>
          <w:vertAlign w:val="baseline"/>
        </w:rPr>
        <w:t> </w:t>
      </w:r>
      <w:r>
        <w:rPr>
          <w:vertAlign w:val="baseline"/>
        </w:rPr>
        <w:t>and V</w:t>
      </w:r>
      <w:r>
        <w:rPr>
          <w:vertAlign w:val="subscript"/>
        </w:rPr>
        <w:t>f</w:t>
      </w:r>
      <w:r>
        <w:rPr>
          <w:vertAlign w:val="baseline"/>
        </w:rPr>
        <w:t> are the respective estimated covariance matrices. If it the out let is greater than two, it will be analyzed according to the assumption 10 described above.</w:t>
      </w:r>
    </w:p>
    <w:p>
      <w:pPr>
        <w:pStyle w:val="Heading3"/>
        <w:spacing w:line="228" w:lineRule="exact" w:before="225"/>
      </w:pPr>
      <w:r>
        <w:rPr/>
        <w:t>Hypothesis,</w:t>
      </w:r>
      <w:r>
        <w:rPr>
          <w:b w:val="0"/>
          <w:spacing w:val="-7"/>
        </w:rPr>
        <w:t> </w:t>
      </w:r>
      <w:r>
        <w:rPr/>
        <w:t>Variable</w:t>
      </w:r>
      <w:r>
        <w:rPr>
          <w:b w:val="0"/>
          <w:spacing w:val="-8"/>
        </w:rPr>
        <w:t> </w:t>
      </w:r>
      <w:r>
        <w:rPr/>
        <w:t>Selection</w:t>
      </w:r>
      <w:r>
        <w:rPr>
          <w:b w:val="0"/>
          <w:spacing w:val="-7"/>
        </w:rPr>
        <w:t> </w:t>
      </w:r>
      <w:r>
        <w:rPr/>
        <w:t>and</w:t>
      </w:r>
      <w:r>
        <w:rPr>
          <w:b w:val="0"/>
          <w:spacing w:val="-8"/>
        </w:rPr>
        <w:t> </w:t>
      </w:r>
      <w:r>
        <w:rPr>
          <w:spacing w:val="-2"/>
        </w:rPr>
        <w:t>Definition</w:t>
      </w:r>
    </w:p>
    <w:p>
      <w:pPr>
        <w:pStyle w:val="BodyText"/>
        <w:ind w:right="226"/>
      </w:pPr>
      <w:r>
        <w:rPr/>
        <w:t>In this study</w:t>
      </w:r>
      <w:r>
        <w:rPr>
          <w:spacing w:val="-2"/>
        </w:rPr>
        <w:t> </w:t>
      </w:r>
      <w:r>
        <w:rPr/>
        <w:t>factors influencing sesame supply</w:t>
      </w:r>
      <w:r>
        <w:rPr>
          <w:spacing w:val="-2"/>
        </w:rPr>
        <w:t> </w:t>
      </w:r>
      <w:r>
        <w:rPr/>
        <w:t>to the market and market channel choice decisions, the main task is exploring which factors potentially influence and how (the direction of the relationship) these factors are related with the dependent variables.</w:t>
      </w:r>
    </w:p>
    <w:p>
      <w:pPr>
        <w:pStyle w:val="BodyText"/>
        <w:spacing w:before="2"/>
        <w:ind w:left="0"/>
        <w:jc w:val="left"/>
      </w:pPr>
    </w:p>
    <w:p>
      <w:pPr>
        <w:pStyle w:val="Heading3"/>
        <w:spacing w:line="228" w:lineRule="exact"/>
      </w:pPr>
      <w:r>
        <w:rPr/>
        <w:t>Dependent</w:t>
      </w:r>
      <w:r>
        <w:rPr>
          <w:b w:val="0"/>
          <w:spacing w:val="-11"/>
        </w:rPr>
        <w:t> </w:t>
      </w:r>
      <w:r>
        <w:rPr>
          <w:spacing w:val="-2"/>
        </w:rPr>
        <w:t>variables</w:t>
      </w:r>
    </w:p>
    <w:p>
      <w:pPr>
        <w:pStyle w:val="BodyText"/>
        <w:ind w:right="227"/>
      </w:pPr>
      <w:r>
        <w:rPr>
          <w:b/>
        </w:rPr>
        <w:t>Marketing</w:t>
      </w:r>
      <w:r>
        <w:rPr/>
        <w:t> </w:t>
      </w:r>
      <w:r>
        <w:rPr>
          <w:b/>
        </w:rPr>
        <w:t>Outlet</w:t>
      </w:r>
      <w:r>
        <w:rPr/>
        <w:t> </w:t>
      </w:r>
      <w:r>
        <w:rPr>
          <w:b/>
        </w:rPr>
        <w:t>(MktO):</w:t>
      </w:r>
      <w:r>
        <w:rPr/>
        <w:t> In the analysis it is measured by the probability of selling sesame to either of the markets.</w:t>
      </w:r>
      <w:r>
        <w:rPr>
          <w:spacing w:val="-1"/>
        </w:rPr>
        <w:t> </w:t>
      </w:r>
      <w:r>
        <w:rPr/>
        <w:t>The</w:t>
      </w:r>
      <w:r>
        <w:rPr>
          <w:spacing w:val="-1"/>
        </w:rPr>
        <w:t> </w:t>
      </w:r>
      <w:r>
        <w:rPr/>
        <w:t>outlet</w:t>
      </w:r>
      <w:r>
        <w:rPr>
          <w:spacing w:val="-2"/>
        </w:rPr>
        <w:t> </w:t>
      </w:r>
      <w:r>
        <w:rPr/>
        <w:t>choices might</w:t>
      </w:r>
      <w:r>
        <w:rPr>
          <w:spacing w:val="-2"/>
        </w:rPr>
        <w:t> </w:t>
      </w:r>
      <w:r>
        <w:rPr/>
        <w:t>be</w:t>
      </w:r>
      <w:r>
        <w:rPr>
          <w:spacing w:val="-1"/>
        </w:rPr>
        <w:t> </w:t>
      </w:r>
      <w:r>
        <w:rPr/>
        <w:t>along</w:t>
      </w:r>
      <w:r>
        <w:rPr>
          <w:spacing w:val="-2"/>
        </w:rPr>
        <w:t> </w:t>
      </w:r>
      <w:r>
        <w:rPr/>
        <w:t>farmer’s</w:t>
      </w:r>
      <w:r>
        <w:rPr>
          <w:spacing w:val="-2"/>
        </w:rPr>
        <w:t> </w:t>
      </w:r>
      <w:r>
        <w:rPr/>
        <w:t>decision</w:t>
      </w:r>
      <w:r>
        <w:rPr>
          <w:spacing w:val="-2"/>
        </w:rPr>
        <w:t> </w:t>
      </w:r>
      <w:r>
        <w:rPr/>
        <w:t>involving</w:t>
      </w:r>
      <w:r>
        <w:rPr>
          <w:spacing w:val="-2"/>
        </w:rPr>
        <w:t> </w:t>
      </w:r>
      <w:r>
        <w:rPr/>
        <w:t>greater</w:t>
      </w:r>
      <w:r>
        <w:rPr>
          <w:spacing w:val="-1"/>
        </w:rPr>
        <w:t> </w:t>
      </w:r>
      <w:r>
        <w:rPr/>
        <w:t>than</w:t>
      </w:r>
      <w:r>
        <w:rPr>
          <w:spacing w:val="-2"/>
        </w:rPr>
        <w:t> </w:t>
      </w:r>
      <w:r>
        <w:rPr/>
        <w:t>two alternative markets.</w:t>
      </w:r>
      <w:r>
        <w:rPr>
          <w:spacing w:val="-1"/>
        </w:rPr>
        <w:t> </w:t>
      </w:r>
      <w:r>
        <w:rPr/>
        <w:t>It</w:t>
      </w:r>
      <w:r>
        <w:rPr>
          <w:spacing w:val="-2"/>
        </w:rPr>
        <w:t> </w:t>
      </w:r>
      <w:r>
        <w:rPr/>
        <w:t>is represented in the model as Y</w:t>
      </w:r>
      <w:r>
        <w:rPr>
          <w:vertAlign w:val="subscript"/>
        </w:rPr>
        <w:t>1</w:t>
      </w:r>
      <w:r>
        <w:rPr>
          <w:vertAlign w:val="baseline"/>
        </w:rPr>
        <w:t> for household who choose to sell sesames mainly to wholesalers, Y</w:t>
      </w:r>
      <w:r>
        <w:rPr>
          <w:vertAlign w:val="subscript"/>
        </w:rPr>
        <w:t>2</w:t>
      </w:r>
      <w:r>
        <w:rPr>
          <w:vertAlign w:val="baseline"/>
        </w:rPr>
        <w:t> for</w:t>
      </w:r>
      <w:r>
        <w:rPr>
          <w:spacing w:val="40"/>
          <w:vertAlign w:val="baseline"/>
        </w:rPr>
        <w:t> </w:t>
      </w:r>
      <w:r>
        <w:rPr>
          <w:vertAlign w:val="baseline"/>
        </w:rPr>
        <w:t>producers that mainly sell their sesame to cooperatives and Y</w:t>
      </w:r>
      <w:r>
        <w:rPr>
          <w:vertAlign w:val="subscript"/>
        </w:rPr>
        <w:t>2</w:t>
      </w:r>
      <w:r>
        <w:rPr>
          <w:vertAlign w:val="baseline"/>
        </w:rPr>
        <w:t> for producers who mainly sell sesame for </w:t>
      </w:r>
      <w:r>
        <w:rPr>
          <w:spacing w:val="-2"/>
          <w:vertAlign w:val="baseline"/>
        </w:rPr>
        <w:t>collectors.</w:t>
      </w:r>
    </w:p>
    <w:p>
      <w:pPr>
        <w:pStyle w:val="BodyText"/>
        <w:spacing w:before="2"/>
        <w:ind w:left="0"/>
        <w:jc w:val="left"/>
      </w:pPr>
    </w:p>
    <w:p>
      <w:pPr>
        <w:pStyle w:val="Heading2"/>
        <w:spacing w:line="227" w:lineRule="exact"/>
        <w:jc w:val="both"/>
      </w:pPr>
      <w:r>
        <w:rPr/>
        <w:t>RESULTS</w:t>
      </w:r>
      <w:r>
        <w:rPr>
          <w:b w:val="0"/>
          <w:spacing w:val="-7"/>
        </w:rPr>
        <w:t> </w:t>
      </w:r>
      <w:r>
        <w:rPr/>
        <w:t>AND</w:t>
      </w:r>
      <w:r>
        <w:rPr>
          <w:b w:val="0"/>
          <w:spacing w:val="-7"/>
        </w:rPr>
        <w:t> </w:t>
      </w:r>
      <w:r>
        <w:rPr>
          <w:spacing w:val="-2"/>
        </w:rPr>
        <w:t>DISCUSSIONS</w:t>
      </w:r>
    </w:p>
    <w:p>
      <w:pPr>
        <w:pStyle w:val="BodyText"/>
        <w:ind w:right="226"/>
      </w:pPr>
      <w:r>
        <w:rPr/>
        <w:t>This chapter presents the major findings of the study. The first section deals with descriptive and inferential statistics of the sample households. The second section presents marketing channel and performance analysis which includes marketing channels, marketing costs and margins, and benefit shares of agents. The third section presents</w:t>
      </w:r>
      <w:r>
        <w:rPr>
          <w:spacing w:val="-3"/>
        </w:rPr>
        <w:t> </w:t>
      </w:r>
      <w:r>
        <w:rPr/>
        <w:t>results</w:t>
      </w:r>
      <w:r>
        <w:rPr>
          <w:spacing w:val="-3"/>
        </w:rPr>
        <w:t> </w:t>
      </w:r>
      <w:r>
        <w:rPr/>
        <w:t>of</w:t>
      </w:r>
      <w:r>
        <w:rPr>
          <w:spacing w:val="-4"/>
        </w:rPr>
        <w:t> </w:t>
      </w:r>
      <w:r>
        <w:rPr/>
        <w:t>econometric</w:t>
      </w:r>
      <w:r>
        <w:rPr>
          <w:spacing w:val="-2"/>
        </w:rPr>
        <w:t> </w:t>
      </w:r>
      <w:r>
        <w:rPr/>
        <w:t>analysis</w:t>
      </w:r>
      <w:r>
        <w:rPr>
          <w:spacing w:val="-3"/>
        </w:rPr>
        <w:t> </w:t>
      </w:r>
      <w:r>
        <w:rPr/>
        <w:t>determinants</w:t>
      </w:r>
      <w:r>
        <w:rPr>
          <w:spacing w:val="-3"/>
        </w:rPr>
        <w:t> </w:t>
      </w:r>
      <w:r>
        <w:rPr/>
        <w:t>of</w:t>
      </w:r>
      <w:r>
        <w:rPr>
          <w:spacing w:val="-4"/>
        </w:rPr>
        <w:t> </w:t>
      </w:r>
      <w:r>
        <w:rPr/>
        <w:t>outlet</w:t>
      </w:r>
      <w:r>
        <w:rPr>
          <w:spacing w:val="-2"/>
        </w:rPr>
        <w:t> </w:t>
      </w:r>
      <w:r>
        <w:rPr/>
        <w:t>choice</w:t>
      </w:r>
      <w:r>
        <w:rPr>
          <w:spacing w:val="-2"/>
        </w:rPr>
        <w:t> </w:t>
      </w:r>
      <w:r>
        <w:rPr/>
        <w:t>of</w:t>
      </w:r>
      <w:r>
        <w:rPr>
          <w:spacing w:val="-1"/>
        </w:rPr>
        <w:t> </w:t>
      </w:r>
      <w:r>
        <w:rPr/>
        <w:t>sesame</w:t>
      </w:r>
      <w:r>
        <w:rPr>
          <w:spacing w:val="-2"/>
        </w:rPr>
        <w:t> </w:t>
      </w:r>
      <w:r>
        <w:rPr/>
        <w:t>producers</w:t>
      </w:r>
      <w:r>
        <w:rPr>
          <w:spacing w:val="-3"/>
        </w:rPr>
        <w:t> </w:t>
      </w:r>
      <w:r>
        <w:rPr/>
        <w:t>by</w:t>
      </w:r>
      <w:r>
        <w:rPr>
          <w:spacing w:val="-3"/>
        </w:rPr>
        <w:t> </w:t>
      </w:r>
      <w:r>
        <w:rPr/>
        <w:t>using</w:t>
      </w:r>
      <w:r>
        <w:rPr>
          <w:spacing w:val="-3"/>
        </w:rPr>
        <w:t> </w:t>
      </w:r>
      <w:r>
        <w:rPr/>
        <w:t>MNL</w:t>
      </w:r>
      <w:r>
        <w:rPr>
          <w:spacing w:val="-1"/>
        </w:rPr>
        <w:t> </w:t>
      </w:r>
      <w:r>
        <w:rPr/>
        <w:t>model. The fifth section deals with the constraints and opportunities of sesame marketing in the study</w:t>
      </w:r>
      <w:r>
        <w:rPr>
          <w:spacing w:val="-1"/>
        </w:rPr>
        <w:t> </w:t>
      </w:r>
      <w:r>
        <w:rPr/>
        <w:t>area. Totally, 127 household heads were</w:t>
      </w:r>
      <w:r>
        <w:rPr>
          <w:spacing w:val="-1"/>
        </w:rPr>
        <w:t> </w:t>
      </w:r>
      <w:r>
        <w:rPr/>
        <w:t>considered in</w:t>
      </w:r>
      <w:r>
        <w:rPr>
          <w:spacing w:val="-3"/>
        </w:rPr>
        <w:t> </w:t>
      </w:r>
      <w:r>
        <w:rPr/>
        <w:t>this</w:t>
      </w:r>
      <w:r>
        <w:rPr>
          <w:spacing w:val="-2"/>
        </w:rPr>
        <w:t> </w:t>
      </w:r>
      <w:r>
        <w:rPr/>
        <w:t>study.</w:t>
      </w:r>
      <w:r>
        <w:rPr>
          <w:spacing w:val="-1"/>
        </w:rPr>
        <w:t> </w:t>
      </w:r>
      <w:r>
        <w:rPr/>
        <w:t>Out</w:t>
      </w:r>
      <w:r>
        <w:rPr>
          <w:spacing w:val="-2"/>
        </w:rPr>
        <w:t> </w:t>
      </w:r>
      <w:r>
        <w:rPr/>
        <w:t>of</w:t>
      </w:r>
      <w:r>
        <w:rPr>
          <w:spacing w:val="-3"/>
        </w:rPr>
        <w:t> </w:t>
      </w:r>
      <w:r>
        <w:rPr/>
        <w:t>these interviewed farmers,</w:t>
      </w:r>
      <w:r>
        <w:rPr>
          <w:spacing w:val="-1"/>
        </w:rPr>
        <w:t> </w:t>
      </w:r>
      <w:r>
        <w:rPr/>
        <w:t>12 (9.4%)</w:t>
      </w:r>
      <w:r>
        <w:rPr>
          <w:spacing w:val="-1"/>
        </w:rPr>
        <w:t> </w:t>
      </w:r>
      <w:r>
        <w:rPr/>
        <w:t>of</w:t>
      </w:r>
      <w:r>
        <w:rPr>
          <w:spacing w:val="-3"/>
        </w:rPr>
        <w:t> </w:t>
      </w:r>
      <w:r>
        <w:rPr/>
        <w:t>them</w:t>
      </w:r>
      <w:r>
        <w:rPr>
          <w:spacing w:val="-3"/>
        </w:rPr>
        <w:t> </w:t>
      </w:r>
      <w:r>
        <w:rPr/>
        <w:t>were</w:t>
      </w:r>
      <w:r>
        <w:rPr>
          <w:spacing w:val="-1"/>
        </w:rPr>
        <w:t> </w:t>
      </w:r>
      <w:r>
        <w:rPr/>
        <w:t>female headed and the remaining 115 (90.6%) were male headed households. The overall mean age of the sampled household head is about 43.95 years. Educational status of the household head is also an important element in smallholder economic activities. The survey result revealed that 22.8 percent of the sampled farmers never attended any schooling, while 77.2 percent were literate at different levels of schooling.</w:t>
      </w:r>
    </w:p>
    <w:p>
      <w:pPr>
        <w:spacing w:after="0"/>
        <w:sectPr>
          <w:type w:val="continuous"/>
          <w:pgSz w:w="11900" w:h="16840"/>
          <w:pgMar w:header="846" w:footer="819" w:top="1640" w:bottom="1000" w:left="1180" w:right="1180"/>
        </w:sectPr>
      </w:pPr>
    </w:p>
    <w:p>
      <w:pPr>
        <w:pStyle w:val="Heading3"/>
        <w:spacing w:before="103" w:after="47"/>
      </w:pPr>
      <w:r>
        <w:rPr/>
        <w:t>Table</w:t>
      </w:r>
      <w:r>
        <w:rPr>
          <w:b w:val="0"/>
          <w:spacing w:val="-8"/>
        </w:rPr>
        <w:t> </w:t>
      </w:r>
      <w:r>
        <w:rPr/>
        <w:t>2.</w:t>
      </w:r>
      <w:r>
        <w:rPr>
          <w:b w:val="0"/>
          <w:spacing w:val="-7"/>
        </w:rPr>
        <w:t> </w:t>
      </w:r>
      <w:r>
        <w:rPr/>
        <w:t>Demographic</w:t>
      </w:r>
      <w:r>
        <w:rPr>
          <w:b w:val="0"/>
          <w:spacing w:val="-8"/>
        </w:rPr>
        <w:t> </w:t>
      </w:r>
      <w:r>
        <w:rPr/>
        <w:t>and</w:t>
      </w:r>
      <w:r>
        <w:rPr>
          <w:b w:val="0"/>
          <w:spacing w:val="-8"/>
        </w:rPr>
        <w:t> </w:t>
      </w:r>
      <w:r>
        <w:rPr/>
        <w:t>socioeconomic</w:t>
      </w:r>
      <w:r>
        <w:rPr>
          <w:b w:val="0"/>
          <w:spacing w:val="-8"/>
        </w:rPr>
        <w:t> </w:t>
      </w:r>
      <w:r>
        <w:rPr/>
        <w:t>characteristics</w:t>
      </w:r>
      <w:r>
        <w:rPr>
          <w:b w:val="0"/>
          <w:spacing w:val="-6"/>
        </w:rPr>
        <w:t> </w:t>
      </w:r>
      <w:r>
        <w:rPr/>
        <w:t>of</w:t>
      </w:r>
      <w:r>
        <w:rPr>
          <w:b w:val="0"/>
          <w:spacing w:val="-7"/>
        </w:rPr>
        <w:t> </w:t>
      </w:r>
      <w:r>
        <w:rPr/>
        <w:t>samples</w:t>
      </w:r>
      <w:r>
        <w:rPr>
          <w:b w:val="0"/>
          <w:spacing w:val="-8"/>
        </w:rPr>
        <w:t> </w:t>
      </w:r>
      <w:r>
        <w:rPr/>
        <w:t>(categorical</w:t>
      </w:r>
      <w:r>
        <w:rPr>
          <w:b w:val="0"/>
          <w:spacing w:val="-11"/>
        </w:rPr>
        <w:t> </w:t>
      </w:r>
      <w:r>
        <w:rPr>
          <w:spacing w:val="-2"/>
        </w:rPr>
        <w:t>variables)</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4"/>
        <w:gridCol w:w="2029"/>
        <w:gridCol w:w="2206"/>
        <w:gridCol w:w="2375"/>
      </w:tblGrid>
      <w:tr>
        <w:trPr>
          <w:trHeight w:val="229" w:hRule="atLeast"/>
        </w:trPr>
        <w:tc>
          <w:tcPr>
            <w:tcW w:w="2504" w:type="dxa"/>
            <w:tcBorders>
              <w:top w:val="thickThinMediumGap" w:sz="12" w:space="0" w:color="000000"/>
              <w:bottom w:val="thinThickMediumGap" w:sz="12" w:space="0" w:color="000000"/>
            </w:tcBorders>
          </w:tcPr>
          <w:p>
            <w:pPr>
              <w:pStyle w:val="TableParagraph"/>
              <w:spacing w:line="209" w:lineRule="exact"/>
              <w:ind w:left="115"/>
              <w:jc w:val="left"/>
              <w:rPr>
                <w:b/>
                <w:sz w:val="20"/>
              </w:rPr>
            </w:pPr>
            <w:r>
              <w:rPr>
                <w:b/>
                <w:spacing w:val="-2"/>
                <w:sz w:val="20"/>
              </w:rPr>
              <w:t>Variables</w:t>
            </w:r>
          </w:p>
        </w:tc>
        <w:tc>
          <w:tcPr>
            <w:tcW w:w="2029" w:type="dxa"/>
            <w:tcBorders>
              <w:top w:val="thickThinMediumGap" w:sz="12" w:space="0" w:color="000000"/>
              <w:bottom w:val="thinThickMediumGap" w:sz="12" w:space="0" w:color="000000"/>
            </w:tcBorders>
          </w:tcPr>
          <w:p>
            <w:pPr>
              <w:pStyle w:val="TableParagraph"/>
              <w:spacing w:line="209" w:lineRule="exact"/>
              <w:ind w:left="32" w:right="3"/>
              <w:rPr>
                <w:b/>
                <w:sz w:val="20"/>
              </w:rPr>
            </w:pPr>
            <w:r>
              <w:rPr>
                <w:b/>
                <w:spacing w:val="-2"/>
                <w:sz w:val="20"/>
              </w:rPr>
              <w:t>Items</w:t>
            </w:r>
          </w:p>
        </w:tc>
        <w:tc>
          <w:tcPr>
            <w:tcW w:w="2206" w:type="dxa"/>
            <w:tcBorders>
              <w:top w:val="thickThinMediumGap" w:sz="12" w:space="0" w:color="000000"/>
              <w:bottom w:val="thinThickMediumGap" w:sz="12" w:space="0" w:color="000000"/>
            </w:tcBorders>
          </w:tcPr>
          <w:p>
            <w:pPr>
              <w:pStyle w:val="TableParagraph"/>
              <w:spacing w:line="209" w:lineRule="exact"/>
              <w:ind w:left="26" w:right="3"/>
              <w:rPr>
                <w:b/>
                <w:sz w:val="20"/>
              </w:rPr>
            </w:pPr>
            <w:r>
              <w:rPr>
                <w:b/>
                <w:spacing w:val="-2"/>
                <w:sz w:val="20"/>
              </w:rPr>
              <w:t>Frequency</w:t>
            </w:r>
          </w:p>
        </w:tc>
        <w:tc>
          <w:tcPr>
            <w:tcW w:w="2375" w:type="dxa"/>
            <w:tcBorders>
              <w:top w:val="thickThinMediumGap" w:sz="12" w:space="0" w:color="000000"/>
              <w:bottom w:val="thinThickMediumGap" w:sz="12" w:space="0" w:color="000000"/>
            </w:tcBorders>
          </w:tcPr>
          <w:p>
            <w:pPr>
              <w:pStyle w:val="TableParagraph"/>
              <w:spacing w:line="209" w:lineRule="exact"/>
              <w:ind w:right="57"/>
              <w:rPr>
                <w:b/>
                <w:sz w:val="20"/>
              </w:rPr>
            </w:pPr>
            <w:r>
              <w:rPr>
                <w:b/>
                <w:sz w:val="20"/>
              </w:rPr>
              <w:t>Percent</w:t>
            </w:r>
            <w:r>
              <w:rPr>
                <w:spacing w:val="-7"/>
                <w:sz w:val="20"/>
              </w:rPr>
              <w:t> </w:t>
            </w:r>
            <w:r>
              <w:rPr>
                <w:b/>
                <w:spacing w:val="-5"/>
                <w:sz w:val="20"/>
              </w:rPr>
              <w:t>(%)</w:t>
            </w:r>
          </w:p>
        </w:tc>
      </w:tr>
      <w:tr>
        <w:trPr>
          <w:trHeight w:val="227" w:hRule="atLeast"/>
        </w:trPr>
        <w:tc>
          <w:tcPr>
            <w:tcW w:w="2504" w:type="dxa"/>
            <w:tcBorders>
              <w:top w:val="thickThinMediumGap" w:sz="12" w:space="0" w:color="000000"/>
            </w:tcBorders>
          </w:tcPr>
          <w:p>
            <w:pPr>
              <w:pStyle w:val="TableParagraph"/>
              <w:spacing w:line="207" w:lineRule="exact"/>
              <w:ind w:left="115"/>
              <w:jc w:val="left"/>
              <w:rPr>
                <w:sz w:val="20"/>
              </w:rPr>
            </w:pPr>
            <w:r>
              <w:rPr>
                <w:spacing w:val="-5"/>
                <w:sz w:val="20"/>
              </w:rPr>
              <w:t>Sex</w:t>
            </w:r>
          </w:p>
        </w:tc>
        <w:tc>
          <w:tcPr>
            <w:tcW w:w="2029" w:type="dxa"/>
            <w:tcBorders>
              <w:top w:val="thickThinMediumGap" w:sz="12" w:space="0" w:color="000000"/>
            </w:tcBorders>
          </w:tcPr>
          <w:p>
            <w:pPr>
              <w:pStyle w:val="TableParagraph"/>
              <w:spacing w:line="207" w:lineRule="exact"/>
              <w:ind w:left="32" w:right="2"/>
              <w:rPr>
                <w:sz w:val="20"/>
              </w:rPr>
            </w:pPr>
            <w:r>
              <w:rPr>
                <w:spacing w:val="-4"/>
                <w:sz w:val="20"/>
              </w:rPr>
              <w:t>Male</w:t>
            </w:r>
          </w:p>
        </w:tc>
        <w:tc>
          <w:tcPr>
            <w:tcW w:w="2206" w:type="dxa"/>
            <w:tcBorders>
              <w:top w:val="thickThinMediumGap" w:sz="12" w:space="0" w:color="000000"/>
            </w:tcBorders>
          </w:tcPr>
          <w:p>
            <w:pPr>
              <w:pStyle w:val="TableParagraph"/>
              <w:spacing w:line="207" w:lineRule="exact"/>
              <w:ind w:left="26" w:right="1"/>
              <w:rPr>
                <w:sz w:val="20"/>
              </w:rPr>
            </w:pPr>
            <w:r>
              <w:rPr>
                <w:spacing w:val="-5"/>
                <w:sz w:val="20"/>
              </w:rPr>
              <w:t>115</w:t>
            </w:r>
          </w:p>
        </w:tc>
        <w:tc>
          <w:tcPr>
            <w:tcW w:w="2375" w:type="dxa"/>
            <w:tcBorders>
              <w:top w:val="thickThinMediumGap" w:sz="12" w:space="0" w:color="000000"/>
            </w:tcBorders>
          </w:tcPr>
          <w:p>
            <w:pPr>
              <w:pStyle w:val="TableParagraph"/>
              <w:spacing w:line="207" w:lineRule="exact"/>
              <w:ind w:left="4" w:right="57"/>
              <w:rPr>
                <w:sz w:val="20"/>
              </w:rPr>
            </w:pPr>
            <w:r>
              <w:rPr>
                <w:spacing w:val="-4"/>
                <w:sz w:val="20"/>
              </w:rPr>
              <w:t>90.6</w:t>
            </w:r>
          </w:p>
        </w:tc>
      </w:tr>
      <w:tr>
        <w:trPr>
          <w:trHeight w:val="230" w:hRule="atLeast"/>
        </w:trPr>
        <w:tc>
          <w:tcPr>
            <w:tcW w:w="2504" w:type="dxa"/>
          </w:tcPr>
          <w:p>
            <w:pPr>
              <w:pStyle w:val="TableParagraph"/>
              <w:spacing w:line="240" w:lineRule="auto"/>
              <w:jc w:val="left"/>
              <w:rPr>
                <w:sz w:val="16"/>
              </w:rPr>
            </w:pPr>
          </w:p>
        </w:tc>
        <w:tc>
          <w:tcPr>
            <w:tcW w:w="2029" w:type="dxa"/>
          </w:tcPr>
          <w:p>
            <w:pPr>
              <w:pStyle w:val="TableParagraph"/>
              <w:ind w:left="32" w:right="4"/>
              <w:rPr>
                <w:sz w:val="20"/>
              </w:rPr>
            </w:pPr>
            <w:r>
              <w:rPr>
                <w:spacing w:val="-2"/>
                <w:sz w:val="20"/>
              </w:rPr>
              <w:t>Female</w:t>
            </w:r>
          </w:p>
        </w:tc>
        <w:tc>
          <w:tcPr>
            <w:tcW w:w="2206" w:type="dxa"/>
          </w:tcPr>
          <w:p>
            <w:pPr>
              <w:pStyle w:val="TableParagraph"/>
              <w:ind w:left="26" w:right="1"/>
              <w:rPr>
                <w:sz w:val="20"/>
              </w:rPr>
            </w:pPr>
            <w:r>
              <w:rPr>
                <w:spacing w:val="-5"/>
                <w:sz w:val="20"/>
              </w:rPr>
              <w:t>12</w:t>
            </w:r>
          </w:p>
        </w:tc>
        <w:tc>
          <w:tcPr>
            <w:tcW w:w="2375" w:type="dxa"/>
          </w:tcPr>
          <w:p>
            <w:pPr>
              <w:pStyle w:val="TableParagraph"/>
              <w:ind w:left="4" w:right="57"/>
              <w:rPr>
                <w:sz w:val="20"/>
              </w:rPr>
            </w:pPr>
            <w:r>
              <w:rPr>
                <w:spacing w:val="-5"/>
                <w:sz w:val="20"/>
              </w:rPr>
              <w:t>9.4</w:t>
            </w:r>
          </w:p>
        </w:tc>
      </w:tr>
      <w:tr>
        <w:trPr>
          <w:trHeight w:val="230" w:hRule="atLeast"/>
        </w:trPr>
        <w:tc>
          <w:tcPr>
            <w:tcW w:w="2504" w:type="dxa"/>
          </w:tcPr>
          <w:p>
            <w:pPr>
              <w:pStyle w:val="TableParagraph"/>
              <w:ind w:left="115"/>
              <w:jc w:val="left"/>
              <w:rPr>
                <w:sz w:val="20"/>
              </w:rPr>
            </w:pPr>
            <w:r>
              <w:rPr>
                <w:spacing w:val="-2"/>
                <w:sz w:val="20"/>
              </w:rPr>
              <w:t>Education</w:t>
            </w:r>
          </w:p>
        </w:tc>
        <w:tc>
          <w:tcPr>
            <w:tcW w:w="2029" w:type="dxa"/>
          </w:tcPr>
          <w:p>
            <w:pPr>
              <w:pStyle w:val="TableParagraph"/>
              <w:ind w:left="32" w:right="4"/>
              <w:rPr>
                <w:sz w:val="20"/>
              </w:rPr>
            </w:pPr>
            <w:r>
              <w:rPr>
                <w:spacing w:val="-2"/>
                <w:sz w:val="20"/>
              </w:rPr>
              <w:t>Literate</w:t>
            </w:r>
          </w:p>
        </w:tc>
        <w:tc>
          <w:tcPr>
            <w:tcW w:w="2206" w:type="dxa"/>
          </w:tcPr>
          <w:p>
            <w:pPr>
              <w:pStyle w:val="TableParagraph"/>
              <w:ind w:left="26" w:right="1"/>
              <w:rPr>
                <w:sz w:val="20"/>
              </w:rPr>
            </w:pPr>
            <w:r>
              <w:rPr>
                <w:spacing w:val="-5"/>
                <w:sz w:val="20"/>
              </w:rPr>
              <w:t>98</w:t>
            </w:r>
          </w:p>
        </w:tc>
        <w:tc>
          <w:tcPr>
            <w:tcW w:w="2375" w:type="dxa"/>
          </w:tcPr>
          <w:p>
            <w:pPr>
              <w:pStyle w:val="TableParagraph"/>
              <w:ind w:left="4" w:right="57"/>
              <w:rPr>
                <w:sz w:val="20"/>
              </w:rPr>
            </w:pPr>
            <w:r>
              <w:rPr>
                <w:spacing w:val="-4"/>
                <w:sz w:val="20"/>
              </w:rPr>
              <w:t>77.2</w:t>
            </w:r>
          </w:p>
        </w:tc>
      </w:tr>
      <w:tr>
        <w:trPr>
          <w:trHeight w:val="230" w:hRule="atLeast"/>
        </w:trPr>
        <w:tc>
          <w:tcPr>
            <w:tcW w:w="2504" w:type="dxa"/>
          </w:tcPr>
          <w:p>
            <w:pPr>
              <w:pStyle w:val="TableParagraph"/>
              <w:spacing w:line="240" w:lineRule="auto"/>
              <w:jc w:val="left"/>
              <w:rPr>
                <w:sz w:val="16"/>
              </w:rPr>
            </w:pPr>
          </w:p>
        </w:tc>
        <w:tc>
          <w:tcPr>
            <w:tcW w:w="2029" w:type="dxa"/>
          </w:tcPr>
          <w:p>
            <w:pPr>
              <w:pStyle w:val="TableParagraph"/>
              <w:ind w:left="32"/>
              <w:rPr>
                <w:sz w:val="20"/>
              </w:rPr>
            </w:pPr>
            <w:r>
              <w:rPr>
                <w:spacing w:val="-2"/>
                <w:sz w:val="20"/>
              </w:rPr>
              <w:t>Illiterate</w:t>
            </w:r>
          </w:p>
        </w:tc>
        <w:tc>
          <w:tcPr>
            <w:tcW w:w="2206" w:type="dxa"/>
          </w:tcPr>
          <w:p>
            <w:pPr>
              <w:pStyle w:val="TableParagraph"/>
              <w:ind w:left="26" w:right="1"/>
              <w:rPr>
                <w:sz w:val="20"/>
              </w:rPr>
            </w:pPr>
            <w:r>
              <w:rPr>
                <w:spacing w:val="-5"/>
                <w:sz w:val="20"/>
              </w:rPr>
              <w:t>29</w:t>
            </w:r>
          </w:p>
        </w:tc>
        <w:tc>
          <w:tcPr>
            <w:tcW w:w="2375" w:type="dxa"/>
          </w:tcPr>
          <w:p>
            <w:pPr>
              <w:pStyle w:val="TableParagraph"/>
              <w:ind w:left="4" w:right="57"/>
              <w:rPr>
                <w:sz w:val="20"/>
              </w:rPr>
            </w:pPr>
            <w:r>
              <w:rPr>
                <w:spacing w:val="-4"/>
                <w:sz w:val="20"/>
              </w:rPr>
              <w:t>22.8</w:t>
            </w:r>
          </w:p>
        </w:tc>
      </w:tr>
      <w:tr>
        <w:trPr>
          <w:trHeight w:val="230" w:hRule="atLeast"/>
        </w:trPr>
        <w:tc>
          <w:tcPr>
            <w:tcW w:w="2504" w:type="dxa"/>
          </w:tcPr>
          <w:p>
            <w:pPr>
              <w:pStyle w:val="TableParagraph"/>
              <w:ind w:left="115"/>
              <w:jc w:val="left"/>
              <w:rPr>
                <w:sz w:val="20"/>
              </w:rPr>
            </w:pPr>
            <w:r>
              <w:rPr>
                <w:spacing w:val="-2"/>
                <w:sz w:val="20"/>
              </w:rPr>
              <w:t>Cooperatives</w:t>
            </w:r>
          </w:p>
        </w:tc>
        <w:tc>
          <w:tcPr>
            <w:tcW w:w="2029" w:type="dxa"/>
          </w:tcPr>
          <w:p>
            <w:pPr>
              <w:pStyle w:val="TableParagraph"/>
              <w:ind w:left="32" w:right="1"/>
              <w:rPr>
                <w:sz w:val="20"/>
              </w:rPr>
            </w:pPr>
            <w:r>
              <w:rPr>
                <w:spacing w:val="-5"/>
                <w:sz w:val="20"/>
              </w:rPr>
              <w:t>Yes</w:t>
            </w:r>
          </w:p>
        </w:tc>
        <w:tc>
          <w:tcPr>
            <w:tcW w:w="2206" w:type="dxa"/>
          </w:tcPr>
          <w:p>
            <w:pPr>
              <w:pStyle w:val="TableParagraph"/>
              <w:ind w:left="26" w:right="1"/>
              <w:rPr>
                <w:sz w:val="20"/>
              </w:rPr>
            </w:pPr>
            <w:r>
              <w:rPr>
                <w:spacing w:val="-5"/>
                <w:sz w:val="20"/>
              </w:rPr>
              <w:t>83</w:t>
            </w:r>
          </w:p>
        </w:tc>
        <w:tc>
          <w:tcPr>
            <w:tcW w:w="2375" w:type="dxa"/>
          </w:tcPr>
          <w:p>
            <w:pPr>
              <w:pStyle w:val="TableParagraph"/>
              <w:ind w:left="4" w:right="57"/>
              <w:rPr>
                <w:sz w:val="20"/>
              </w:rPr>
            </w:pPr>
            <w:r>
              <w:rPr>
                <w:spacing w:val="-4"/>
                <w:sz w:val="20"/>
              </w:rPr>
              <w:t>65.4</w:t>
            </w:r>
          </w:p>
        </w:tc>
      </w:tr>
      <w:tr>
        <w:trPr>
          <w:trHeight w:val="229" w:hRule="atLeast"/>
        </w:trPr>
        <w:tc>
          <w:tcPr>
            <w:tcW w:w="2504" w:type="dxa"/>
          </w:tcPr>
          <w:p>
            <w:pPr>
              <w:pStyle w:val="TableParagraph"/>
              <w:spacing w:line="240" w:lineRule="auto"/>
              <w:jc w:val="left"/>
              <w:rPr>
                <w:sz w:val="16"/>
              </w:rPr>
            </w:pPr>
          </w:p>
        </w:tc>
        <w:tc>
          <w:tcPr>
            <w:tcW w:w="2029" w:type="dxa"/>
          </w:tcPr>
          <w:p>
            <w:pPr>
              <w:pStyle w:val="TableParagraph"/>
              <w:spacing w:line="209" w:lineRule="exact"/>
              <w:ind w:left="32"/>
              <w:rPr>
                <w:sz w:val="20"/>
              </w:rPr>
            </w:pPr>
            <w:r>
              <w:rPr>
                <w:spacing w:val="-5"/>
                <w:sz w:val="20"/>
              </w:rPr>
              <w:t>No</w:t>
            </w:r>
          </w:p>
        </w:tc>
        <w:tc>
          <w:tcPr>
            <w:tcW w:w="2206" w:type="dxa"/>
          </w:tcPr>
          <w:p>
            <w:pPr>
              <w:pStyle w:val="TableParagraph"/>
              <w:spacing w:line="209" w:lineRule="exact"/>
              <w:ind w:left="26" w:right="1"/>
              <w:rPr>
                <w:sz w:val="20"/>
              </w:rPr>
            </w:pPr>
            <w:r>
              <w:rPr>
                <w:spacing w:val="-5"/>
                <w:sz w:val="20"/>
              </w:rPr>
              <w:t>44</w:t>
            </w:r>
          </w:p>
        </w:tc>
        <w:tc>
          <w:tcPr>
            <w:tcW w:w="2375" w:type="dxa"/>
          </w:tcPr>
          <w:p>
            <w:pPr>
              <w:pStyle w:val="TableParagraph"/>
              <w:spacing w:line="209" w:lineRule="exact"/>
              <w:ind w:left="4" w:right="57"/>
              <w:rPr>
                <w:sz w:val="20"/>
              </w:rPr>
            </w:pPr>
            <w:r>
              <w:rPr>
                <w:spacing w:val="-4"/>
                <w:sz w:val="20"/>
              </w:rPr>
              <w:t>34.6</w:t>
            </w:r>
          </w:p>
        </w:tc>
      </w:tr>
      <w:tr>
        <w:trPr>
          <w:trHeight w:val="229" w:hRule="atLeast"/>
        </w:trPr>
        <w:tc>
          <w:tcPr>
            <w:tcW w:w="2504" w:type="dxa"/>
          </w:tcPr>
          <w:p>
            <w:pPr>
              <w:pStyle w:val="TableParagraph"/>
              <w:spacing w:line="209" w:lineRule="exact"/>
              <w:ind w:left="115"/>
              <w:jc w:val="left"/>
              <w:rPr>
                <w:sz w:val="20"/>
              </w:rPr>
            </w:pPr>
            <w:r>
              <w:rPr>
                <w:sz w:val="20"/>
              </w:rPr>
              <w:t>Credit</w:t>
            </w:r>
            <w:r>
              <w:rPr>
                <w:spacing w:val="-6"/>
                <w:sz w:val="20"/>
              </w:rPr>
              <w:t> </w:t>
            </w:r>
            <w:r>
              <w:rPr>
                <w:spacing w:val="-2"/>
                <w:sz w:val="20"/>
              </w:rPr>
              <w:t>(Loan)</w:t>
            </w:r>
          </w:p>
        </w:tc>
        <w:tc>
          <w:tcPr>
            <w:tcW w:w="2029" w:type="dxa"/>
          </w:tcPr>
          <w:p>
            <w:pPr>
              <w:pStyle w:val="TableParagraph"/>
              <w:spacing w:line="209" w:lineRule="exact"/>
              <w:ind w:left="32" w:right="1"/>
              <w:rPr>
                <w:sz w:val="20"/>
              </w:rPr>
            </w:pPr>
            <w:r>
              <w:rPr>
                <w:spacing w:val="-5"/>
                <w:sz w:val="20"/>
              </w:rPr>
              <w:t>Yes</w:t>
            </w:r>
          </w:p>
        </w:tc>
        <w:tc>
          <w:tcPr>
            <w:tcW w:w="2206" w:type="dxa"/>
          </w:tcPr>
          <w:p>
            <w:pPr>
              <w:pStyle w:val="TableParagraph"/>
              <w:spacing w:line="209" w:lineRule="exact"/>
              <w:ind w:left="26" w:right="1"/>
              <w:rPr>
                <w:sz w:val="20"/>
              </w:rPr>
            </w:pPr>
            <w:r>
              <w:rPr>
                <w:spacing w:val="-5"/>
                <w:sz w:val="20"/>
              </w:rPr>
              <w:t>64</w:t>
            </w:r>
          </w:p>
        </w:tc>
        <w:tc>
          <w:tcPr>
            <w:tcW w:w="2375" w:type="dxa"/>
          </w:tcPr>
          <w:p>
            <w:pPr>
              <w:pStyle w:val="TableParagraph"/>
              <w:spacing w:line="209" w:lineRule="exact"/>
              <w:ind w:left="4" w:right="57"/>
              <w:rPr>
                <w:sz w:val="20"/>
              </w:rPr>
            </w:pPr>
            <w:r>
              <w:rPr>
                <w:spacing w:val="-4"/>
                <w:sz w:val="20"/>
              </w:rPr>
              <w:t>50.4</w:t>
            </w:r>
          </w:p>
        </w:tc>
      </w:tr>
      <w:tr>
        <w:trPr>
          <w:trHeight w:val="230" w:hRule="atLeast"/>
        </w:trPr>
        <w:tc>
          <w:tcPr>
            <w:tcW w:w="2504" w:type="dxa"/>
          </w:tcPr>
          <w:p>
            <w:pPr>
              <w:pStyle w:val="TableParagraph"/>
              <w:spacing w:line="240" w:lineRule="auto"/>
              <w:jc w:val="left"/>
              <w:rPr>
                <w:sz w:val="16"/>
              </w:rPr>
            </w:pPr>
          </w:p>
        </w:tc>
        <w:tc>
          <w:tcPr>
            <w:tcW w:w="2029" w:type="dxa"/>
          </w:tcPr>
          <w:p>
            <w:pPr>
              <w:pStyle w:val="TableParagraph"/>
              <w:ind w:left="32"/>
              <w:rPr>
                <w:sz w:val="20"/>
              </w:rPr>
            </w:pPr>
            <w:r>
              <w:rPr>
                <w:spacing w:val="-5"/>
                <w:sz w:val="20"/>
              </w:rPr>
              <w:t>No</w:t>
            </w:r>
          </w:p>
        </w:tc>
        <w:tc>
          <w:tcPr>
            <w:tcW w:w="2206" w:type="dxa"/>
          </w:tcPr>
          <w:p>
            <w:pPr>
              <w:pStyle w:val="TableParagraph"/>
              <w:ind w:left="26" w:right="1"/>
              <w:rPr>
                <w:sz w:val="20"/>
              </w:rPr>
            </w:pPr>
            <w:r>
              <w:rPr>
                <w:spacing w:val="-5"/>
                <w:sz w:val="20"/>
              </w:rPr>
              <w:t>63</w:t>
            </w:r>
          </w:p>
        </w:tc>
        <w:tc>
          <w:tcPr>
            <w:tcW w:w="2375" w:type="dxa"/>
          </w:tcPr>
          <w:p>
            <w:pPr>
              <w:pStyle w:val="TableParagraph"/>
              <w:ind w:left="4" w:right="57"/>
              <w:rPr>
                <w:sz w:val="20"/>
              </w:rPr>
            </w:pPr>
            <w:r>
              <w:rPr>
                <w:spacing w:val="-4"/>
                <w:sz w:val="20"/>
              </w:rPr>
              <w:t>49.6</w:t>
            </w:r>
          </w:p>
        </w:tc>
      </w:tr>
      <w:tr>
        <w:trPr>
          <w:trHeight w:val="230" w:hRule="atLeast"/>
        </w:trPr>
        <w:tc>
          <w:tcPr>
            <w:tcW w:w="2504" w:type="dxa"/>
          </w:tcPr>
          <w:p>
            <w:pPr>
              <w:pStyle w:val="TableParagraph"/>
              <w:ind w:left="115"/>
              <w:jc w:val="left"/>
              <w:rPr>
                <w:sz w:val="20"/>
              </w:rPr>
            </w:pPr>
            <w:r>
              <w:rPr>
                <w:sz w:val="20"/>
              </w:rPr>
              <w:t>Non/off</w:t>
            </w:r>
            <w:r>
              <w:rPr>
                <w:spacing w:val="-7"/>
                <w:sz w:val="20"/>
              </w:rPr>
              <w:t> </w:t>
            </w:r>
            <w:r>
              <w:rPr>
                <w:sz w:val="20"/>
              </w:rPr>
              <w:t>farm</w:t>
            </w:r>
            <w:r>
              <w:rPr>
                <w:spacing w:val="-7"/>
                <w:sz w:val="20"/>
              </w:rPr>
              <w:t> </w:t>
            </w:r>
            <w:r>
              <w:rPr>
                <w:spacing w:val="-2"/>
                <w:sz w:val="20"/>
              </w:rPr>
              <w:t>income</w:t>
            </w:r>
          </w:p>
        </w:tc>
        <w:tc>
          <w:tcPr>
            <w:tcW w:w="2029" w:type="dxa"/>
          </w:tcPr>
          <w:p>
            <w:pPr>
              <w:pStyle w:val="TableParagraph"/>
              <w:ind w:left="32" w:right="1"/>
              <w:rPr>
                <w:sz w:val="20"/>
              </w:rPr>
            </w:pPr>
            <w:r>
              <w:rPr>
                <w:spacing w:val="-5"/>
                <w:sz w:val="20"/>
              </w:rPr>
              <w:t>Yes</w:t>
            </w:r>
          </w:p>
        </w:tc>
        <w:tc>
          <w:tcPr>
            <w:tcW w:w="2206" w:type="dxa"/>
          </w:tcPr>
          <w:p>
            <w:pPr>
              <w:pStyle w:val="TableParagraph"/>
              <w:ind w:left="26"/>
              <w:rPr>
                <w:sz w:val="20"/>
              </w:rPr>
            </w:pPr>
            <w:r>
              <w:rPr>
                <w:spacing w:val="-5"/>
                <w:sz w:val="20"/>
              </w:rPr>
              <w:t>90</w:t>
            </w:r>
          </w:p>
        </w:tc>
        <w:tc>
          <w:tcPr>
            <w:tcW w:w="2375" w:type="dxa"/>
          </w:tcPr>
          <w:p>
            <w:pPr>
              <w:pStyle w:val="TableParagraph"/>
              <w:ind w:left="3" w:right="57"/>
              <w:rPr>
                <w:sz w:val="20"/>
              </w:rPr>
            </w:pPr>
            <w:r>
              <w:rPr>
                <w:spacing w:val="-4"/>
                <w:sz w:val="20"/>
              </w:rPr>
              <w:t>70.9</w:t>
            </w:r>
          </w:p>
        </w:tc>
      </w:tr>
      <w:tr>
        <w:trPr>
          <w:trHeight w:val="232" w:hRule="atLeast"/>
        </w:trPr>
        <w:tc>
          <w:tcPr>
            <w:tcW w:w="2504" w:type="dxa"/>
            <w:tcBorders>
              <w:bottom w:val="thinThickMediumGap" w:sz="12" w:space="0" w:color="000000"/>
            </w:tcBorders>
          </w:tcPr>
          <w:p>
            <w:pPr>
              <w:pStyle w:val="TableParagraph"/>
              <w:spacing w:line="240" w:lineRule="auto"/>
              <w:jc w:val="left"/>
              <w:rPr>
                <w:sz w:val="16"/>
              </w:rPr>
            </w:pPr>
          </w:p>
        </w:tc>
        <w:tc>
          <w:tcPr>
            <w:tcW w:w="2029" w:type="dxa"/>
            <w:tcBorders>
              <w:bottom w:val="thinThickMediumGap" w:sz="12" w:space="0" w:color="000000"/>
            </w:tcBorders>
          </w:tcPr>
          <w:p>
            <w:pPr>
              <w:pStyle w:val="TableParagraph"/>
              <w:spacing w:line="212" w:lineRule="exact"/>
              <w:ind w:left="32"/>
              <w:rPr>
                <w:sz w:val="20"/>
              </w:rPr>
            </w:pPr>
            <w:r>
              <w:rPr>
                <w:spacing w:val="-5"/>
                <w:sz w:val="20"/>
              </w:rPr>
              <w:t>No</w:t>
            </w:r>
          </w:p>
        </w:tc>
        <w:tc>
          <w:tcPr>
            <w:tcW w:w="2206" w:type="dxa"/>
            <w:tcBorders>
              <w:bottom w:val="thinThickMediumGap" w:sz="12" w:space="0" w:color="000000"/>
            </w:tcBorders>
          </w:tcPr>
          <w:p>
            <w:pPr>
              <w:pStyle w:val="TableParagraph"/>
              <w:spacing w:line="212" w:lineRule="exact"/>
              <w:ind w:left="26"/>
              <w:rPr>
                <w:sz w:val="20"/>
              </w:rPr>
            </w:pPr>
            <w:r>
              <w:rPr>
                <w:spacing w:val="-5"/>
                <w:sz w:val="20"/>
              </w:rPr>
              <w:t>37</w:t>
            </w:r>
          </w:p>
        </w:tc>
        <w:tc>
          <w:tcPr>
            <w:tcW w:w="2375" w:type="dxa"/>
            <w:tcBorders>
              <w:bottom w:val="thinThickMediumGap" w:sz="12" w:space="0" w:color="000000"/>
            </w:tcBorders>
          </w:tcPr>
          <w:p>
            <w:pPr>
              <w:pStyle w:val="TableParagraph"/>
              <w:spacing w:line="212" w:lineRule="exact"/>
              <w:ind w:left="5" w:right="57"/>
              <w:rPr>
                <w:sz w:val="20"/>
              </w:rPr>
            </w:pPr>
            <w:r>
              <w:rPr>
                <w:spacing w:val="-4"/>
                <w:sz w:val="20"/>
              </w:rPr>
              <w:t>29.1</w:t>
            </w:r>
          </w:p>
        </w:tc>
      </w:tr>
    </w:tbl>
    <w:p>
      <w:pPr>
        <w:spacing w:line="184" w:lineRule="exact" w:before="0"/>
        <w:ind w:left="240" w:right="0" w:firstLine="0"/>
        <w:jc w:val="both"/>
        <w:rPr>
          <w:b/>
          <w:sz w:val="20"/>
        </w:rPr>
      </w:pPr>
      <w:r>
        <w:rPr>
          <w:b/>
          <w:sz w:val="20"/>
        </w:rPr>
        <w:t>Source:</w:t>
      </w:r>
      <w:r>
        <w:rPr>
          <w:spacing w:val="-7"/>
          <w:sz w:val="20"/>
        </w:rPr>
        <w:t> </w:t>
      </w:r>
      <w:r>
        <w:rPr>
          <w:b/>
          <w:sz w:val="20"/>
        </w:rPr>
        <w:t>Survey</w:t>
      </w:r>
      <w:r>
        <w:rPr>
          <w:spacing w:val="-7"/>
          <w:sz w:val="20"/>
        </w:rPr>
        <w:t> </w:t>
      </w:r>
      <w:r>
        <w:rPr>
          <w:b/>
          <w:sz w:val="20"/>
        </w:rPr>
        <w:t>result,</w:t>
      </w:r>
      <w:r>
        <w:rPr>
          <w:spacing w:val="-6"/>
          <w:sz w:val="20"/>
        </w:rPr>
        <w:t> </w:t>
      </w:r>
      <w:r>
        <w:rPr>
          <w:b/>
          <w:spacing w:val="-4"/>
          <w:sz w:val="20"/>
        </w:rPr>
        <w:t>2015</w:t>
      </w:r>
    </w:p>
    <w:p>
      <w:pPr>
        <w:pStyle w:val="BodyText"/>
        <w:ind w:right="226" w:firstLine="720"/>
      </w:pPr>
      <w:r>
        <w:rPr/>
        <w:t>The survey data revealed that the major source of income for the sampled farmers is on-farm activities (from</w:t>
      </w:r>
      <w:r>
        <w:rPr>
          <w:spacing w:val="-6"/>
        </w:rPr>
        <w:t> </w:t>
      </w:r>
      <w:r>
        <w:rPr/>
        <w:t>both</w:t>
      </w:r>
      <w:r>
        <w:rPr>
          <w:spacing w:val="-3"/>
        </w:rPr>
        <w:t> </w:t>
      </w:r>
      <w:r>
        <w:rPr/>
        <w:t>crop</w:t>
      </w:r>
      <w:r>
        <w:rPr>
          <w:spacing w:val="-1"/>
        </w:rPr>
        <w:t> </w:t>
      </w:r>
      <w:r>
        <w:rPr/>
        <w:t>and</w:t>
      </w:r>
      <w:r>
        <w:rPr>
          <w:spacing w:val="-1"/>
        </w:rPr>
        <w:t> </w:t>
      </w:r>
      <w:r>
        <w:rPr/>
        <w:t>livestock</w:t>
      </w:r>
      <w:r>
        <w:rPr>
          <w:spacing w:val="-1"/>
        </w:rPr>
        <w:t> </w:t>
      </w:r>
      <w:r>
        <w:rPr/>
        <w:t>production).</w:t>
      </w:r>
      <w:r>
        <w:rPr>
          <w:spacing w:val="-1"/>
        </w:rPr>
        <w:t> </w:t>
      </w:r>
      <w:r>
        <w:rPr/>
        <w:t>Only</w:t>
      </w:r>
      <w:r>
        <w:rPr>
          <w:spacing w:val="-6"/>
        </w:rPr>
        <w:t> </w:t>
      </w:r>
      <w:r>
        <w:rPr/>
        <w:t>29.1%</w:t>
      </w:r>
      <w:r>
        <w:rPr>
          <w:spacing w:val="-2"/>
        </w:rPr>
        <w:t> </w:t>
      </w:r>
      <w:r>
        <w:rPr/>
        <w:t>of</w:t>
      </w:r>
      <w:r>
        <w:rPr>
          <w:spacing w:val="-4"/>
        </w:rPr>
        <w:t> </w:t>
      </w:r>
      <w:r>
        <w:rPr/>
        <w:t>the</w:t>
      </w:r>
      <w:r>
        <w:rPr>
          <w:spacing w:val="-2"/>
        </w:rPr>
        <w:t> </w:t>
      </w:r>
      <w:r>
        <w:rPr/>
        <w:t>respondents</w:t>
      </w:r>
      <w:r>
        <w:rPr>
          <w:spacing w:val="-3"/>
        </w:rPr>
        <w:t> </w:t>
      </w:r>
      <w:r>
        <w:rPr/>
        <w:t>reported</w:t>
      </w:r>
      <w:r>
        <w:rPr>
          <w:spacing w:val="-1"/>
        </w:rPr>
        <w:t> </w:t>
      </w:r>
      <w:r>
        <w:rPr/>
        <w:t>that,</w:t>
      </w:r>
      <w:r>
        <w:rPr>
          <w:spacing w:val="-1"/>
        </w:rPr>
        <w:t> </w:t>
      </w:r>
      <w:r>
        <w:rPr/>
        <w:t>they</w:t>
      </w:r>
      <w:r>
        <w:rPr>
          <w:spacing w:val="-6"/>
        </w:rPr>
        <w:t> </w:t>
      </w:r>
      <w:r>
        <w:rPr/>
        <w:t>have</w:t>
      </w:r>
      <w:r>
        <w:rPr>
          <w:spacing w:val="-2"/>
        </w:rPr>
        <w:t> </w:t>
      </w:r>
      <w:r>
        <w:rPr/>
        <w:t>access</w:t>
      </w:r>
      <w:r>
        <w:rPr>
          <w:spacing w:val="-3"/>
        </w:rPr>
        <w:t> </w:t>
      </w:r>
      <w:r>
        <w:rPr/>
        <w:t>to</w:t>
      </w:r>
      <w:r>
        <w:rPr>
          <w:spacing w:val="-1"/>
        </w:rPr>
        <w:t> </w:t>
      </w:r>
      <w:r>
        <w:rPr/>
        <w:t>non- farm activities in the study area and generates some additional income. However, all of these farmers (who have access to non-farm income) reported that, it is not their main source of income.</w:t>
      </w:r>
    </w:p>
    <w:p>
      <w:pPr>
        <w:pStyle w:val="BodyText"/>
        <w:ind w:right="223" w:firstLine="720"/>
      </w:pPr>
      <w:r>
        <w:rPr/>
        <w:t>Majority</w:t>
      </w:r>
      <w:r>
        <w:rPr>
          <w:spacing w:val="-4"/>
        </w:rPr>
        <w:t> </w:t>
      </w:r>
      <w:r>
        <w:rPr/>
        <w:t>of</w:t>
      </w:r>
      <w:r>
        <w:rPr>
          <w:spacing w:val="-2"/>
        </w:rPr>
        <w:t> </w:t>
      </w:r>
      <w:r>
        <w:rPr/>
        <w:t>sampled farmers</w:t>
      </w:r>
      <w:r>
        <w:rPr>
          <w:spacing w:val="-1"/>
        </w:rPr>
        <w:t> </w:t>
      </w:r>
      <w:r>
        <w:rPr/>
        <w:t>(70.9%)</w:t>
      </w:r>
      <w:r>
        <w:rPr>
          <w:spacing w:val="-2"/>
        </w:rPr>
        <w:t> </w:t>
      </w:r>
      <w:r>
        <w:rPr/>
        <w:t>reported that</w:t>
      </w:r>
      <w:r>
        <w:rPr>
          <w:spacing w:val="-1"/>
        </w:rPr>
        <w:t> </w:t>
      </w:r>
      <w:r>
        <w:rPr/>
        <w:t>crop</w:t>
      </w:r>
      <w:r>
        <w:rPr>
          <w:spacing w:val="-2"/>
        </w:rPr>
        <w:t> </w:t>
      </w:r>
      <w:r>
        <w:rPr/>
        <w:t>production</w:t>
      </w:r>
      <w:r>
        <w:rPr>
          <w:spacing w:val="-2"/>
        </w:rPr>
        <w:t> </w:t>
      </w:r>
      <w:r>
        <w:rPr/>
        <w:t>is</w:t>
      </w:r>
      <w:r>
        <w:rPr>
          <w:spacing w:val="-1"/>
        </w:rPr>
        <w:t> </w:t>
      </w:r>
      <w:r>
        <w:rPr/>
        <w:t>the major and</w:t>
      </w:r>
      <w:r>
        <w:rPr>
          <w:spacing w:val="-2"/>
        </w:rPr>
        <w:t> </w:t>
      </w:r>
      <w:r>
        <w:rPr/>
        <w:t>only</w:t>
      </w:r>
      <w:r>
        <w:rPr>
          <w:spacing w:val="-4"/>
        </w:rPr>
        <w:t> </w:t>
      </w:r>
      <w:r>
        <w:rPr/>
        <w:t>source of</w:t>
      </w:r>
      <w:r>
        <w:rPr>
          <w:spacing w:val="-2"/>
        </w:rPr>
        <w:t> </w:t>
      </w:r>
      <w:r>
        <w:rPr/>
        <w:t>their income. And they reported that sesame, sorghum and maize produce are their main source of income. The average income farmers generated from sale of sesame in 2013/2014 year was about </w:t>
      </w:r>
      <w:r>
        <w:rPr>
          <w:b/>
        </w:rPr>
        <w:t>3260.75</w:t>
      </w:r>
      <w:r>
        <w:rPr/>
        <w:t> birr. In 2014/2015 production season, the average income from sale of sesame is about </w:t>
      </w:r>
      <w:r>
        <w:rPr>
          <w:b/>
        </w:rPr>
        <w:t>3625.50</w:t>
      </w:r>
      <w:r>
        <w:rPr/>
        <w:t> birr, with a minimum of </w:t>
      </w:r>
      <w:r>
        <w:rPr>
          <w:b/>
        </w:rPr>
        <w:t>750</w:t>
      </w:r>
      <w:r>
        <w:rPr/>
        <w:t>birr</w:t>
      </w:r>
      <w:r>
        <w:rPr>
          <w:spacing w:val="40"/>
        </w:rPr>
        <w:t> </w:t>
      </w:r>
      <w:r>
        <w:rPr/>
        <w:t>and a maximum of </w:t>
      </w:r>
      <w:r>
        <w:rPr>
          <w:b/>
        </w:rPr>
        <w:t>6500</w:t>
      </w:r>
      <w:r>
        <w:rPr/>
        <w:t> birr </w:t>
      </w:r>
      <w:r>
        <w:rPr>
          <w:b/>
        </w:rPr>
        <w:t>(</w:t>
      </w:r>
      <w:r>
        <w:rPr/>
        <w:t>Appendix table 4</w:t>
      </w:r>
      <w:r>
        <w:rPr>
          <w:b/>
        </w:rPr>
        <w:t>)</w:t>
      </w:r>
      <w:r>
        <w:rPr/>
        <w:t>. The other possible source of cash for rural household is credit. Accordingly we asked the farmers if they have access to credit from any rural institution. Half the respondents (50.4%)</w:t>
      </w:r>
      <w:r>
        <w:rPr>
          <w:spacing w:val="-4"/>
        </w:rPr>
        <w:t> </w:t>
      </w:r>
      <w:r>
        <w:rPr/>
        <w:t>replied</w:t>
      </w:r>
      <w:r>
        <w:rPr>
          <w:spacing w:val="-1"/>
        </w:rPr>
        <w:t> </w:t>
      </w:r>
      <w:r>
        <w:rPr/>
        <w:t>that</w:t>
      </w:r>
      <w:r>
        <w:rPr>
          <w:spacing w:val="-2"/>
        </w:rPr>
        <w:t> </w:t>
      </w:r>
      <w:r>
        <w:rPr/>
        <w:t>they</w:t>
      </w:r>
      <w:r>
        <w:rPr>
          <w:spacing w:val="-3"/>
        </w:rPr>
        <w:t> </w:t>
      </w:r>
      <w:r>
        <w:rPr/>
        <w:t>have access</w:t>
      </w:r>
      <w:r>
        <w:rPr>
          <w:spacing w:val="-3"/>
        </w:rPr>
        <w:t> </w:t>
      </w:r>
      <w:r>
        <w:rPr/>
        <w:t>to</w:t>
      </w:r>
      <w:r>
        <w:rPr>
          <w:spacing w:val="-1"/>
        </w:rPr>
        <w:t> </w:t>
      </w:r>
      <w:r>
        <w:rPr/>
        <w:t>credit.</w:t>
      </w:r>
      <w:r>
        <w:rPr>
          <w:spacing w:val="-4"/>
        </w:rPr>
        <w:t> </w:t>
      </w:r>
      <w:r>
        <w:rPr/>
        <w:t>The</w:t>
      </w:r>
      <w:r>
        <w:rPr>
          <w:spacing w:val="-2"/>
        </w:rPr>
        <w:t> </w:t>
      </w:r>
      <w:r>
        <w:rPr/>
        <w:t>remaining</w:t>
      </w:r>
      <w:r>
        <w:rPr>
          <w:spacing w:val="-3"/>
        </w:rPr>
        <w:t> </w:t>
      </w:r>
      <w:r>
        <w:rPr/>
        <w:t>49.6%</w:t>
      </w:r>
      <w:r>
        <w:rPr>
          <w:spacing w:val="-2"/>
        </w:rPr>
        <w:t> </w:t>
      </w:r>
      <w:r>
        <w:rPr/>
        <w:t>answered</w:t>
      </w:r>
      <w:r>
        <w:rPr>
          <w:spacing w:val="-1"/>
        </w:rPr>
        <w:t> </w:t>
      </w:r>
      <w:r>
        <w:rPr/>
        <w:t>they</w:t>
      </w:r>
      <w:r>
        <w:rPr>
          <w:spacing w:val="-3"/>
        </w:rPr>
        <w:t> </w:t>
      </w:r>
      <w:r>
        <w:rPr/>
        <w:t>have</w:t>
      </w:r>
      <w:r>
        <w:rPr>
          <w:spacing w:val="-2"/>
        </w:rPr>
        <w:t> </w:t>
      </w:r>
      <w:r>
        <w:rPr/>
        <w:t>no</w:t>
      </w:r>
      <w:r>
        <w:rPr>
          <w:spacing w:val="-1"/>
        </w:rPr>
        <w:t> </w:t>
      </w:r>
      <w:r>
        <w:rPr/>
        <w:t>access</w:t>
      </w:r>
      <w:r>
        <w:rPr>
          <w:spacing w:val="-3"/>
        </w:rPr>
        <w:t> </w:t>
      </w:r>
      <w:r>
        <w:rPr/>
        <w:t>to</w:t>
      </w:r>
      <w:r>
        <w:rPr>
          <w:spacing w:val="-1"/>
        </w:rPr>
        <w:t> </w:t>
      </w:r>
      <w:r>
        <w:rPr/>
        <w:t>any</w:t>
      </w:r>
      <w:r>
        <w:rPr>
          <w:spacing w:val="-6"/>
        </w:rPr>
        <w:t> </w:t>
      </w:r>
      <w:r>
        <w:rPr/>
        <w:t>credit. According to this survey</w:t>
      </w:r>
      <w:r>
        <w:rPr>
          <w:spacing w:val="-2"/>
        </w:rPr>
        <w:t> </w:t>
      </w:r>
      <w:r>
        <w:rPr/>
        <w:t>result about 83 (65.4%) of the sampled farmers are the members of cooperatives, while 44 (34.6%) of the respondents have not been a member of any cooperatives. The average years of farming experience related to sesame production was</w:t>
      </w:r>
      <w:r>
        <w:rPr>
          <w:spacing w:val="-1"/>
        </w:rPr>
        <w:t> </w:t>
      </w:r>
      <w:r>
        <w:rPr/>
        <w:t>9.95 years</w:t>
      </w:r>
      <w:r>
        <w:rPr>
          <w:spacing w:val="-1"/>
        </w:rPr>
        <w:t> </w:t>
      </w:r>
      <w:r>
        <w:rPr/>
        <w:t>in</w:t>
      </w:r>
      <w:r>
        <w:rPr>
          <w:spacing w:val="-2"/>
        </w:rPr>
        <w:t> </w:t>
      </w:r>
      <w:r>
        <w:rPr/>
        <w:t>Gimbi Woreda.</w:t>
      </w:r>
      <w:r>
        <w:rPr>
          <w:spacing w:val="-2"/>
        </w:rPr>
        <w:t> </w:t>
      </w:r>
      <w:r>
        <w:rPr/>
        <w:t>The average family</w:t>
      </w:r>
      <w:r>
        <w:rPr>
          <w:spacing w:val="-2"/>
        </w:rPr>
        <w:t> </w:t>
      </w:r>
      <w:r>
        <w:rPr/>
        <w:t>size of</w:t>
      </w:r>
      <w:r>
        <w:rPr>
          <w:spacing w:val="-2"/>
        </w:rPr>
        <w:t> </w:t>
      </w:r>
      <w:r>
        <w:rPr/>
        <w:t>the sample farmers during</w:t>
      </w:r>
      <w:r>
        <w:rPr>
          <w:spacing w:val="-2"/>
        </w:rPr>
        <w:t> </w:t>
      </w:r>
      <w:r>
        <w:rPr/>
        <w:t>the survey</w:t>
      </w:r>
      <w:r>
        <w:rPr>
          <w:spacing w:val="-4"/>
        </w:rPr>
        <w:t> </w:t>
      </w:r>
      <w:r>
        <w:rPr/>
        <w:t>period was</w:t>
      </w:r>
      <w:r>
        <w:rPr>
          <w:spacing w:val="-1"/>
        </w:rPr>
        <w:t> </w:t>
      </w:r>
      <w:r>
        <w:rPr/>
        <w:t>6.5 persons, with maximum</w:t>
      </w:r>
      <w:r>
        <w:rPr>
          <w:spacing w:val="-2"/>
        </w:rPr>
        <w:t> </w:t>
      </w:r>
      <w:r>
        <w:rPr/>
        <w:t>and minimum family</w:t>
      </w:r>
      <w:r>
        <w:rPr>
          <w:spacing w:val="-2"/>
        </w:rPr>
        <w:t> </w:t>
      </w:r>
      <w:r>
        <w:rPr/>
        <w:t>size of</w:t>
      </w:r>
      <w:r>
        <w:rPr>
          <w:spacing w:val="-2"/>
        </w:rPr>
        <w:t> </w:t>
      </w:r>
      <w:r>
        <w:rPr/>
        <w:t>11 and 2 persons, </w:t>
      </w:r>
      <w:r>
        <w:rPr>
          <w:spacing w:val="-2"/>
        </w:rPr>
        <w:t>respectively.</w:t>
      </w:r>
    </w:p>
    <w:p>
      <w:pPr>
        <w:pStyle w:val="Heading3"/>
        <w:spacing w:before="2" w:after="26"/>
      </w:pPr>
      <w:r>
        <w:rPr/>
        <w:t>Table</w:t>
      </w:r>
      <w:r>
        <w:rPr>
          <w:b w:val="0"/>
          <w:spacing w:val="-9"/>
        </w:rPr>
        <w:t> </w:t>
      </w:r>
      <w:r>
        <w:rPr/>
        <w:t>3.</w:t>
      </w:r>
      <w:r>
        <w:rPr>
          <w:b w:val="0"/>
          <w:spacing w:val="-8"/>
        </w:rPr>
        <w:t> </w:t>
      </w:r>
      <w:r>
        <w:rPr/>
        <w:t>Demographic</w:t>
      </w:r>
      <w:r>
        <w:rPr>
          <w:b w:val="0"/>
          <w:spacing w:val="-8"/>
        </w:rPr>
        <w:t> </w:t>
      </w:r>
      <w:r>
        <w:rPr/>
        <w:t>and</w:t>
      </w:r>
      <w:r>
        <w:rPr>
          <w:b w:val="0"/>
          <w:spacing w:val="-8"/>
        </w:rPr>
        <w:t> </w:t>
      </w:r>
      <w:r>
        <w:rPr/>
        <w:t>socioeconomic</w:t>
      </w:r>
      <w:r>
        <w:rPr>
          <w:b w:val="0"/>
          <w:spacing w:val="-9"/>
        </w:rPr>
        <w:t> </w:t>
      </w:r>
      <w:r>
        <w:rPr/>
        <w:t>characteristics</w:t>
      </w:r>
      <w:r>
        <w:rPr>
          <w:b w:val="0"/>
          <w:spacing w:val="-7"/>
        </w:rPr>
        <w:t> </w:t>
      </w:r>
      <w:r>
        <w:rPr/>
        <w:t>of</w:t>
      </w:r>
      <w:r>
        <w:rPr>
          <w:b w:val="0"/>
          <w:spacing w:val="-7"/>
        </w:rPr>
        <w:t> </w:t>
      </w:r>
      <w:r>
        <w:rPr/>
        <w:t>samples</w:t>
      </w:r>
      <w:r>
        <w:rPr>
          <w:b w:val="0"/>
          <w:spacing w:val="-9"/>
        </w:rPr>
        <w:t> </w:t>
      </w:r>
      <w:r>
        <w:rPr/>
        <w:t>(continuous</w:t>
      </w:r>
      <w:r>
        <w:rPr>
          <w:b w:val="0"/>
          <w:spacing w:val="-10"/>
        </w:rPr>
        <w:t> </w:t>
      </w:r>
      <w:r>
        <w:rPr>
          <w:spacing w:val="-2"/>
        </w:rPr>
        <w:t>variables)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61"/>
        <w:gridCol w:w="1084"/>
        <w:gridCol w:w="1272"/>
        <w:gridCol w:w="2688"/>
      </w:tblGrid>
      <w:tr>
        <w:trPr>
          <w:trHeight w:val="224" w:hRule="atLeast"/>
        </w:trPr>
        <w:tc>
          <w:tcPr>
            <w:tcW w:w="5345" w:type="dxa"/>
            <w:gridSpan w:val="2"/>
            <w:tcBorders>
              <w:top w:val="triple" w:sz="4" w:space="0" w:color="000000"/>
            </w:tcBorders>
          </w:tcPr>
          <w:p>
            <w:pPr>
              <w:pStyle w:val="TableParagraph"/>
              <w:spacing w:line="240" w:lineRule="auto"/>
              <w:jc w:val="left"/>
              <w:rPr>
                <w:sz w:val="16"/>
              </w:rPr>
            </w:pPr>
          </w:p>
        </w:tc>
        <w:tc>
          <w:tcPr>
            <w:tcW w:w="1272" w:type="dxa"/>
            <w:tcBorders>
              <w:top w:val="triple" w:sz="4" w:space="0" w:color="000000"/>
              <w:bottom w:val="double" w:sz="4" w:space="0" w:color="000000"/>
            </w:tcBorders>
          </w:tcPr>
          <w:p>
            <w:pPr>
              <w:pStyle w:val="TableParagraph"/>
              <w:spacing w:line="211" w:lineRule="exact"/>
              <w:ind w:left="570"/>
              <w:jc w:val="left"/>
              <w:rPr>
                <w:b/>
                <w:sz w:val="20"/>
              </w:rPr>
            </w:pPr>
            <w:r>
              <w:rPr>
                <w:b/>
                <w:spacing w:val="-2"/>
                <w:sz w:val="20"/>
              </w:rPr>
              <w:t>N=127</w:t>
            </w:r>
          </w:p>
        </w:tc>
        <w:tc>
          <w:tcPr>
            <w:tcW w:w="2688" w:type="dxa"/>
            <w:tcBorders>
              <w:top w:val="triple" w:sz="4" w:space="0" w:color="000000"/>
              <w:bottom w:val="double" w:sz="4" w:space="0" w:color="000000"/>
            </w:tcBorders>
          </w:tcPr>
          <w:p>
            <w:pPr>
              <w:pStyle w:val="TableParagraph"/>
              <w:spacing w:line="240" w:lineRule="auto"/>
              <w:jc w:val="left"/>
              <w:rPr>
                <w:sz w:val="16"/>
              </w:rPr>
            </w:pPr>
          </w:p>
        </w:tc>
      </w:tr>
      <w:tr>
        <w:trPr>
          <w:trHeight w:val="236" w:hRule="atLeast"/>
        </w:trPr>
        <w:tc>
          <w:tcPr>
            <w:tcW w:w="4261" w:type="dxa"/>
            <w:tcBorders>
              <w:top w:val="double" w:sz="4" w:space="0" w:color="000000"/>
              <w:bottom w:val="double" w:sz="4" w:space="0" w:color="000000"/>
            </w:tcBorders>
          </w:tcPr>
          <w:p>
            <w:pPr>
              <w:pStyle w:val="TableParagraph"/>
              <w:spacing w:line="199" w:lineRule="exact"/>
              <w:ind w:left="122"/>
              <w:jc w:val="left"/>
              <w:rPr>
                <w:b/>
                <w:sz w:val="20"/>
              </w:rPr>
            </w:pPr>
            <w:r>
              <w:rPr>
                <w:b/>
                <w:spacing w:val="-2"/>
                <w:sz w:val="20"/>
              </w:rPr>
              <w:t>Variables</w:t>
            </w:r>
          </w:p>
        </w:tc>
        <w:tc>
          <w:tcPr>
            <w:tcW w:w="1084" w:type="dxa"/>
            <w:tcBorders>
              <w:top w:val="double" w:sz="4" w:space="0" w:color="000000"/>
              <w:bottom w:val="double" w:sz="4" w:space="0" w:color="000000"/>
            </w:tcBorders>
          </w:tcPr>
          <w:p>
            <w:pPr>
              <w:pStyle w:val="TableParagraph"/>
              <w:spacing w:line="209" w:lineRule="exact"/>
              <w:ind w:left="20"/>
              <w:jc w:val="left"/>
              <w:rPr>
                <w:b/>
                <w:sz w:val="20"/>
              </w:rPr>
            </w:pPr>
            <w:r>
              <w:rPr>
                <w:b/>
                <w:spacing w:val="-4"/>
                <w:sz w:val="20"/>
              </w:rPr>
              <w:t>Mean</w:t>
            </w:r>
          </w:p>
        </w:tc>
        <w:tc>
          <w:tcPr>
            <w:tcW w:w="1272" w:type="dxa"/>
            <w:tcBorders>
              <w:top w:val="double" w:sz="4" w:space="0" w:color="000000"/>
              <w:bottom w:val="double" w:sz="4" w:space="0" w:color="000000"/>
            </w:tcBorders>
          </w:tcPr>
          <w:p>
            <w:pPr>
              <w:pStyle w:val="TableParagraph"/>
              <w:spacing w:line="240" w:lineRule="auto"/>
              <w:jc w:val="left"/>
              <w:rPr>
                <w:sz w:val="16"/>
              </w:rPr>
            </w:pPr>
          </w:p>
        </w:tc>
        <w:tc>
          <w:tcPr>
            <w:tcW w:w="2688" w:type="dxa"/>
            <w:tcBorders>
              <w:top w:val="double" w:sz="4" w:space="0" w:color="000000"/>
              <w:bottom w:val="double" w:sz="4" w:space="0" w:color="000000"/>
            </w:tcBorders>
          </w:tcPr>
          <w:p>
            <w:pPr>
              <w:pStyle w:val="TableParagraph"/>
              <w:spacing w:line="209" w:lineRule="exact"/>
              <w:ind w:right="657"/>
              <w:rPr>
                <w:b/>
                <w:sz w:val="20"/>
              </w:rPr>
            </w:pPr>
            <w:r>
              <w:rPr>
                <w:b/>
                <w:sz w:val="20"/>
              </w:rPr>
              <w:t>Standard</w:t>
            </w:r>
            <w:r>
              <w:rPr>
                <w:spacing w:val="-11"/>
                <w:sz w:val="20"/>
              </w:rPr>
              <w:t> </w:t>
            </w:r>
            <w:r>
              <w:rPr>
                <w:b/>
                <w:spacing w:val="-2"/>
                <w:sz w:val="20"/>
              </w:rPr>
              <w:t>Deviations</w:t>
            </w:r>
          </w:p>
        </w:tc>
      </w:tr>
      <w:tr>
        <w:trPr>
          <w:trHeight w:val="460" w:hRule="atLeast"/>
        </w:trPr>
        <w:tc>
          <w:tcPr>
            <w:tcW w:w="4261" w:type="dxa"/>
            <w:tcBorders>
              <w:top w:val="double" w:sz="4" w:space="0" w:color="000000"/>
            </w:tcBorders>
          </w:tcPr>
          <w:p>
            <w:pPr>
              <w:pStyle w:val="TableParagraph"/>
              <w:spacing w:line="217" w:lineRule="exact" w:before="223"/>
              <w:ind w:left="122"/>
              <w:jc w:val="left"/>
              <w:rPr>
                <w:sz w:val="20"/>
              </w:rPr>
            </w:pPr>
            <w:r>
              <w:rPr>
                <w:spacing w:val="-5"/>
                <w:sz w:val="20"/>
              </w:rPr>
              <w:t>Age</w:t>
            </w:r>
          </w:p>
        </w:tc>
        <w:tc>
          <w:tcPr>
            <w:tcW w:w="1084" w:type="dxa"/>
            <w:tcBorders>
              <w:top w:val="double" w:sz="4" w:space="0" w:color="000000"/>
            </w:tcBorders>
          </w:tcPr>
          <w:p>
            <w:pPr>
              <w:pStyle w:val="TableParagraph"/>
              <w:spacing w:line="212" w:lineRule="exact" w:before="228"/>
              <w:ind w:left="39"/>
              <w:jc w:val="left"/>
              <w:rPr>
                <w:b/>
                <w:sz w:val="20"/>
              </w:rPr>
            </w:pPr>
            <w:r>
              <w:rPr>
                <w:b/>
                <w:spacing w:val="-2"/>
                <w:sz w:val="20"/>
              </w:rPr>
              <w:t>43.95</w:t>
            </w:r>
          </w:p>
        </w:tc>
        <w:tc>
          <w:tcPr>
            <w:tcW w:w="1272" w:type="dxa"/>
            <w:tcBorders>
              <w:top w:val="double" w:sz="4" w:space="0" w:color="000000"/>
            </w:tcBorders>
          </w:tcPr>
          <w:p>
            <w:pPr>
              <w:pStyle w:val="TableParagraph"/>
              <w:spacing w:line="240" w:lineRule="auto"/>
              <w:jc w:val="left"/>
              <w:rPr>
                <w:sz w:val="18"/>
              </w:rPr>
            </w:pPr>
          </w:p>
        </w:tc>
        <w:tc>
          <w:tcPr>
            <w:tcW w:w="2688" w:type="dxa"/>
            <w:tcBorders>
              <w:top w:val="double" w:sz="4" w:space="0" w:color="000000"/>
            </w:tcBorders>
          </w:tcPr>
          <w:p>
            <w:pPr>
              <w:pStyle w:val="TableParagraph"/>
              <w:spacing w:line="212" w:lineRule="exact" w:before="228"/>
              <w:ind w:left="3" w:right="657"/>
              <w:rPr>
                <w:b/>
                <w:sz w:val="20"/>
              </w:rPr>
            </w:pPr>
            <w:r>
              <w:rPr>
                <w:b/>
                <w:spacing w:val="-4"/>
                <w:sz w:val="20"/>
              </w:rPr>
              <w:t>9.95</w:t>
            </w:r>
          </w:p>
        </w:tc>
      </w:tr>
      <w:tr>
        <w:trPr>
          <w:trHeight w:val="230" w:hRule="atLeast"/>
        </w:trPr>
        <w:tc>
          <w:tcPr>
            <w:tcW w:w="4261" w:type="dxa"/>
          </w:tcPr>
          <w:p>
            <w:pPr>
              <w:pStyle w:val="TableParagraph"/>
              <w:ind w:left="122"/>
              <w:jc w:val="left"/>
              <w:rPr>
                <w:sz w:val="20"/>
              </w:rPr>
            </w:pPr>
            <w:r>
              <w:rPr>
                <w:sz w:val="20"/>
              </w:rPr>
              <w:t>Family</w:t>
            </w:r>
            <w:r>
              <w:rPr>
                <w:spacing w:val="-9"/>
                <w:sz w:val="20"/>
              </w:rPr>
              <w:t> </w:t>
            </w:r>
            <w:r>
              <w:rPr>
                <w:spacing w:val="-4"/>
                <w:sz w:val="20"/>
              </w:rPr>
              <w:t>Size</w:t>
            </w:r>
          </w:p>
        </w:tc>
        <w:tc>
          <w:tcPr>
            <w:tcW w:w="1084" w:type="dxa"/>
          </w:tcPr>
          <w:p>
            <w:pPr>
              <w:pStyle w:val="TableParagraph"/>
              <w:ind w:left="140"/>
              <w:jc w:val="left"/>
              <w:rPr>
                <w:b/>
                <w:sz w:val="20"/>
              </w:rPr>
            </w:pPr>
            <w:r>
              <w:rPr>
                <w:b/>
                <w:spacing w:val="-5"/>
                <w:sz w:val="20"/>
              </w:rPr>
              <w:t>6.5</w:t>
            </w:r>
          </w:p>
        </w:tc>
        <w:tc>
          <w:tcPr>
            <w:tcW w:w="1272" w:type="dxa"/>
          </w:tcPr>
          <w:p>
            <w:pPr>
              <w:pStyle w:val="TableParagraph"/>
              <w:spacing w:line="240" w:lineRule="auto"/>
              <w:jc w:val="left"/>
              <w:rPr>
                <w:sz w:val="16"/>
              </w:rPr>
            </w:pPr>
          </w:p>
        </w:tc>
        <w:tc>
          <w:tcPr>
            <w:tcW w:w="2688" w:type="dxa"/>
          </w:tcPr>
          <w:p>
            <w:pPr>
              <w:pStyle w:val="TableParagraph"/>
              <w:ind w:left="3" w:right="657"/>
              <w:rPr>
                <w:b/>
                <w:sz w:val="20"/>
              </w:rPr>
            </w:pPr>
            <w:r>
              <w:rPr>
                <w:b/>
                <w:spacing w:val="-4"/>
                <w:sz w:val="20"/>
              </w:rPr>
              <w:t>1.79</w:t>
            </w:r>
          </w:p>
        </w:tc>
      </w:tr>
      <w:tr>
        <w:trPr>
          <w:trHeight w:val="231" w:hRule="atLeast"/>
        </w:trPr>
        <w:tc>
          <w:tcPr>
            <w:tcW w:w="4261" w:type="dxa"/>
            <w:tcBorders>
              <w:bottom w:val="triple" w:sz="4" w:space="0" w:color="000000"/>
            </w:tcBorders>
          </w:tcPr>
          <w:p>
            <w:pPr>
              <w:pStyle w:val="TableParagraph"/>
              <w:spacing w:line="212" w:lineRule="exact"/>
              <w:ind w:left="122"/>
              <w:jc w:val="left"/>
              <w:rPr>
                <w:sz w:val="20"/>
              </w:rPr>
            </w:pPr>
            <w:r>
              <w:rPr>
                <w:spacing w:val="-2"/>
                <w:sz w:val="20"/>
              </w:rPr>
              <w:t>Experience</w:t>
            </w:r>
          </w:p>
        </w:tc>
        <w:tc>
          <w:tcPr>
            <w:tcW w:w="1084" w:type="dxa"/>
            <w:tcBorders>
              <w:bottom w:val="triple" w:sz="4" w:space="0" w:color="000000"/>
            </w:tcBorders>
          </w:tcPr>
          <w:p>
            <w:pPr>
              <w:pStyle w:val="TableParagraph"/>
              <w:spacing w:line="212" w:lineRule="exact"/>
              <w:ind w:left="90"/>
              <w:jc w:val="left"/>
              <w:rPr>
                <w:b/>
                <w:sz w:val="20"/>
              </w:rPr>
            </w:pPr>
            <w:r>
              <w:rPr>
                <w:b/>
                <w:spacing w:val="-4"/>
                <w:sz w:val="20"/>
              </w:rPr>
              <w:t>9.95</w:t>
            </w:r>
          </w:p>
        </w:tc>
        <w:tc>
          <w:tcPr>
            <w:tcW w:w="1272" w:type="dxa"/>
            <w:tcBorders>
              <w:bottom w:val="triple" w:sz="4" w:space="0" w:color="000000"/>
            </w:tcBorders>
          </w:tcPr>
          <w:p>
            <w:pPr>
              <w:pStyle w:val="TableParagraph"/>
              <w:spacing w:line="240" w:lineRule="auto"/>
              <w:jc w:val="left"/>
              <w:rPr>
                <w:sz w:val="16"/>
              </w:rPr>
            </w:pPr>
          </w:p>
        </w:tc>
        <w:tc>
          <w:tcPr>
            <w:tcW w:w="2688" w:type="dxa"/>
            <w:tcBorders>
              <w:bottom w:val="triple" w:sz="4" w:space="0" w:color="000000"/>
            </w:tcBorders>
          </w:tcPr>
          <w:p>
            <w:pPr>
              <w:pStyle w:val="TableParagraph"/>
              <w:spacing w:line="212" w:lineRule="exact"/>
              <w:ind w:left="3" w:right="657"/>
              <w:rPr>
                <w:b/>
                <w:sz w:val="20"/>
              </w:rPr>
            </w:pPr>
            <w:r>
              <w:rPr>
                <w:b/>
                <w:spacing w:val="-4"/>
                <w:sz w:val="20"/>
              </w:rPr>
              <w:t>1.79</w:t>
            </w:r>
          </w:p>
        </w:tc>
      </w:tr>
      <w:tr>
        <w:trPr>
          <w:trHeight w:val="222" w:hRule="atLeast"/>
        </w:trPr>
        <w:tc>
          <w:tcPr>
            <w:tcW w:w="4261" w:type="dxa"/>
            <w:tcBorders>
              <w:top w:val="triple" w:sz="4" w:space="0" w:color="000000"/>
            </w:tcBorders>
          </w:tcPr>
          <w:p>
            <w:pPr>
              <w:pStyle w:val="TableParagraph"/>
              <w:spacing w:line="202" w:lineRule="exact"/>
              <w:ind w:left="122"/>
              <w:jc w:val="left"/>
              <w:rPr>
                <w:sz w:val="20"/>
              </w:rPr>
            </w:pPr>
            <w:r>
              <w:rPr>
                <w:sz w:val="20"/>
              </w:rPr>
              <w:t>Source:</w:t>
            </w:r>
            <w:r>
              <w:rPr>
                <w:spacing w:val="-7"/>
                <w:sz w:val="20"/>
              </w:rPr>
              <w:t> </w:t>
            </w:r>
            <w:r>
              <w:rPr>
                <w:sz w:val="20"/>
              </w:rPr>
              <w:t>Own</w:t>
            </w:r>
            <w:r>
              <w:rPr>
                <w:spacing w:val="-8"/>
                <w:sz w:val="20"/>
              </w:rPr>
              <w:t> </w:t>
            </w:r>
            <w:r>
              <w:rPr>
                <w:sz w:val="20"/>
              </w:rPr>
              <w:t>computation</w:t>
            </w:r>
            <w:r>
              <w:rPr>
                <w:spacing w:val="-7"/>
                <w:sz w:val="20"/>
              </w:rPr>
              <w:t> </w:t>
            </w:r>
            <w:r>
              <w:rPr>
                <w:sz w:val="20"/>
              </w:rPr>
              <w:t>from</w:t>
            </w:r>
            <w:r>
              <w:rPr>
                <w:spacing w:val="-7"/>
                <w:sz w:val="20"/>
              </w:rPr>
              <w:t> </w:t>
            </w:r>
            <w:r>
              <w:rPr>
                <w:sz w:val="20"/>
              </w:rPr>
              <w:t>survey</w:t>
            </w:r>
            <w:r>
              <w:rPr>
                <w:spacing w:val="-8"/>
                <w:sz w:val="20"/>
              </w:rPr>
              <w:t> </w:t>
            </w:r>
            <w:r>
              <w:rPr>
                <w:sz w:val="20"/>
              </w:rPr>
              <w:t>result,</w:t>
            </w:r>
            <w:r>
              <w:rPr>
                <w:spacing w:val="-6"/>
                <w:sz w:val="20"/>
              </w:rPr>
              <w:t> </w:t>
            </w:r>
            <w:r>
              <w:rPr>
                <w:spacing w:val="-4"/>
                <w:sz w:val="20"/>
              </w:rPr>
              <w:t>2015</w:t>
            </w:r>
          </w:p>
        </w:tc>
        <w:tc>
          <w:tcPr>
            <w:tcW w:w="1084" w:type="dxa"/>
            <w:tcBorders>
              <w:top w:val="triple" w:sz="4" w:space="0" w:color="000000"/>
            </w:tcBorders>
          </w:tcPr>
          <w:p>
            <w:pPr>
              <w:pStyle w:val="TableParagraph"/>
              <w:spacing w:line="240" w:lineRule="auto"/>
              <w:jc w:val="left"/>
              <w:rPr>
                <w:sz w:val="14"/>
              </w:rPr>
            </w:pPr>
          </w:p>
        </w:tc>
        <w:tc>
          <w:tcPr>
            <w:tcW w:w="1272" w:type="dxa"/>
            <w:tcBorders>
              <w:top w:val="triple" w:sz="4" w:space="0" w:color="000000"/>
            </w:tcBorders>
          </w:tcPr>
          <w:p>
            <w:pPr>
              <w:pStyle w:val="TableParagraph"/>
              <w:spacing w:line="240" w:lineRule="auto"/>
              <w:jc w:val="left"/>
              <w:rPr>
                <w:sz w:val="14"/>
              </w:rPr>
            </w:pPr>
          </w:p>
        </w:tc>
        <w:tc>
          <w:tcPr>
            <w:tcW w:w="2688" w:type="dxa"/>
            <w:tcBorders>
              <w:top w:val="triple" w:sz="4" w:space="0" w:color="000000"/>
            </w:tcBorders>
          </w:tcPr>
          <w:p>
            <w:pPr>
              <w:pStyle w:val="TableParagraph"/>
              <w:spacing w:line="240" w:lineRule="auto"/>
              <w:jc w:val="left"/>
              <w:rPr>
                <w:sz w:val="14"/>
              </w:rPr>
            </w:pPr>
          </w:p>
        </w:tc>
      </w:tr>
    </w:tbl>
    <w:p>
      <w:pPr>
        <w:spacing w:line="228" w:lineRule="exact" w:before="210"/>
        <w:ind w:left="240" w:right="0" w:firstLine="0"/>
        <w:jc w:val="both"/>
        <w:rPr>
          <w:b/>
          <w:sz w:val="20"/>
        </w:rPr>
      </w:pPr>
      <w:r>
        <w:rPr>
          <w:b/>
          <w:sz w:val="20"/>
        </w:rPr>
        <w:t>Land</w:t>
      </w:r>
      <w:r>
        <w:rPr>
          <w:spacing w:val="-7"/>
          <w:sz w:val="20"/>
        </w:rPr>
        <w:t> </w:t>
      </w:r>
      <w:r>
        <w:rPr>
          <w:b/>
          <w:sz w:val="20"/>
        </w:rPr>
        <w:t>ownership</w:t>
      </w:r>
      <w:r>
        <w:rPr>
          <w:spacing w:val="-4"/>
          <w:sz w:val="20"/>
        </w:rPr>
        <w:t> </w:t>
      </w:r>
      <w:r>
        <w:rPr>
          <w:b/>
          <w:sz w:val="20"/>
        </w:rPr>
        <w:t>status</w:t>
      </w:r>
      <w:r>
        <w:rPr>
          <w:spacing w:val="-7"/>
          <w:sz w:val="20"/>
        </w:rPr>
        <w:t> </w:t>
      </w:r>
      <w:r>
        <w:rPr>
          <w:b/>
          <w:sz w:val="20"/>
        </w:rPr>
        <w:t>of</w:t>
      </w:r>
      <w:r>
        <w:rPr>
          <w:spacing w:val="-6"/>
          <w:sz w:val="20"/>
        </w:rPr>
        <w:t> </w:t>
      </w:r>
      <w:r>
        <w:rPr>
          <w:b/>
          <w:sz w:val="20"/>
        </w:rPr>
        <w:t>sampled</w:t>
      </w:r>
      <w:r>
        <w:rPr>
          <w:spacing w:val="-6"/>
          <w:sz w:val="20"/>
        </w:rPr>
        <w:t> </w:t>
      </w:r>
      <w:r>
        <w:rPr>
          <w:b/>
          <w:spacing w:val="-2"/>
          <w:sz w:val="20"/>
        </w:rPr>
        <w:t>farmers</w:t>
      </w:r>
    </w:p>
    <w:p>
      <w:pPr>
        <w:pStyle w:val="BodyText"/>
        <w:ind w:right="226"/>
      </w:pPr>
      <w:r>
        <w:rPr/>
        <w:t>Survey result indicates that about 90.5% of respondents own land. That means, only 9.5% of sampled farmers</w:t>
      </w:r>
      <w:r>
        <w:rPr>
          <w:spacing w:val="40"/>
        </w:rPr>
        <w:t> </w:t>
      </w:r>
      <w:r>
        <w:rPr/>
        <w:t>did not posses their own land. The farm size of sampled farmers varies from 1 to 10 hectares and the average farm size for these sampled farmers is found to be 3.61 hectare.</w:t>
      </w:r>
    </w:p>
    <w:p>
      <w:pPr>
        <w:pStyle w:val="Heading3"/>
        <w:spacing w:before="4" w:after="14"/>
      </w:pPr>
      <w:r>
        <w:rPr/>
        <w:t>Table</w:t>
      </w:r>
      <w:r>
        <w:rPr>
          <w:b w:val="0"/>
          <w:spacing w:val="-5"/>
        </w:rPr>
        <w:t> </w:t>
      </w:r>
      <w:r>
        <w:rPr/>
        <w:t>4:</w:t>
      </w:r>
      <w:r>
        <w:rPr>
          <w:b w:val="0"/>
          <w:spacing w:val="-4"/>
        </w:rPr>
        <w:t> </w:t>
      </w:r>
      <w:r>
        <w:rPr/>
        <w:t>Land</w:t>
      </w:r>
      <w:r>
        <w:rPr>
          <w:b w:val="0"/>
          <w:spacing w:val="-4"/>
        </w:rPr>
        <w:t> </w:t>
      </w:r>
      <w:r>
        <w:rPr/>
        <w:t>ownership</w:t>
      </w:r>
      <w:r>
        <w:rPr>
          <w:b w:val="0"/>
          <w:spacing w:val="-5"/>
        </w:rPr>
        <w:t> </w:t>
      </w:r>
      <w:r>
        <w:rPr/>
        <w:t>of</w:t>
      </w:r>
      <w:r>
        <w:rPr>
          <w:b w:val="0"/>
          <w:spacing w:val="-3"/>
        </w:rPr>
        <w:t> </w:t>
      </w:r>
      <w:r>
        <w:rPr/>
        <w:t>the</w:t>
      </w:r>
      <w:r>
        <w:rPr>
          <w:b w:val="0"/>
          <w:spacing w:val="-5"/>
        </w:rPr>
        <w:t> </w:t>
      </w:r>
      <w:r>
        <w:rPr>
          <w:spacing w:val="-2"/>
        </w:rPr>
        <w:t>respondents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3"/>
        <w:gridCol w:w="1176"/>
        <w:gridCol w:w="2264"/>
        <w:gridCol w:w="1343"/>
        <w:gridCol w:w="1334"/>
      </w:tblGrid>
      <w:tr>
        <w:trPr>
          <w:trHeight w:val="231" w:hRule="atLeast"/>
        </w:trPr>
        <w:tc>
          <w:tcPr>
            <w:tcW w:w="3183" w:type="dxa"/>
            <w:tcBorders>
              <w:top w:val="double" w:sz="4" w:space="0" w:color="000000"/>
              <w:bottom w:val="double" w:sz="4" w:space="0" w:color="000000"/>
            </w:tcBorders>
          </w:tcPr>
          <w:p>
            <w:pPr>
              <w:pStyle w:val="TableParagraph"/>
              <w:spacing w:line="212" w:lineRule="exact"/>
              <w:ind w:left="122"/>
              <w:jc w:val="left"/>
              <w:rPr>
                <w:b/>
                <w:sz w:val="20"/>
              </w:rPr>
            </w:pPr>
            <w:r>
              <w:rPr>
                <w:b/>
                <w:sz w:val="20"/>
              </w:rPr>
              <w:t>Land</w:t>
            </w:r>
            <w:r>
              <w:rPr>
                <w:spacing w:val="-6"/>
                <w:sz w:val="20"/>
              </w:rPr>
              <w:t> </w:t>
            </w:r>
            <w:r>
              <w:rPr>
                <w:b/>
                <w:spacing w:val="-2"/>
                <w:sz w:val="20"/>
              </w:rPr>
              <w:t>status</w:t>
            </w:r>
          </w:p>
        </w:tc>
        <w:tc>
          <w:tcPr>
            <w:tcW w:w="1176" w:type="dxa"/>
            <w:tcBorders>
              <w:top w:val="double" w:sz="4" w:space="0" w:color="000000"/>
              <w:bottom w:val="double" w:sz="4" w:space="0" w:color="000000"/>
            </w:tcBorders>
          </w:tcPr>
          <w:p>
            <w:pPr>
              <w:pStyle w:val="TableParagraph"/>
              <w:spacing w:line="212" w:lineRule="exact"/>
              <w:ind w:left="191"/>
              <w:rPr>
                <w:b/>
                <w:sz w:val="20"/>
              </w:rPr>
            </w:pPr>
            <w:r>
              <w:rPr>
                <w:b/>
                <w:spacing w:val="-4"/>
                <w:sz w:val="20"/>
              </w:rPr>
              <w:t>Mean</w:t>
            </w:r>
          </w:p>
        </w:tc>
        <w:tc>
          <w:tcPr>
            <w:tcW w:w="2264" w:type="dxa"/>
            <w:tcBorders>
              <w:top w:val="double" w:sz="4" w:space="0" w:color="000000"/>
              <w:bottom w:val="double" w:sz="4" w:space="0" w:color="000000"/>
            </w:tcBorders>
          </w:tcPr>
          <w:p>
            <w:pPr>
              <w:pStyle w:val="TableParagraph"/>
              <w:spacing w:line="212" w:lineRule="exact"/>
              <w:ind w:right="13"/>
              <w:rPr>
                <w:b/>
                <w:sz w:val="20"/>
              </w:rPr>
            </w:pPr>
            <w:r>
              <w:rPr>
                <w:b/>
                <w:sz w:val="20"/>
              </w:rPr>
              <w:t>Standard</w:t>
            </w:r>
            <w:r>
              <w:rPr>
                <w:spacing w:val="-11"/>
                <w:sz w:val="20"/>
              </w:rPr>
              <w:t> </w:t>
            </w:r>
            <w:r>
              <w:rPr>
                <w:b/>
                <w:spacing w:val="-2"/>
                <w:sz w:val="20"/>
              </w:rPr>
              <w:t>Deviations</w:t>
            </w:r>
          </w:p>
        </w:tc>
        <w:tc>
          <w:tcPr>
            <w:tcW w:w="1343" w:type="dxa"/>
            <w:tcBorders>
              <w:top w:val="double" w:sz="4" w:space="0" w:color="000000"/>
              <w:bottom w:val="double" w:sz="4" w:space="0" w:color="000000"/>
            </w:tcBorders>
          </w:tcPr>
          <w:p>
            <w:pPr>
              <w:pStyle w:val="TableParagraph"/>
              <w:spacing w:line="212" w:lineRule="exact"/>
              <w:ind w:left="52" w:right="4"/>
              <w:rPr>
                <w:b/>
                <w:sz w:val="20"/>
              </w:rPr>
            </w:pPr>
            <w:r>
              <w:rPr>
                <w:b/>
                <w:spacing w:val="-2"/>
                <w:sz w:val="20"/>
              </w:rPr>
              <w:t>Minimum</w:t>
            </w:r>
          </w:p>
        </w:tc>
        <w:tc>
          <w:tcPr>
            <w:tcW w:w="1334" w:type="dxa"/>
            <w:tcBorders>
              <w:top w:val="double" w:sz="4" w:space="0" w:color="000000"/>
              <w:bottom w:val="double" w:sz="4" w:space="0" w:color="000000"/>
            </w:tcBorders>
          </w:tcPr>
          <w:p>
            <w:pPr>
              <w:pStyle w:val="TableParagraph"/>
              <w:spacing w:line="212" w:lineRule="exact"/>
              <w:ind w:left="1" w:right="1"/>
              <w:rPr>
                <w:b/>
                <w:sz w:val="20"/>
              </w:rPr>
            </w:pPr>
            <w:r>
              <w:rPr>
                <w:b/>
                <w:spacing w:val="-2"/>
                <w:sz w:val="20"/>
              </w:rPr>
              <w:t>Maximum</w:t>
            </w:r>
          </w:p>
        </w:tc>
      </w:tr>
      <w:tr>
        <w:trPr>
          <w:trHeight w:val="229" w:hRule="atLeast"/>
        </w:trPr>
        <w:tc>
          <w:tcPr>
            <w:tcW w:w="3183" w:type="dxa"/>
            <w:tcBorders>
              <w:top w:val="double" w:sz="4" w:space="0" w:color="000000"/>
            </w:tcBorders>
          </w:tcPr>
          <w:p>
            <w:pPr>
              <w:pStyle w:val="TableParagraph"/>
              <w:ind w:left="122"/>
              <w:jc w:val="left"/>
              <w:rPr>
                <w:b/>
                <w:sz w:val="20"/>
              </w:rPr>
            </w:pPr>
            <w:r>
              <w:rPr>
                <w:b/>
                <w:sz w:val="20"/>
              </w:rPr>
              <w:t>Land</w:t>
            </w:r>
            <w:r>
              <w:rPr>
                <w:spacing w:val="-6"/>
                <w:sz w:val="20"/>
              </w:rPr>
              <w:t> </w:t>
            </w:r>
            <w:r>
              <w:rPr>
                <w:b/>
                <w:sz w:val="20"/>
              </w:rPr>
              <w:t>holding</w:t>
            </w:r>
            <w:r>
              <w:rPr>
                <w:spacing w:val="-6"/>
                <w:sz w:val="20"/>
              </w:rPr>
              <w:t> </w:t>
            </w:r>
            <w:r>
              <w:rPr>
                <w:b/>
                <w:sz w:val="20"/>
              </w:rPr>
              <w:t>size</w:t>
            </w:r>
            <w:r>
              <w:rPr>
                <w:spacing w:val="-6"/>
                <w:sz w:val="20"/>
              </w:rPr>
              <w:t> </w:t>
            </w:r>
            <w:r>
              <w:rPr>
                <w:b/>
                <w:spacing w:val="-4"/>
                <w:sz w:val="20"/>
              </w:rPr>
              <w:t>(ha)</w:t>
            </w:r>
          </w:p>
        </w:tc>
        <w:tc>
          <w:tcPr>
            <w:tcW w:w="1176" w:type="dxa"/>
            <w:tcBorders>
              <w:top w:val="double" w:sz="4" w:space="0" w:color="000000"/>
            </w:tcBorders>
          </w:tcPr>
          <w:p>
            <w:pPr>
              <w:pStyle w:val="TableParagraph"/>
              <w:ind w:left="191"/>
              <w:rPr>
                <w:sz w:val="20"/>
              </w:rPr>
            </w:pPr>
            <w:r>
              <w:rPr>
                <w:spacing w:val="-4"/>
                <w:sz w:val="20"/>
              </w:rPr>
              <w:t>3.61</w:t>
            </w:r>
          </w:p>
        </w:tc>
        <w:tc>
          <w:tcPr>
            <w:tcW w:w="2264" w:type="dxa"/>
            <w:tcBorders>
              <w:top w:val="double" w:sz="4" w:space="0" w:color="000000"/>
            </w:tcBorders>
          </w:tcPr>
          <w:p>
            <w:pPr>
              <w:pStyle w:val="TableParagraph"/>
              <w:ind w:left="3" w:right="13"/>
              <w:rPr>
                <w:sz w:val="20"/>
              </w:rPr>
            </w:pPr>
            <w:r>
              <w:rPr>
                <w:spacing w:val="-4"/>
                <w:sz w:val="20"/>
              </w:rPr>
              <w:t>1.76</w:t>
            </w:r>
          </w:p>
        </w:tc>
        <w:tc>
          <w:tcPr>
            <w:tcW w:w="1343" w:type="dxa"/>
            <w:tcBorders>
              <w:top w:val="double" w:sz="4" w:space="0" w:color="000000"/>
            </w:tcBorders>
          </w:tcPr>
          <w:p>
            <w:pPr>
              <w:pStyle w:val="TableParagraph"/>
              <w:ind w:left="52" w:right="3"/>
              <w:rPr>
                <w:sz w:val="20"/>
              </w:rPr>
            </w:pPr>
            <w:r>
              <w:rPr>
                <w:spacing w:val="-10"/>
                <w:sz w:val="20"/>
              </w:rPr>
              <w:t>1</w:t>
            </w:r>
          </w:p>
        </w:tc>
        <w:tc>
          <w:tcPr>
            <w:tcW w:w="1334" w:type="dxa"/>
            <w:tcBorders>
              <w:top w:val="double" w:sz="4" w:space="0" w:color="000000"/>
            </w:tcBorders>
          </w:tcPr>
          <w:p>
            <w:pPr>
              <w:pStyle w:val="TableParagraph"/>
              <w:ind w:right="1"/>
              <w:rPr>
                <w:sz w:val="20"/>
              </w:rPr>
            </w:pPr>
            <w:r>
              <w:rPr>
                <w:spacing w:val="-5"/>
                <w:sz w:val="20"/>
              </w:rPr>
              <w:t>10</w:t>
            </w:r>
          </w:p>
        </w:tc>
      </w:tr>
      <w:tr>
        <w:trPr>
          <w:trHeight w:val="230" w:hRule="atLeast"/>
        </w:trPr>
        <w:tc>
          <w:tcPr>
            <w:tcW w:w="3183" w:type="dxa"/>
          </w:tcPr>
          <w:p>
            <w:pPr>
              <w:pStyle w:val="TableParagraph"/>
              <w:ind w:left="122"/>
              <w:jc w:val="left"/>
              <w:rPr>
                <w:b/>
                <w:sz w:val="20"/>
              </w:rPr>
            </w:pPr>
            <w:r>
              <w:rPr>
                <w:b/>
                <w:sz w:val="20"/>
              </w:rPr>
              <w:t>Land</w:t>
            </w:r>
            <w:r>
              <w:rPr>
                <w:spacing w:val="-7"/>
                <w:sz w:val="20"/>
              </w:rPr>
              <w:t> </w:t>
            </w:r>
            <w:r>
              <w:rPr>
                <w:b/>
                <w:sz w:val="20"/>
              </w:rPr>
              <w:t>allocated</w:t>
            </w:r>
            <w:r>
              <w:rPr>
                <w:spacing w:val="-6"/>
                <w:sz w:val="20"/>
              </w:rPr>
              <w:t> </w:t>
            </w:r>
            <w:r>
              <w:rPr>
                <w:b/>
                <w:sz w:val="20"/>
              </w:rPr>
              <w:t>for</w:t>
            </w:r>
            <w:r>
              <w:rPr>
                <w:spacing w:val="-6"/>
                <w:sz w:val="20"/>
              </w:rPr>
              <w:t> </w:t>
            </w:r>
            <w:r>
              <w:rPr>
                <w:b/>
                <w:sz w:val="20"/>
              </w:rPr>
              <w:t>sesame</w:t>
            </w:r>
            <w:r>
              <w:rPr>
                <w:spacing w:val="-6"/>
                <w:sz w:val="20"/>
              </w:rPr>
              <w:t> </w:t>
            </w:r>
            <w:r>
              <w:rPr>
                <w:b/>
                <w:spacing w:val="-4"/>
                <w:sz w:val="20"/>
              </w:rPr>
              <w:t>(ha)</w:t>
            </w:r>
          </w:p>
        </w:tc>
        <w:tc>
          <w:tcPr>
            <w:tcW w:w="1176" w:type="dxa"/>
          </w:tcPr>
          <w:p>
            <w:pPr>
              <w:pStyle w:val="TableParagraph"/>
              <w:ind w:left="191"/>
              <w:rPr>
                <w:sz w:val="20"/>
              </w:rPr>
            </w:pPr>
            <w:r>
              <w:rPr>
                <w:spacing w:val="-4"/>
                <w:sz w:val="20"/>
              </w:rPr>
              <w:t>2.45</w:t>
            </w:r>
          </w:p>
        </w:tc>
        <w:tc>
          <w:tcPr>
            <w:tcW w:w="2264" w:type="dxa"/>
          </w:tcPr>
          <w:p>
            <w:pPr>
              <w:pStyle w:val="TableParagraph"/>
              <w:ind w:left="3" w:right="13"/>
              <w:rPr>
                <w:sz w:val="20"/>
              </w:rPr>
            </w:pPr>
            <w:r>
              <w:rPr>
                <w:spacing w:val="-4"/>
                <w:sz w:val="20"/>
              </w:rPr>
              <w:t>1.33</w:t>
            </w:r>
          </w:p>
        </w:tc>
        <w:tc>
          <w:tcPr>
            <w:tcW w:w="1343" w:type="dxa"/>
          </w:tcPr>
          <w:p>
            <w:pPr>
              <w:pStyle w:val="TableParagraph"/>
              <w:ind w:left="52"/>
              <w:rPr>
                <w:sz w:val="20"/>
              </w:rPr>
            </w:pPr>
            <w:r>
              <w:rPr>
                <w:spacing w:val="-5"/>
                <w:sz w:val="20"/>
              </w:rPr>
              <w:t>0.5</w:t>
            </w:r>
          </w:p>
        </w:tc>
        <w:tc>
          <w:tcPr>
            <w:tcW w:w="1334" w:type="dxa"/>
          </w:tcPr>
          <w:p>
            <w:pPr>
              <w:pStyle w:val="TableParagraph"/>
              <w:ind w:right="1"/>
              <w:rPr>
                <w:sz w:val="20"/>
              </w:rPr>
            </w:pPr>
            <w:r>
              <w:rPr>
                <w:spacing w:val="-10"/>
                <w:sz w:val="20"/>
              </w:rPr>
              <w:t>8</w:t>
            </w:r>
          </w:p>
        </w:tc>
      </w:tr>
      <w:tr>
        <w:trPr>
          <w:trHeight w:val="229" w:hRule="atLeast"/>
        </w:trPr>
        <w:tc>
          <w:tcPr>
            <w:tcW w:w="3183" w:type="dxa"/>
            <w:tcBorders>
              <w:bottom w:val="double" w:sz="4" w:space="0" w:color="000000"/>
            </w:tcBorders>
          </w:tcPr>
          <w:p>
            <w:pPr>
              <w:pStyle w:val="TableParagraph"/>
              <w:ind w:left="122"/>
              <w:jc w:val="left"/>
              <w:rPr>
                <w:b/>
                <w:sz w:val="20"/>
              </w:rPr>
            </w:pPr>
            <w:r>
              <w:rPr>
                <w:b/>
                <w:sz w:val="20"/>
              </w:rPr>
              <w:t>Cultivated</w:t>
            </w:r>
            <w:r>
              <w:rPr>
                <w:spacing w:val="-7"/>
                <w:sz w:val="20"/>
              </w:rPr>
              <w:t> </w:t>
            </w:r>
            <w:r>
              <w:rPr>
                <w:b/>
                <w:sz w:val="20"/>
              </w:rPr>
              <w:t>area</w:t>
            </w:r>
            <w:r>
              <w:rPr>
                <w:spacing w:val="-5"/>
                <w:sz w:val="20"/>
              </w:rPr>
              <w:t> </w:t>
            </w:r>
            <w:r>
              <w:rPr>
                <w:b/>
                <w:spacing w:val="-4"/>
                <w:sz w:val="20"/>
              </w:rPr>
              <w:t>(ha)</w:t>
            </w:r>
          </w:p>
        </w:tc>
        <w:tc>
          <w:tcPr>
            <w:tcW w:w="1176" w:type="dxa"/>
            <w:tcBorders>
              <w:bottom w:val="double" w:sz="4" w:space="0" w:color="000000"/>
            </w:tcBorders>
          </w:tcPr>
          <w:p>
            <w:pPr>
              <w:pStyle w:val="TableParagraph"/>
              <w:ind w:left="191"/>
              <w:rPr>
                <w:sz w:val="20"/>
              </w:rPr>
            </w:pPr>
            <w:r>
              <w:rPr>
                <w:spacing w:val="-4"/>
                <w:sz w:val="20"/>
              </w:rPr>
              <w:t>1.54</w:t>
            </w:r>
          </w:p>
        </w:tc>
        <w:tc>
          <w:tcPr>
            <w:tcW w:w="2264" w:type="dxa"/>
            <w:tcBorders>
              <w:bottom w:val="double" w:sz="4" w:space="0" w:color="000000"/>
            </w:tcBorders>
          </w:tcPr>
          <w:p>
            <w:pPr>
              <w:pStyle w:val="TableParagraph"/>
              <w:ind w:left="3" w:right="13"/>
              <w:rPr>
                <w:sz w:val="20"/>
              </w:rPr>
            </w:pPr>
            <w:r>
              <w:rPr>
                <w:spacing w:val="-4"/>
                <w:sz w:val="20"/>
              </w:rPr>
              <w:t>1.01</w:t>
            </w:r>
          </w:p>
        </w:tc>
        <w:tc>
          <w:tcPr>
            <w:tcW w:w="1343" w:type="dxa"/>
            <w:tcBorders>
              <w:bottom w:val="double" w:sz="4" w:space="0" w:color="000000"/>
            </w:tcBorders>
          </w:tcPr>
          <w:p>
            <w:pPr>
              <w:pStyle w:val="TableParagraph"/>
              <w:ind w:left="52"/>
              <w:rPr>
                <w:sz w:val="20"/>
              </w:rPr>
            </w:pPr>
            <w:r>
              <w:rPr>
                <w:spacing w:val="-4"/>
                <w:sz w:val="20"/>
              </w:rPr>
              <w:t>0.25</w:t>
            </w:r>
          </w:p>
        </w:tc>
        <w:tc>
          <w:tcPr>
            <w:tcW w:w="1334" w:type="dxa"/>
            <w:tcBorders>
              <w:bottom w:val="double" w:sz="4" w:space="0" w:color="000000"/>
            </w:tcBorders>
          </w:tcPr>
          <w:p>
            <w:pPr>
              <w:pStyle w:val="TableParagraph"/>
              <w:ind w:right="1"/>
              <w:rPr>
                <w:sz w:val="20"/>
              </w:rPr>
            </w:pPr>
            <w:r>
              <w:rPr>
                <w:spacing w:val="-10"/>
                <w:sz w:val="20"/>
              </w:rPr>
              <w:t>8</w:t>
            </w:r>
          </w:p>
        </w:tc>
      </w:tr>
    </w:tbl>
    <w:p>
      <w:pPr>
        <w:spacing w:line="213" w:lineRule="exact" w:before="0"/>
        <w:ind w:left="240" w:right="0" w:firstLine="0"/>
        <w:jc w:val="both"/>
        <w:rPr>
          <w:b/>
          <w:sz w:val="20"/>
        </w:rPr>
      </w:pPr>
      <w:r>
        <w:rPr>
          <w:b/>
          <w:sz w:val="20"/>
        </w:rPr>
        <w:t>Source:</w:t>
      </w:r>
      <w:r>
        <w:rPr>
          <w:spacing w:val="-7"/>
          <w:sz w:val="20"/>
        </w:rPr>
        <w:t> </w:t>
      </w:r>
      <w:r>
        <w:rPr>
          <w:b/>
          <w:sz w:val="20"/>
        </w:rPr>
        <w:t>survey</w:t>
      </w:r>
      <w:r>
        <w:rPr>
          <w:spacing w:val="-7"/>
          <w:sz w:val="20"/>
        </w:rPr>
        <w:t> </w:t>
      </w:r>
      <w:r>
        <w:rPr>
          <w:b/>
          <w:sz w:val="20"/>
        </w:rPr>
        <w:t>result,</w:t>
      </w:r>
      <w:r>
        <w:rPr>
          <w:spacing w:val="-6"/>
          <w:sz w:val="20"/>
        </w:rPr>
        <w:t> </w:t>
      </w:r>
      <w:r>
        <w:rPr>
          <w:b/>
          <w:spacing w:val="-4"/>
          <w:sz w:val="20"/>
        </w:rPr>
        <w:t>2015</w:t>
      </w:r>
    </w:p>
    <w:p>
      <w:pPr>
        <w:pStyle w:val="BodyText"/>
        <w:ind w:right="226" w:firstLine="720"/>
      </w:pPr>
      <w:r>
        <w:rPr/>
        <w:t>As indicated in Table 4, 95.5% of farmers who have participated in the production of sesame in 2014/2015 production season cultivated on their own land while the remaining 4.5% of them used rented land in this</w:t>
      </w:r>
      <w:r>
        <w:rPr>
          <w:spacing w:val="-1"/>
        </w:rPr>
        <w:t> </w:t>
      </w:r>
      <w:r>
        <w:rPr/>
        <w:t>survey</w:t>
      </w:r>
      <w:r>
        <w:rPr>
          <w:spacing w:val="-2"/>
        </w:rPr>
        <w:t> </w:t>
      </w:r>
      <w:r>
        <w:rPr/>
        <w:t>year.</w:t>
      </w:r>
      <w:r>
        <w:rPr>
          <w:spacing w:val="-2"/>
        </w:rPr>
        <w:t> </w:t>
      </w:r>
      <w:r>
        <w:rPr/>
        <w:t>The minimum</w:t>
      </w:r>
      <w:r>
        <w:rPr>
          <w:spacing w:val="-4"/>
        </w:rPr>
        <w:t> </w:t>
      </w:r>
      <w:r>
        <w:rPr/>
        <w:t>land</w:t>
      </w:r>
      <w:r>
        <w:rPr>
          <w:spacing w:val="-2"/>
        </w:rPr>
        <w:t> </w:t>
      </w:r>
      <w:r>
        <w:rPr/>
        <w:t>allocated</w:t>
      </w:r>
      <w:r>
        <w:rPr>
          <w:spacing w:val="-2"/>
        </w:rPr>
        <w:t> </w:t>
      </w:r>
      <w:r>
        <w:rPr/>
        <w:t>for</w:t>
      </w:r>
      <w:r>
        <w:rPr>
          <w:spacing w:val="-2"/>
        </w:rPr>
        <w:t> </w:t>
      </w:r>
      <w:r>
        <w:rPr/>
        <w:t>sesame</w:t>
      </w:r>
      <w:r>
        <w:rPr>
          <w:spacing w:val="-3"/>
        </w:rPr>
        <w:t> </w:t>
      </w:r>
      <w:r>
        <w:rPr/>
        <w:t>and</w:t>
      </w:r>
      <w:r>
        <w:rPr>
          <w:spacing w:val="-2"/>
        </w:rPr>
        <w:t> </w:t>
      </w:r>
      <w:r>
        <w:rPr/>
        <w:t>cultivated</w:t>
      </w:r>
      <w:r>
        <w:rPr>
          <w:spacing w:val="-2"/>
        </w:rPr>
        <w:t> </w:t>
      </w:r>
      <w:r>
        <w:rPr/>
        <w:t>land</w:t>
      </w:r>
      <w:r>
        <w:rPr>
          <w:spacing w:val="-2"/>
        </w:rPr>
        <w:t> </w:t>
      </w:r>
      <w:r>
        <w:rPr/>
        <w:t>under</w:t>
      </w:r>
      <w:r>
        <w:rPr>
          <w:spacing w:val="-2"/>
        </w:rPr>
        <w:t> </w:t>
      </w:r>
      <w:r>
        <w:rPr/>
        <w:t>sesame</w:t>
      </w:r>
      <w:r>
        <w:rPr>
          <w:spacing w:val="-3"/>
        </w:rPr>
        <w:t> </w:t>
      </w:r>
      <w:r>
        <w:rPr/>
        <w:t>is</w:t>
      </w:r>
      <w:r>
        <w:rPr>
          <w:spacing w:val="-4"/>
        </w:rPr>
        <w:t> </w:t>
      </w:r>
      <w:r>
        <w:rPr/>
        <w:t>found</w:t>
      </w:r>
      <w:r>
        <w:rPr>
          <w:spacing w:val="-2"/>
        </w:rPr>
        <w:t> </w:t>
      </w:r>
      <w:r>
        <w:rPr/>
        <w:t>to</w:t>
      </w:r>
      <w:r>
        <w:rPr>
          <w:spacing w:val="-2"/>
        </w:rPr>
        <w:t> </w:t>
      </w:r>
      <w:r>
        <w:rPr/>
        <w:t>be</w:t>
      </w:r>
      <w:r>
        <w:rPr>
          <w:spacing w:val="-3"/>
        </w:rPr>
        <w:t> </w:t>
      </w:r>
      <w:r>
        <w:rPr/>
        <w:t>0.5</w:t>
      </w:r>
      <w:r>
        <w:rPr>
          <w:spacing w:val="-2"/>
        </w:rPr>
        <w:t> </w:t>
      </w:r>
      <w:r>
        <w:rPr/>
        <w:t>and</w:t>
      </w:r>
    </w:p>
    <w:p>
      <w:pPr>
        <w:pStyle w:val="BodyText"/>
        <w:ind w:right="228"/>
      </w:pPr>
      <w:r>
        <w:rPr/>
        <w:t>0.25 hectare respectively while the maximum is 8 hectare for both land allocated and cultivated area. And the average cultivated land under sesame in this survey year is about 1.54 hectare.</w:t>
      </w:r>
    </w:p>
    <w:p>
      <w:pPr>
        <w:pStyle w:val="BodyText"/>
        <w:spacing w:before="2"/>
        <w:ind w:left="0"/>
        <w:jc w:val="left"/>
      </w:pPr>
    </w:p>
    <w:p>
      <w:pPr>
        <w:pStyle w:val="Heading3"/>
        <w:spacing w:line="228" w:lineRule="exact"/>
      </w:pPr>
      <w:r>
        <w:rPr/>
        <w:t>Sesame</w:t>
      </w:r>
      <w:r>
        <w:rPr>
          <w:b w:val="0"/>
          <w:spacing w:val="-9"/>
        </w:rPr>
        <w:t> </w:t>
      </w:r>
      <w:r>
        <w:rPr>
          <w:spacing w:val="-2"/>
        </w:rPr>
        <w:t>productivity</w:t>
      </w:r>
    </w:p>
    <w:p>
      <w:pPr>
        <w:pStyle w:val="BodyText"/>
        <w:ind w:right="225"/>
      </w:pPr>
      <w:r>
        <w:rPr/>
        <w:t>The average sesame yield is estimated to be </w:t>
      </w:r>
      <w:r>
        <w:rPr>
          <w:b/>
        </w:rPr>
        <w:t>7.07</w:t>
      </w:r>
      <w:r>
        <w:rPr/>
        <w:t> qt/ha with significant variability among the different PKA in</w:t>
      </w:r>
      <w:r>
        <w:rPr>
          <w:spacing w:val="40"/>
        </w:rPr>
        <w:t> </w:t>
      </w:r>
      <w:r>
        <w:rPr/>
        <w:t>the Woreda </w:t>
      </w:r>
      <w:r>
        <w:rPr>
          <w:b/>
        </w:rPr>
        <w:t>(Table</w:t>
      </w:r>
      <w:r>
        <w:rPr>
          <w:spacing w:val="15"/>
        </w:rPr>
        <w:t> </w:t>
      </w:r>
      <w:r>
        <w:rPr>
          <w:b/>
        </w:rPr>
        <w:t>5)</w:t>
      </w:r>
      <w:r>
        <w:rPr/>
        <w:t>. The yield result obtained from the study is high as compared to Kindie (2007) and CSA</w:t>
      </w:r>
    </w:p>
    <w:p>
      <w:pPr>
        <w:spacing w:after="0"/>
        <w:sectPr>
          <w:pgSz w:w="11900" w:h="16840"/>
          <w:pgMar w:header="846" w:footer="819" w:top="1640" w:bottom="1000" w:left="1180" w:right="1180"/>
        </w:sectPr>
      </w:pPr>
    </w:p>
    <w:p>
      <w:pPr>
        <w:pStyle w:val="BodyText"/>
        <w:spacing w:before="98"/>
        <w:ind w:right="228"/>
      </w:pPr>
      <w:r>
        <w:rPr/>
        <w:t>(2005) but it is low according to the findings of different surveys for North Gondar 7.39 qt/ha by Demelash, </w:t>
      </w:r>
      <w:r>
        <w:rPr>
          <w:spacing w:val="-2"/>
        </w:rPr>
        <w:t>2004).</w:t>
      </w:r>
    </w:p>
    <w:p>
      <w:pPr>
        <w:pStyle w:val="Heading3"/>
        <w:spacing w:before="4" w:after="47"/>
      </w:pPr>
      <w:r>
        <w:rPr/>
        <w:t>Table</w:t>
      </w:r>
      <w:r>
        <w:rPr>
          <w:b w:val="0"/>
          <w:spacing w:val="-5"/>
        </w:rPr>
        <w:t> </w:t>
      </w:r>
      <w:r>
        <w:rPr/>
        <w:t>5.</w:t>
      </w:r>
      <w:r>
        <w:rPr>
          <w:b w:val="0"/>
          <w:spacing w:val="-3"/>
        </w:rPr>
        <w:t> </w:t>
      </w:r>
      <w:r>
        <w:rPr/>
        <w:t>Table</w:t>
      </w:r>
      <w:r>
        <w:rPr>
          <w:b w:val="0"/>
          <w:spacing w:val="-4"/>
        </w:rPr>
        <w:t> </w:t>
      </w:r>
      <w:r>
        <w:rPr/>
        <w:t>14</w:t>
      </w:r>
      <w:r>
        <w:rPr>
          <w:b w:val="0"/>
          <w:spacing w:val="-3"/>
        </w:rPr>
        <w:t> </w:t>
      </w:r>
      <w:r>
        <w:rPr/>
        <w:t>Average</w:t>
      </w:r>
      <w:r>
        <w:rPr>
          <w:b w:val="0"/>
          <w:spacing w:val="-6"/>
        </w:rPr>
        <w:t> </w:t>
      </w:r>
      <w:r>
        <w:rPr/>
        <w:t>yield</w:t>
      </w:r>
      <w:r>
        <w:rPr>
          <w:b w:val="0"/>
          <w:spacing w:val="-5"/>
        </w:rPr>
        <w:t> </w:t>
      </w:r>
      <w:r>
        <w:rPr/>
        <w:t>of</w:t>
      </w:r>
      <w:r>
        <w:rPr>
          <w:b w:val="0"/>
          <w:spacing w:val="-3"/>
        </w:rPr>
        <w:t> </w:t>
      </w:r>
      <w:r>
        <w:rPr/>
        <w:t>sesame,</w:t>
      </w:r>
      <w:r>
        <w:rPr>
          <w:b w:val="0"/>
          <w:spacing w:val="-3"/>
        </w:rPr>
        <w:t> </w:t>
      </w:r>
      <w:r>
        <w:rPr>
          <w:spacing w:val="-4"/>
        </w:rPr>
        <w:t>2015</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5"/>
        <w:gridCol w:w="1381"/>
        <w:gridCol w:w="2774"/>
        <w:gridCol w:w="1869"/>
        <w:gridCol w:w="1774"/>
      </w:tblGrid>
      <w:tr>
        <w:trPr>
          <w:trHeight w:val="231" w:hRule="atLeast"/>
        </w:trPr>
        <w:tc>
          <w:tcPr>
            <w:tcW w:w="1505" w:type="dxa"/>
            <w:tcBorders>
              <w:top w:val="thinThickMediumGap" w:sz="12" w:space="0" w:color="000000"/>
              <w:bottom w:val="thickThinMediumGap" w:sz="12" w:space="0" w:color="000000"/>
            </w:tcBorders>
          </w:tcPr>
          <w:p>
            <w:pPr>
              <w:pStyle w:val="TableParagraph"/>
              <w:spacing w:line="212" w:lineRule="exact"/>
              <w:ind w:left="52"/>
              <w:rPr>
                <w:sz w:val="20"/>
              </w:rPr>
            </w:pPr>
            <w:r>
              <w:rPr>
                <w:spacing w:val="-2"/>
                <w:sz w:val="20"/>
              </w:rPr>
              <w:t>Variable</w:t>
            </w:r>
          </w:p>
        </w:tc>
        <w:tc>
          <w:tcPr>
            <w:tcW w:w="1381" w:type="dxa"/>
            <w:tcBorders>
              <w:top w:val="thinThickMediumGap" w:sz="12" w:space="0" w:color="000000"/>
              <w:bottom w:val="thickThinMediumGap" w:sz="12" w:space="0" w:color="000000"/>
            </w:tcBorders>
          </w:tcPr>
          <w:p>
            <w:pPr>
              <w:pStyle w:val="TableParagraph"/>
              <w:spacing w:line="212" w:lineRule="exact"/>
              <w:ind w:left="381"/>
              <w:jc w:val="left"/>
              <w:rPr>
                <w:sz w:val="20"/>
              </w:rPr>
            </w:pPr>
            <w:r>
              <w:rPr>
                <w:spacing w:val="-4"/>
                <w:sz w:val="20"/>
              </w:rPr>
              <w:t>Mean</w:t>
            </w:r>
          </w:p>
        </w:tc>
        <w:tc>
          <w:tcPr>
            <w:tcW w:w="2774" w:type="dxa"/>
            <w:tcBorders>
              <w:top w:val="thinThickMediumGap" w:sz="12" w:space="0" w:color="000000"/>
              <w:bottom w:val="thickThinMediumGap" w:sz="12" w:space="0" w:color="000000"/>
            </w:tcBorders>
          </w:tcPr>
          <w:p>
            <w:pPr>
              <w:pStyle w:val="TableParagraph"/>
              <w:spacing w:line="212" w:lineRule="exact"/>
              <w:ind w:right="59"/>
              <w:rPr>
                <w:sz w:val="20"/>
              </w:rPr>
            </w:pPr>
            <w:r>
              <w:rPr>
                <w:sz w:val="20"/>
              </w:rPr>
              <w:t>Standard</w:t>
            </w:r>
            <w:r>
              <w:rPr>
                <w:spacing w:val="-10"/>
                <w:sz w:val="20"/>
              </w:rPr>
              <w:t> </w:t>
            </w:r>
            <w:r>
              <w:rPr>
                <w:spacing w:val="-2"/>
                <w:sz w:val="20"/>
              </w:rPr>
              <w:t>Deviations</w:t>
            </w:r>
          </w:p>
        </w:tc>
        <w:tc>
          <w:tcPr>
            <w:tcW w:w="1869" w:type="dxa"/>
            <w:tcBorders>
              <w:top w:val="thinThickMediumGap" w:sz="12" w:space="0" w:color="000000"/>
              <w:bottom w:val="thickThinMediumGap" w:sz="12" w:space="0" w:color="000000"/>
            </w:tcBorders>
          </w:tcPr>
          <w:p>
            <w:pPr>
              <w:pStyle w:val="TableParagraph"/>
              <w:spacing w:line="212" w:lineRule="exact"/>
              <w:ind w:left="141" w:right="4"/>
              <w:rPr>
                <w:sz w:val="20"/>
              </w:rPr>
            </w:pPr>
            <w:r>
              <w:rPr>
                <w:spacing w:val="-2"/>
                <w:sz w:val="20"/>
              </w:rPr>
              <w:t>Minimum</w:t>
            </w:r>
          </w:p>
        </w:tc>
        <w:tc>
          <w:tcPr>
            <w:tcW w:w="1774" w:type="dxa"/>
            <w:tcBorders>
              <w:top w:val="thinThickMediumGap" w:sz="12" w:space="0" w:color="000000"/>
              <w:bottom w:val="thickThinMediumGap" w:sz="12" w:space="0" w:color="000000"/>
            </w:tcBorders>
          </w:tcPr>
          <w:p>
            <w:pPr>
              <w:pStyle w:val="TableParagraph"/>
              <w:spacing w:line="212" w:lineRule="exact"/>
              <w:ind w:right="9"/>
              <w:rPr>
                <w:sz w:val="20"/>
              </w:rPr>
            </w:pPr>
            <w:r>
              <w:rPr>
                <w:spacing w:val="-2"/>
                <w:sz w:val="20"/>
              </w:rPr>
              <w:t>Maximum</w:t>
            </w:r>
          </w:p>
        </w:tc>
      </w:tr>
      <w:tr>
        <w:trPr>
          <w:trHeight w:val="229" w:hRule="atLeast"/>
        </w:trPr>
        <w:tc>
          <w:tcPr>
            <w:tcW w:w="1505" w:type="dxa"/>
            <w:tcBorders>
              <w:top w:val="thinThickMediumGap" w:sz="12" w:space="0" w:color="000000"/>
              <w:bottom w:val="thickThinMediumGap" w:sz="12" w:space="0" w:color="000000"/>
            </w:tcBorders>
          </w:tcPr>
          <w:p>
            <w:pPr>
              <w:pStyle w:val="TableParagraph"/>
              <w:spacing w:line="209" w:lineRule="exact"/>
              <w:ind w:left="52" w:right="1"/>
              <w:rPr>
                <w:sz w:val="20"/>
              </w:rPr>
            </w:pPr>
            <w:r>
              <w:rPr>
                <w:spacing w:val="-2"/>
                <w:sz w:val="20"/>
              </w:rPr>
              <w:t>Yield</w:t>
            </w:r>
          </w:p>
        </w:tc>
        <w:tc>
          <w:tcPr>
            <w:tcW w:w="1381" w:type="dxa"/>
            <w:tcBorders>
              <w:top w:val="thinThickMediumGap" w:sz="12" w:space="0" w:color="000000"/>
              <w:bottom w:val="thickThinMediumGap" w:sz="12" w:space="0" w:color="000000"/>
            </w:tcBorders>
          </w:tcPr>
          <w:p>
            <w:pPr>
              <w:pStyle w:val="TableParagraph"/>
              <w:spacing w:line="209" w:lineRule="exact"/>
              <w:ind w:left="434"/>
              <w:jc w:val="left"/>
              <w:rPr>
                <w:sz w:val="20"/>
              </w:rPr>
            </w:pPr>
            <w:r>
              <w:rPr>
                <w:spacing w:val="-4"/>
                <w:sz w:val="20"/>
              </w:rPr>
              <w:t>7.07</w:t>
            </w:r>
          </w:p>
        </w:tc>
        <w:tc>
          <w:tcPr>
            <w:tcW w:w="2774" w:type="dxa"/>
            <w:tcBorders>
              <w:top w:val="thinThickMediumGap" w:sz="12" w:space="0" w:color="000000"/>
              <w:bottom w:val="thickThinMediumGap" w:sz="12" w:space="0" w:color="000000"/>
            </w:tcBorders>
          </w:tcPr>
          <w:p>
            <w:pPr>
              <w:pStyle w:val="TableParagraph"/>
              <w:spacing w:line="209" w:lineRule="exact"/>
              <w:ind w:left="3" w:right="59"/>
              <w:rPr>
                <w:sz w:val="20"/>
              </w:rPr>
            </w:pPr>
            <w:r>
              <w:rPr>
                <w:spacing w:val="-4"/>
                <w:sz w:val="20"/>
              </w:rPr>
              <w:t>5.14</w:t>
            </w:r>
          </w:p>
        </w:tc>
        <w:tc>
          <w:tcPr>
            <w:tcW w:w="1869" w:type="dxa"/>
            <w:tcBorders>
              <w:top w:val="thinThickMediumGap" w:sz="12" w:space="0" w:color="000000"/>
              <w:bottom w:val="thickThinMediumGap" w:sz="12" w:space="0" w:color="000000"/>
            </w:tcBorders>
          </w:tcPr>
          <w:p>
            <w:pPr>
              <w:pStyle w:val="TableParagraph"/>
              <w:spacing w:line="209" w:lineRule="exact"/>
              <w:ind w:left="141"/>
              <w:rPr>
                <w:sz w:val="20"/>
              </w:rPr>
            </w:pPr>
            <w:r>
              <w:rPr>
                <w:spacing w:val="-4"/>
                <w:sz w:val="20"/>
              </w:rPr>
              <w:t>1.00</w:t>
            </w:r>
          </w:p>
        </w:tc>
        <w:tc>
          <w:tcPr>
            <w:tcW w:w="1774" w:type="dxa"/>
            <w:tcBorders>
              <w:top w:val="thinThickMediumGap" w:sz="12" w:space="0" w:color="000000"/>
              <w:bottom w:val="thickThinMediumGap" w:sz="12" w:space="0" w:color="000000"/>
            </w:tcBorders>
          </w:tcPr>
          <w:p>
            <w:pPr>
              <w:pStyle w:val="TableParagraph"/>
              <w:spacing w:line="209" w:lineRule="exact"/>
              <w:ind w:left="5" w:right="9"/>
              <w:rPr>
                <w:sz w:val="20"/>
              </w:rPr>
            </w:pPr>
            <w:r>
              <w:rPr>
                <w:spacing w:val="-2"/>
                <w:sz w:val="20"/>
              </w:rPr>
              <w:t>32.00</w:t>
            </w:r>
          </w:p>
        </w:tc>
      </w:tr>
    </w:tbl>
    <w:p>
      <w:pPr>
        <w:pStyle w:val="BodyText"/>
      </w:pPr>
      <w:r>
        <w:rPr/>
        <w:t>Source:</w:t>
      </w:r>
      <w:r>
        <w:rPr>
          <w:spacing w:val="-6"/>
        </w:rPr>
        <w:t> </w:t>
      </w:r>
      <w:r>
        <w:rPr/>
        <w:t>Own</w:t>
      </w:r>
      <w:r>
        <w:rPr>
          <w:spacing w:val="-6"/>
        </w:rPr>
        <w:t> </w:t>
      </w:r>
      <w:r>
        <w:rPr/>
        <w:t>survey,</w:t>
      </w:r>
      <w:r>
        <w:rPr>
          <w:spacing w:val="-5"/>
        </w:rPr>
        <w:t> </w:t>
      </w:r>
      <w:r>
        <w:rPr/>
        <w:t>2015,</w:t>
      </w:r>
      <w:r>
        <w:rPr>
          <w:spacing w:val="-5"/>
        </w:rPr>
        <w:t> </w:t>
      </w:r>
      <w:r>
        <w:rPr/>
        <w:t>Figures</w:t>
      </w:r>
      <w:r>
        <w:rPr>
          <w:spacing w:val="-7"/>
        </w:rPr>
        <w:t> </w:t>
      </w:r>
      <w:r>
        <w:rPr/>
        <w:t>in</w:t>
      </w:r>
      <w:r>
        <w:rPr>
          <w:spacing w:val="-6"/>
        </w:rPr>
        <w:t> </w:t>
      </w:r>
      <w:r>
        <w:rPr/>
        <w:t>parenthesis</w:t>
      </w:r>
      <w:r>
        <w:rPr>
          <w:spacing w:val="-7"/>
        </w:rPr>
        <w:t> </w:t>
      </w:r>
      <w:r>
        <w:rPr/>
        <w:t>is</w:t>
      </w:r>
      <w:r>
        <w:rPr>
          <w:spacing w:val="-4"/>
        </w:rPr>
        <w:t> </w:t>
      </w:r>
      <w:r>
        <w:rPr/>
        <w:t>standard</w:t>
      </w:r>
      <w:r>
        <w:rPr>
          <w:spacing w:val="-5"/>
        </w:rPr>
        <w:t> </w:t>
      </w:r>
      <w:r>
        <w:rPr>
          <w:spacing w:val="-2"/>
        </w:rPr>
        <w:t>deviations.</w:t>
      </w:r>
    </w:p>
    <w:p>
      <w:pPr>
        <w:pStyle w:val="BodyText"/>
        <w:ind w:right="222" w:firstLine="720"/>
      </w:pPr>
      <w:r>
        <w:rPr/>
        <w:t>All sesame producers in Gimbi Woreda derived the biggest share of their income from sesame production. Of the sampled farmers, 97.5%, 73%, and 72% were engaged in sesame, sorghum and maize production respectively (Appendix table 4</w:t>
      </w:r>
      <w:r>
        <w:rPr>
          <w:b/>
        </w:rPr>
        <w:t>)</w:t>
      </w:r>
      <w:r>
        <w:rPr/>
        <w:t>. The average annual income of households was generated 3625.50; 1525 and 1380 Birr/household, from sesame, sorghum and sesame in that order.</w:t>
      </w:r>
    </w:p>
    <w:p>
      <w:pPr>
        <w:pStyle w:val="Heading3"/>
        <w:spacing w:line="228" w:lineRule="exact" w:before="183"/>
      </w:pPr>
      <w:r>
        <w:rPr/>
        <w:t>Producer’s</w:t>
      </w:r>
      <w:r>
        <w:rPr>
          <w:b w:val="0"/>
          <w:spacing w:val="-8"/>
        </w:rPr>
        <w:t> </w:t>
      </w:r>
      <w:r>
        <w:rPr/>
        <w:t>characteristics</w:t>
      </w:r>
      <w:r>
        <w:rPr>
          <w:b w:val="0"/>
          <w:spacing w:val="-7"/>
        </w:rPr>
        <w:t> </w:t>
      </w:r>
      <w:r>
        <w:rPr/>
        <w:t>by</w:t>
      </w:r>
      <w:r>
        <w:rPr>
          <w:b w:val="0"/>
          <w:spacing w:val="-6"/>
        </w:rPr>
        <w:t> </w:t>
      </w:r>
      <w:r>
        <w:rPr/>
        <w:t>the</w:t>
      </w:r>
      <w:r>
        <w:rPr>
          <w:b w:val="0"/>
          <w:spacing w:val="-6"/>
        </w:rPr>
        <w:t> </w:t>
      </w:r>
      <w:r>
        <w:rPr/>
        <w:t>level</w:t>
      </w:r>
      <w:r>
        <w:rPr>
          <w:b w:val="0"/>
          <w:spacing w:val="-7"/>
        </w:rPr>
        <w:t> </w:t>
      </w:r>
      <w:r>
        <w:rPr/>
        <w:t>of</w:t>
      </w:r>
      <w:r>
        <w:rPr>
          <w:b w:val="0"/>
          <w:spacing w:val="-5"/>
        </w:rPr>
        <w:t> </w:t>
      </w:r>
      <w:r>
        <w:rPr/>
        <w:t>market</w:t>
      </w:r>
      <w:r>
        <w:rPr>
          <w:b w:val="0"/>
          <w:spacing w:val="-6"/>
        </w:rPr>
        <w:t> </w:t>
      </w:r>
      <w:r>
        <w:rPr>
          <w:spacing w:val="-2"/>
        </w:rPr>
        <w:t>supply</w:t>
      </w:r>
    </w:p>
    <w:p>
      <w:pPr>
        <w:pStyle w:val="BodyText"/>
        <w:ind w:right="223"/>
      </w:pPr>
      <w:r>
        <w:rPr/>
        <w:t>Sesame producers sell different amount of sesame in the market depending on different demographic and socioeconomic characteristics of</w:t>
      </w:r>
      <w:r>
        <w:rPr>
          <w:spacing w:val="-2"/>
        </w:rPr>
        <w:t> </w:t>
      </w:r>
      <w:r>
        <w:rPr/>
        <w:t>the household. In</w:t>
      </w:r>
      <w:r>
        <w:rPr>
          <w:spacing w:val="-2"/>
        </w:rPr>
        <w:t> </w:t>
      </w:r>
      <w:r>
        <w:rPr/>
        <w:t>average sesame producers market supply was</w:t>
      </w:r>
      <w:r>
        <w:rPr>
          <w:spacing w:val="-1"/>
        </w:rPr>
        <w:t> </w:t>
      </w:r>
      <w:r>
        <w:rPr/>
        <w:t>6.64 quintals</w:t>
      </w:r>
      <w:r>
        <w:rPr>
          <w:spacing w:val="-1"/>
        </w:rPr>
        <w:t> </w:t>
      </w:r>
      <w:r>
        <w:rPr/>
        <w:t>of sesame in 2014/15 production season. Here, producers were divided into two according to their level of market supply</w:t>
      </w:r>
      <w:r>
        <w:rPr>
          <w:spacing w:val="-1"/>
        </w:rPr>
        <w:t> </w:t>
      </w:r>
      <w:r>
        <w:rPr/>
        <w:t>by using the average market supply</w:t>
      </w:r>
      <w:r>
        <w:rPr>
          <w:spacing w:val="-1"/>
        </w:rPr>
        <w:t> </w:t>
      </w:r>
      <w:r>
        <w:rPr/>
        <w:t>as reference. The study</w:t>
      </w:r>
      <w:r>
        <w:rPr>
          <w:spacing w:val="-1"/>
        </w:rPr>
        <w:t> </w:t>
      </w:r>
      <w:r>
        <w:rPr/>
        <w:t>shows that majority</w:t>
      </w:r>
      <w:r>
        <w:rPr>
          <w:spacing w:val="-1"/>
        </w:rPr>
        <w:t> </w:t>
      </w:r>
      <w:r>
        <w:rPr/>
        <w:t>of the sesame producers’ market supply were below the average supply of the sample households’ i.e. </w:t>
      </w:r>
      <w:r>
        <w:rPr>
          <w:b/>
        </w:rPr>
        <w:t>87</w:t>
      </w:r>
      <w:r>
        <w:rPr/>
        <w:t> households supply below the average from 127 sesame producers.</w:t>
      </w:r>
    </w:p>
    <w:p>
      <w:pPr>
        <w:pStyle w:val="BodyText"/>
        <w:ind w:right="224" w:firstLine="720"/>
      </w:pPr>
      <w:r>
        <w:rPr/>
        <w:t>Tables 5 and 6 present demographic and socio-economic characteristics of sample respondents across the level of market supply. In addition, the level of sesame production and access to market information has significance difference among those sesame suppliers below the average and above the average at less than 1% significant level. This implies that households who produce large quantity of sesame sell large quantity than households who produce low quantity. Therefore, improving production and productivity of farmers is crucial to achieve the objective of commercialization.</w:t>
      </w:r>
    </w:p>
    <w:p>
      <w:pPr>
        <w:pStyle w:val="Heading3"/>
        <w:spacing w:before="3" w:after="3"/>
      </w:pPr>
      <w:r>
        <w:rPr/>
        <w:t>Table</w:t>
      </w:r>
      <w:r>
        <w:rPr>
          <w:b w:val="0"/>
          <w:spacing w:val="-6"/>
        </w:rPr>
        <w:t> </w:t>
      </w:r>
      <w:r>
        <w:rPr/>
        <w:t>6.</w:t>
      </w:r>
      <w:r>
        <w:rPr>
          <w:b w:val="0"/>
          <w:spacing w:val="-5"/>
        </w:rPr>
        <w:t> </w:t>
      </w:r>
      <w:r>
        <w:rPr/>
        <w:t>Statistical</w:t>
      </w:r>
      <w:r>
        <w:rPr>
          <w:b w:val="0"/>
          <w:spacing w:val="-6"/>
        </w:rPr>
        <w:t> </w:t>
      </w:r>
      <w:r>
        <w:rPr/>
        <w:t>test</w:t>
      </w:r>
      <w:r>
        <w:rPr>
          <w:b w:val="0"/>
          <w:spacing w:val="-5"/>
        </w:rPr>
        <w:t> </w:t>
      </w:r>
      <w:r>
        <w:rPr/>
        <w:t>of</w:t>
      </w:r>
      <w:r>
        <w:rPr>
          <w:b w:val="0"/>
          <w:spacing w:val="-5"/>
        </w:rPr>
        <w:t> </w:t>
      </w:r>
      <w:r>
        <w:rPr/>
        <w:t>continuous</w:t>
      </w:r>
      <w:r>
        <w:rPr>
          <w:b w:val="0"/>
          <w:spacing w:val="-7"/>
        </w:rPr>
        <w:t> </w:t>
      </w:r>
      <w:r>
        <w:rPr/>
        <w:t>variables</w:t>
      </w:r>
      <w:r>
        <w:rPr>
          <w:b w:val="0"/>
          <w:spacing w:val="-4"/>
        </w:rPr>
        <w:t> </w:t>
      </w:r>
      <w:r>
        <w:rPr/>
        <w:t>by</w:t>
      </w:r>
      <w:r>
        <w:rPr>
          <w:b w:val="0"/>
          <w:spacing w:val="-5"/>
        </w:rPr>
        <w:t> </w:t>
      </w:r>
      <w:r>
        <w:rPr/>
        <w:t>the</w:t>
      </w:r>
      <w:r>
        <w:rPr>
          <w:b w:val="0"/>
          <w:spacing w:val="-6"/>
        </w:rPr>
        <w:t> </w:t>
      </w:r>
      <w:r>
        <w:rPr/>
        <w:t>level</w:t>
      </w:r>
      <w:r>
        <w:rPr>
          <w:b w:val="0"/>
          <w:spacing w:val="-5"/>
        </w:rPr>
        <w:t> </w:t>
      </w:r>
      <w:r>
        <w:rPr/>
        <w:t>of</w:t>
      </w:r>
      <w:r>
        <w:rPr>
          <w:b w:val="0"/>
          <w:spacing w:val="-4"/>
        </w:rPr>
        <w:t> </w:t>
      </w:r>
      <w:r>
        <w:rPr/>
        <w:t>market</w:t>
      </w:r>
      <w:r>
        <w:rPr>
          <w:b w:val="0"/>
          <w:spacing w:val="-5"/>
        </w:rPr>
        <w:t> </w:t>
      </w:r>
      <w:r>
        <w:rPr>
          <w:spacing w:val="-2"/>
        </w:rPr>
        <w:t>supply</w:t>
      </w:r>
    </w:p>
    <w:p>
      <w:pPr>
        <w:pStyle w:val="BodyText"/>
        <w:spacing w:line="88" w:lineRule="exact"/>
        <w:ind w:left="132"/>
        <w:jc w:val="left"/>
        <w:rPr>
          <w:sz w:val="8"/>
        </w:rPr>
      </w:pPr>
      <w:r>
        <w:rPr>
          <w:position w:val="-1"/>
          <w:sz w:val="8"/>
        </w:rPr>
        <mc:AlternateContent>
          <mc:Choice Requires="wps">
            <w:drawing>
              <wp:inline distT="0" distB="0" distL="0" distR="0">
                <wp:extent cx="5897880" cy="56515"/>
                <wp:effectExtent l="0" t="0" r="0" b="0"/>
                <wp:docPr id="28" name="Group 28"/>
                <wp:cNvGraphicFramePr>
                  <a:graphicFrameLocks/>
                </wp:cNvGraphicFramePr>
                <a:graphic>
                  <a:graphicData uri="http://schemas.microsoft.com/office/word/2010/wordprocessingGroup">
                    <wpg:wgp>
                      <wpg:cNvPr id="28" name="Group 28"/>
                      <wpg:cNvGrpSpPr/>
                      <wpg:grpSpPr>
                        <a:xfrm>
                          <a:off x="0" y="0"/>
                          <a:ext cx="5897880" cy="56515"/>
                          <a:chExt cx="5897880" cy="56515"/>
                        </a:xfrm>
                      </wpg:grpSpPr>
                      <wps:wsp>
                        <wps:cNvPr id="29" name="Graphic 29"/>
                        <wps:cNvSpPr/>
                        <wps:spPr>
                          <a:xfrm>
                            <a:off x="0" y="4"/>
                            <a:ext cx="5897880" cy="56515"/>
                          </a:xfrm>
                          <a:custGeom>
                            <a:avLst/>
                            <a:gdLst/>
                            <a:ahLst/>
                            <a:cxnLst/>
                            <a:rect l="l" t="t" r="r" b="b"/>
                            <a:pathLst>
                              <a:path w="5897880" h="56515">
                                <a:moveTo>
                                  <a:pt x="5897880" y="47244"/>
                                </a:moveTo>
                                <a:lnTo>
                                  <a:pt x="5897880" y="47244"/>
                                </a:lnTo>
                                <a:lnTo>
                                  <a:pt x="0" y="47244"/>
                                </a:lnTo>
                                <a:lnTo>
                                  <a:pt x="0" y="56388"/>
                                </a:lnTo>
                                <a:lnTo>
                                  <a:pt x="5897880" y="56388"/>
                                </a:lnTo>
                                <a:lnTo>
                                  <a:pt x="5897880" y="47244"/>
                                </a:lnTo>
                                <a:close/>
                              </a:path>
                              <a:path w="5897880" h="56515">
                                <a:moveTo>
                                  <a:pt x="5897880" y="0"/>
                                </a:moveTo>
                                <a:lnTo>
                                  <a:pt x="5897880" y="0"/>
                                </a:lnTo>
                                <a:lnTo>
                                  <a:pt x="0" y="0"/>
                                </a:lnTo>
                                <a:lnTo>
                                  <a:pt x="0" y="38100"/>
                                </a:lnTo>
                                <a:lnTo>
                                  <a:pt x="5897880" y="38100"/>
                                </a:lnTo>
                                <a:lnTo>
                                  <a:pt x="5897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4.4pt;height:4.45pt;mso-position-horizontal-relative:char;mso-position-vertical-relative:line" id="docshapegroup27" coordorigin="0,0" coordsize="9288,89">
                <v:shape style="position:absolute;left:0;top:0;width:9288;height:89" id="docshape28" coordorigin="0,0" coordsize="9288,89" path="m9288,74l7946,74,7858,74,2237,74,2148,74,0,74,0,89,2148,89,2237,89,7858,89,7946,89,9288,89,9288,74xm9288,0l7946,0,7858,0,2237,0,2148,0,0,0,0,60,2148,60,2237,60,7858,60,7946,60,9288,60,9288,0xe" filled="true" fillcolor="#000000" stroked="false">
                  <v:path arrowok="t"/>
                  <v:fill type="solid"/>
                </v:shape>
              </v:group>
            </w:pict>
          </mc:Fallback>
        </mc:AlternateContent>
      </w:r>
      <w:r>
        <w:rPr>
          <w:position w:val="-1"/>
          <w:sz w:val="8"/>
        </w:rPr>
      </w:r>
    </w:p>
    <w:p>
      <w:pPr>
        <w:pStyle w:val="BodyText"/>
        <w:ind w:left="4210"/>
      </w:pPr>
      <w:r>
        <w:rPr/>
        <mc:AlternateContent>
          <mc:Choice Requires="wps">
            <w:drawing>
              <wp:anchor distT="0" distB="0" distL="0" distR="0" allowOverlap="1" layoutInCell="1" locked="0" behindDoc="0" simplePos="0" relativeHeight="15740416">
                <wp:simplePos x="0" y="0"/>
                <wp:positionH relativeFrom="page">
                  <wp:posOffset>2197608</wp:posOffset>
                </wp:positionH>
                <wp:positionV relativeFrom="paragraph">
                  <wp:posOffset>146816</wp:posOffset>
                </wp:positionV>
                <wp:extent cx="3625850" cy="3683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625850" cy="36830"/>
                        </a:xfrm>
                        <a:custGeom>
                          <a:avLst/>
                          <a:gdLst/>
                          <a:ahLst/>
                          <a:cxnLst/>
                          <a:rect l="l" t="t" r="r" b="b"/>
                          <a:pathLst>
                            <a:path w="3625850" h="36830">
                              <a:moveTo>
                                <a:pt x="3625596" y="27432"/>
                              </a:moveTo>
                              <a:lnTo>
                                <a:pt x="1662684" y="27432"/>
                              </a:lnTo>
                              <a:lnTo>
                                <a:pt x="1626108" y="27432"/>
                              </a:lnTo>
                              <a:lnTo>
                                <a:pt x="0" y="27432"/>
                              </a:lnTo>
                              <a:lnTo>
                                <a:pt x="0" y="36576"/>
                              </a:lnTo>
                              <a:lnTo>
                                <a:pt x="1626108" y="36576"/>
                              </a:lnTo>
                              <a:lnTo>
                                <a:pt x="1662684" y="36576"/>
                              </a:lnTo>
                              <a:lnTo>
                                <a:pt x="3625596" y="36576"/>
                              </a:lnTo>
                              <a:lnTo>
                                <a:pt x="3625596" y="27432"/>
                              </a:lnTo>
                              <a:close/>
                            </a:path>
                            <a:path w="3625850" h="36830">
                              <a:moveTo>
                                <a:pt x="3625596" y="0"/>
                              </a:moveTo>
                              <a:lnTo>
                                <a:pt x="1662684" y="0"/>
                              </a:lnTo>
                              <a:lnTo>
                                <a:pt x="1626108" y="0"/>
                              </a:lnTo>
                              <a:lnTo>
                                <a:pt x="0" y="0"/>
                              </a:lnTo>
                              <a:lnTo>
                                <a:pt x="0" y="18288"/>
                              </a:lnTo>
                              <a:lnTo>
                                <a:pt x="1626108" y="18288"/>
                              </a:lnTo>
                              <a:lnTo>
                                <a:pt x="1662684" y="18288"/>
                              </a:lnTo>
                              <a:lnTo>
                                <a:pt x="3625596" y="18288"/>
                              </a:lnTo>
                              <a:lnTo>
                                <a:pt x="3625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040009pt;margin-top:11.560369pt;width:285.5pt;height:2.9pt;mso-position-horizontal-relative:page;mso-position-vertical-relative:paragraph;z-index:15740416" id="docshape29" coordorigin="3461,231" coordsize="5710,58" path="m9170,274l6079,274,6022,274,3461,274,3461,289,6022,289,6079,289,9170,289,9170,274xm9170,231l6079,231,6022,231,3461,231,3461,260,6022,260,6079,260,9170,260,9170,231xe" filled="true" fillcolor="#000000" stroked="false">
                <v:path arrowok="t"/>
                <v:fill type="solid"/>
                <w10:wrap type="none"/>
              </v:shape>
            </w:pict>
          </mc:Fallback>
        </mc:AlternateContent>
      </w:r>
      <w:r>
        <w:rPr/>
        <w:t>Total</w:t>
      </w:r>
      <w:r>
        <w:rPr>
          <w:spacing w:val="-2"/>
        </w:rPr>
        <w:t> Households(127)</w:t>
      </w:r>
    </w:p>
    <w:p>
      <w:pPr>
        <w:spacing w:after="0"/>
        <w:sectPr>
          <w:pgSz w:w="11900" w:h="16840"/>
          <w:pgMar w:header="846" w:footer="819" w:top="1640" w:bottom="1000" w:left="1180" w:right="1180"/>
        </w:sectPr>
      </w:pPr>
    </w:p>
    <w:p>
      <w:pPr>
        <w:pStyle w:val="BodyText"/>
        <w:spacing w:line="224" w:lineRule="exact"/>
        <w:jc w:val="left"/>
      </w:pPr>
      <w:r>
        <w:rPr>
          <w:spacing w:val="-2"/>
        </w:rPr>
        <w:t>Variables</w:t>
      </w:r>
    </w:p>
    <w:p>
      <w:pPr>
        <w:pStyle w:val="Heading3"/>
        <w:tabs>
          <w:tab w:pos="2801" w:val="left" w:leader="none"/>
        </w:tabs>
        <w:spacing w:before="59"/>
        <w:jc w:val="left"/>
      </w:pPr>
      <w:r>
        <w:rPr>
          <w:b w:val="0"/>
        </w:rPr>
        <w:br w:type="column"/>
      </w:r>
      <w:r>
        <w:rPr/>
        <w:t>Below</w:t>
      </w:r>
      <w:r>
        <w:rPr>
          <w:b w:val="0"/>
          <w:spacing w:val="-4"/>
        </w:rPr>
        <w:t> </w:t>
      </w:r>
      <w:r>
        <w:rPr/>
        <w:t>mean</w:t>
      </w:r>
      <w:r>
        <w:rPr>
          <w:b w:val="0"/>
          <w:spacing w:val="-6"/>
        </w:rPr>
        <w:t> </w:t>
      </w:r>
      <w:r>
        <w:rPr/>
        <w:t>(N=88</w:t>
      </w:r>
      <w:r>
        <w:rPr>
          <w:b w:val="0"/>
          <w:spacing w:val="-6"/>
        </w:rPr>
        <w:t> </w:t>
      </w:r>
      <w:r>
        <w:rPr>
          <w:spacing w:val="-10"/>
        </w:rPr>
        <w:t>)</w:t>
      </w:r>
      <w:r>
        <w:rPr>
          <w:b w:val="0"/>
        </w:rPr>
        <w:tab/>
      </w:r>
      <w:r>
        <w:rPr/>
        <w:t>Above</w:t>
      </w:r>
      <w:r>
        <w:rPr>
          <w:b w:val="0"/>
          <w:spacing w:val="-5"/>
        </w:rPr>
        <w:t> </w:t>
      </w:r>
      <w:r>
        <w:rPr/>
        <w:t>Mean</w:t>
      </w:r>
      <w:r>
        <w:rPr>
          <w:b w:val="0"/>
          <w:spacing w:val="-2"/>
        </w:rPr>
        <w:t> </w:t>
      </w:r>
      <w:r>
        <w:rPr>
          <w:spacing w:val="-2"/>
        </w:rPr>
        <w:t>(N=39)</w:t>
      </w:r>
    </w:p>
    <w:p>
      <w:pPr>
        <w:pStyle w:val="BodyText"/>
        <w:spacing w:line="224" w:lineRule="exact"/>
        <w:jc w:val="left"/>
      </w:pPr>
      <w:r>
        <w:rPr/>
        <w:br w:type="column"/>
      </w:r>
      <w:r>
        <w:rPr>
          <w:spacing w:val="-4"/>
        </w:rPr>
        <w:t>t-test</w:t>
      </w:r>
    </w:p>
    <w:p>
      <w:pPr>
        <w:spacing w:after="0" w:line="224" w:lineRule="exact"/>
        <w:jc w:val="left"/>
        <w:sectPr>
          <w:type w:val="continuous"/>
          <w:pgSz w:w="11900" w:h="16840"/>
          <w:pgMar w:header="846" w:footer="819" w:top="1640" w:bottom="1000" w:left="1180" w:right="1180"/>
          <w:cols w:num="3" w:equalWidth="0">
            <w:col w:w="1048" w:space="1100"/>
            <w:col w:w="4569" w:space="1546"/>
            <w:col w:w="1277"/>
          </w:cols>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4"/>
        <w:gridCol w:w="1565"/>
        <w:gridCol w:w="1367"/>
        <w:gridCol w:w="1550"/>
        <w:gridCol w:w="1438"/>
        <w:gridCol w:w="1558"/>
      </w:tblGrid>
      <w:tr>
        <w:trPr>
          <w:trHeight w:val="222" w:hRule="atLeast"/>
        </w:trPr>
        <w:tc>
          <w:tcPr>
            <w:tcW w:w="1824" w:type="dxa"/>
            <w:tcBorders>
              <w:bottom w:val="thinThickMediumGap" w:sz="12" w:space="0" w:color="000000"/>
            </w:tcBorders>
          </w:tcPr>
          <w:p>
            <w:pPr>
              <w:pStyle w:val="TableParagraph"/>
              <w:spacing w:line="240" w:lineRule="auto"/>
              <w:jc w:val="left"/>
              <w:rPr>
                <w:sz w:val="14"/>
              </w:rPr>
            </w:pPr>
          </w:p>
        </w:tc>
        <w:tc>
          <w:tcPr>
            <w:tcW w:w="1565" w:type="dxa"/>
            <w:tcBorders>
              <w:bottom w:val="thinThickMediumGap" w:sz="12" w:space="0" w:color="000000"/>
            </w:tcBorders>
          </w:tcPr>
          <w:p>
            <w:pPr>
              <w:pStyle w:val="TableParagraph"/>
              <w:spacing w:line="202" w:lineRule="exact"/>
              <w:ind w:right="403"/>
              <w:jc w:val="right"/>
              <w:rPr>
                <w:b/>
                <w:sz w:val="20"/>
              </w:rPr>
            </w:pPr>
            <w:r>
              <w:rPr>
                <w:b/>
                <w:spacing w:val="-4"/>
                <w:sz w:val="20"/>
              </w:rPr>
              <w:t>Mean</w:t>
            </w:r>
          </w:p>
        </w:tc>
        <w:tc>
          <w:tcPr>
            <w:tcW w:w="1367" w:type="dxa"/>
            <w:tcBorders>
              <w:bottom w:val="thinThickMediumGap" w:sz="12" w:space="0" w:color="000000"/>
            </w:tcBorders>
          </w:tcPr>
          <w:p>
            <w:pPr>
              <w:pStyle w:val="TableParagraph"/>
              <w:spacing w:line="202" w:lineRule="exact"/>
              <w:ind w:left="501"/>
              <w:jc w:val="left"/>
              <w:rPr>
                <w:b/>
                <w:sz w:val="20"/>
              </w:rPr>
            </w:pPr>
            <w:r>
              <w:rPr>
                <w:b/>
                <w:spacing w:val="-5"/>
                <w:sz w:val="20"/>
              </w:rPr>
              <w:t>SD</w:t>
            </w:r>
          </w:p>
        </w:tc>
        <w:tc>
          <w:tcPr>
            <w:tcW w:w="1550" w:type="dxa"/>
            <w:tcBorders>
              <w:bottom w:val="thinThickMediumGap" w:sz="12" w:space="0" w:color="000000"/>
            </w:tcBorders>
          </w:tcPr>
          <w:p>
            <w:pPr>
              <w:pStyle w:val="TableParagraph"/>
              <w:spacing w:line="202" w:lineRule="exact"/>
              <w:ind w:right="38"/>
              <w:rPr>
                <w:b/>
                <w:sz w:val="20"/>
              </w:rPr>
            </w:pPr>
            <w:r>
              <w:rPr>
                <w:b/>
                <w:spacing w:val="-4"/>
                <w:sz w:val="20"/>
              </w:rPr>
              <w:t>Mean</w:t>
            </w:r>
          </w:p>
        </w:tc>
        <w:tc>
          <w:tcPr>
            <w:tcW w:w="1438" w:type="dxa"/>
            <w:tcBorders>
              <w:bottom w:val="thinThickMediumGap" w:sz="12" w:space="0" w:color="000000"/>
            </w:tcBorders>
          </w:tcPr>
          <w:p>
            <w:pPr>
              <w:pStyle w:val="TableParagraph"/>
              <w:spacing w:line="202" w:lineRule="exact"/>
              <w:ind w:left="115" w:right="1"/>
              <w:rPr>
                <w:b/>
                <w:sz w:val="20"/>
              </w:rPr>
            </w:pPr>
            <w:r>
              <w:rPr>
                <w:b/>
                <w:spacing w:val="-5"/>
                <w:sz w:val="20"/>
              </w:rPr>
              <w:t>SD</w:t>
            </w:r>
          </w:p>
        </w:tc>
        <w:tc>
          <w:tcPr>
            <w:tcW w:w="1558" w:type="dxa"/>
            <w:tcBorders>
              <w:bottom w:val="thinThickMediumGap" w:sz="12" w:space="0" w:color="000000"/>
            </w:tcBorders>
          </w:tcPr>
          <w:p>
            <w:pPr>
              <w:pStyle w:val="TableParagraph"/>
              <w:spacing w:line="240" w:lineRule="auto"/>
              <w:jc w:val="left"/>
              <w:rPr>
                <w:sz w:val="14"/>
              </w:rPr>
            </w:pPr>
          </w:p>
        </w:tc>
      </w:tr>
      <w:tr>
        <w:trPr>
          <w:trHeight w:val="227" w:hRule="atLeast"/>
        </w:trPr>
        <w:tc>
          <w:tcPr>
            <w:tcW w:w="1824" w:type="dxa"/>
            <w:tcBorders>
              <w:top w:val="thickThinMediumGap" w:sz="12" w:space="0" w:color="000000"/>
            </w:tcBorders>
          </w:tcPr>
          <w:p>
            <w:pPr>
              <w:pStyle w:val="TableParagraph"/>
              <w:spacing w:line="207" w:lineRule="exact"/>
              <w:ind w:left="122"/>
              <w:jc w:val="left"/>
              <w:rPr>
                <w:sz w:val="20"/>
              </w:rPr>
            </w:pPr>
            <w:r>
              <w:rPr>
                <w:spacing w:val="-5"/>
                <w:sz w:val="20"/>
              </w:rPr>
              <w:t>Age</w:t>
            </w:r>
          </w:p>
        </w:tc>
        <w:tc>
          <w:tcPr>
            <w:tcW w:w="1565" w:type="dxa"/>
            <w:tcBorders>
              <w:top w:val="thickThinMediumGap" w:sz="12" w:space="0" w:color="000000"/>
            </w:tcBorders>
          </w:tcPr>
          <w:p>
            <w:pPr>
              <w:pStyle w:val="TableParagraph"/>
              <w:spacing w:line="207" w:lineRule="exact"/>
              <w:ind w:right="421"/>
              <w:jc w:val="right"/>
              <w:rPr>
                <w:sz w:val="20"/>
              </w:rPr>
            </w:pPr>
            <w:r>
              <w:rPr>
                <w:spacing w:val="-2"/>
                <w:sz w:val="20"/>
              </w:rPr>
              <w:t>43.66</w:t>
            </w:r>
          </w:p>
        </w:tc>
        <w:tc>
          <w:tcPr>
            <w:tcW w:w="1367" w:type="dxa"/>
            <w:tcBorders>
              <w:top w:val="thickThinMediumGap" w:sz="12" w:space="0" w:color="000000"/>
            </w:tcBorders>
          </w:tcPr>
          <w:p>
            <w:pPr>
              <w:pStyle w:val="TableParagraph"/>
              <w:spacing w:line="207" w:lineRule="exact"/>
              <w:ind w:left="405"/>
              <w:jc w:val="left"/>
              <w:rPr>
                <w:sz w:val="20"/>
              </w:rPr>
            </w:pPr>
            <w:r>
              <w:rPr>
                <w:spacing w:val="-2"/>
                <w:sz w:val="20"/>
              </w:rPr>
              <w:t>10.60</w:t>
            </w:r>
          </w:p>
        </w:tc>
        <w:tc>
          <w:tcPr>
            <w:tcW w:w="1550" w:type="dxa"/>
            <w:tcBorders>
              <w:top w:val="thickThinMediumGap" w:sz="12" w:space="0" w:color="000000"/>
            </w:tcBorders>
          </w:tcPr>
          <w:p>
            <w:pPr>
              <w:pStyle w:val="TableParagraph"/>
              <w:spacing w:line="207" w:lineRule="exact"/>
              <w:ind w:right="38"/>
              <w:rPr>
                <w:sz w:val="20"/>
              </w:rPr>
            </w:pPr>
            <w:r>
              <w:rPr>
                <w:spacing w:val="-2"/>
                <w:sz w:val="20"/>
              </w:rPr>
              <w:t>44.56</w:t>
            </w:r>
          </w:p>
        </w:tc>
        <w:tc>
          <w:tcPr>
            <w:tcW w:w="1438" w:type="dxa"/>
            <w:tcBorders>
              <w:top w:val="thickThinMediumGap" w:sz="12" w:space="0" w:color="000000"/>
            </w:tcBorders>
          </w:tcPr>
          <w:p>
            <w:pPr>
              <w:pStyle w:val="TableParagraph"/>
              <w:spacing w:line="207" w:lineRule="exact"/>
              <w:ind w:left="115"/>
              <w:rPr>
                <w:sz w:val="20"/>
              </w:rPr>
            </w:pPr>
            <w:r>
              <w:rPr>
                <w:spacing w:val="-4"/>
                <w:sz w:val="20"/>
              </w:rPr>
              <w:t>8.57</w:t>
            </w:r>
          </w:p>
        </w:tc>
        <w:tc>
          <w:tcPr>
            <w:tcW w:w="1558" w:type="dxa"/>
            <w:tcBorders>
              <w:top w:val="thickThinMediumGap" w:sz="12" w:space="0" w:color="000000"/>
            </w:tcBorders>
          </w:tcPr>
          <w:p>
            <w:pPr>
              <w:pStyle w:val="TableParagraph"/>
              <w:spacing w:line="207" w:lineRule="exact"/>
              <w:ind w:left="129" w:right="2"/>
              <w:rPr>
                <w:sz w:val="20"/>
              </w:rPr>
            </w:pPr>
            <w:r>
              <w:rPr>
                <w:spacing w:val="-4"/>
                <w:sz w:val="20"/>
              </w:rPr>
              <w:t>-</w:t>
            </w:r>
            <w:r>
              <w:rPr>
                <w:spacing w:val="-2"/>
                <w:sz w:val="20"/>
              </w:rPr>
              <w:t>.465*</w:t>
            </w:r>
          </w:p>
        </w:tc>
      </w:tr>
      <w:tr>
        <w:trPr>
          <w:trHeight w:val="230" w:hRule="atLeast"/>
        </w:trPr>
        <w:tc>
          <w:tcPr>
            <w:tcW w:w="1824" w:type="dxa"/>
          </w:tcPr>
          <w:p>
            <w:pPr>
              <w:pStyle w:val="TableParagraph"/>
              <w:ind w:left="122"/>
              <w:jc w:val="left"/>
              <w:rPr>
                <w:sz w:val="20"/>
              </w:rPr>
            </w:pPr>
            <w:r>
              <w:rPr>
                <w:spacing w:val="-2"/>
                <w:sz w:val="20"/>
              </w:rPr>
              <w:t>Family</w:t>
            </w:r>
          </w:p>
        </w:tc>
        <w:tc>
          <w:tcPr>
            <w:tcW w:w="1565" w:type="dxa"/>
          </w:tcPr>
          <w:p>
            <w:pPr>
              <w:pStyle w:val="TableParagraph"/>
              <w:ind w:right="472"/>
              <w:jc w:val="right"/>
              <w:rPr>
                <w:sz w:val="20"/>
              </w:rPr>
            </w:pPr>
            <w:r>
              <w:rPr>
                <w:spacing w:val="-4"/>
                <w:sz w:val="20"/>
              </w:rPr>
              <w:t>6.08</w:t>
            </w:r>
          </w:p>
        </w:tc>
        <w:tc>
          <w:tcPr>
            <w:tcW w:w="1367" w:type="dxa"/>
          </w:tcPr>
          <w:p>
            <w:pPr>
              <w:pStyle w:val="TableParagraph"/>
              <w:ind w:left="455"/>
              <w:jc w:val="left"/>
              <w:rPr>
                <w:sz w:val="20"/>
              </w:rPr>
            </w:pPr>
            <w:r>
              <w:rPr>
                <w:spacing w:val="-4"/>
                <w:sz w:val="20"/>
              </w:rPr>
              <w:t>1.87</w:t>
            </w:r>
          </w:p>
        </w:tc>
        <w:tc>
          <w:tcPr>
            <w:tcW w:w="1550" w:type="dxa"/>
          </w:tcPr>
          <w:p>
            <w:pPr>
              <w:pStyle w:val="TableParagraph"/>
              <w:ind w:right="38"/>
              <w:rPr>
                <w:sz w:val="20"/>
              </w:rPr>
            </w:pPr>
            <w:r>
              <w:rPr>
                <w:spacing w:val="-4"/>
                <w:sz w:val="20"/>
              </w:rPr>
              <w:t>6.21</w:t>
            </w:r>
          </w:p>
        </w:tc>
        <w:tc>
          <w:tcPr>
            <w:tcW w:w="1438" w:type="dxa"/>
          </w:tcPr>
          <w:p>
            <w:pPr>
              <w:pStyle w:val="TableParagraph"/>
              <w:ind w:left="115"/>
              <w:rPr>
                <w:sz w:val="20"/>
              </w:rPr>
            </w:pPr>
            <w:r>
              <w:rPr>
                <w:spacing w:val="-4"/>
                <w:sz w:val="20"/>
              </w:rPr>
              <w:t>1.61</w:t>
            </w:r>
          </w:p>
        </w:tc>
        <w:tc>
          <w:tcPr>
            <w:tcW w:w="1558" w:type="dxa"/>
          </w:tcPr>
          <w:p>
            <w:pPr>
              <w:pStyle w:val="TableParagraph"/>
              <w:ind w:left="129" w:right="2"/>
              <w:rPr>
                <w:sz w:val="20"/>
              </w:rPr>
            </w:pPr>
            <w:r>
              <w:rPr>
                <w:spacing w:val="-4"/>
                <w:sz w:val="20"/>
              </w:rPr>
              <w:t>-0.36</w:t>
            </w:r>
          </w:p>
        </w:tc>
      </w:tr>
      <w:tr>
        <w:trPr>
          <w:trHeight w:val="230" w:hRule="atLeast"/>
        </w:trPr>
        <w:tc>
          <w:tcPr>
            <w:tcW w:w="1824" w:type="dxa"/>
          </w:tcPr>
          <w:p>
            <w:pPr>
              <w:pStyle w:val="TableParagraph"/>
              <w:ind w:left="122"/>
              <w:jc w:val="left"/>
              <w:rPr>
                <w:sz w:val="20"/>
              </w:rPr>
            </w:pPr>
            <w:r>
              <w:rPr>
                <w:sz w:val="20"/>
              </w:rPr>
              <w:t>Land</w:t>
            </w:r>
            <w:r>
              <w:rPr>
                <w:spacing w:val="-6"/>
                <w:sz w:val="20"/>
              </w:rPr>
              <w:t> </w:t>
            </w:r>
            <w:r>
              <w:rPr>
                <w:spacing w:val="-4"/>
                <w:sz w:val="20"/>
              </w:rPr>
              <w:t>size</w:t>
            </w:r>
          </w:p>
        </w:tc>
        <w:tc>
          <w:tcPr>
            <w:tcW w:w="1565" w:type="dxa"/>
          </w:tcPr>
          <w:p>
            <w:pPr>
              <w:pStyle w:val="TableParagraph"/>
              <w:ind w:right="472"/>
              <w:jc w:val="right"/>
              <w:rPr>
                <w:sz w:val="20"/>
              </w:rPr>
            </w:pPr>
            <w:r>
              <w:rPr>
                <w:spacing w:val="-4"/>
                <w:sz w:val="20"/>
              </w:rPr>
              <w:t>2.96</w:t>
            </w:r>
          </w:p>
        </w:tc>
        <w:tc>
          <w:tcPr>
            <w:tcW w:w="1367" w:type="dxa"/>
          </w:tcPr>
          <w:p>
            <w:pPr>
              <w:pStyle w:val="TableParagraph"/>
              <w:ind w:left="455"/>
              <w:jc w:val="left"/>
              <w:rPr>
                <w:sz w:val="20"/>
              </w:rPr>
            </w:pPr>
            <w:r>
              <w:rPr>
                <w:spacing w:val="-4"/>
                <w:sz w:val="20"/>
              </w:rPr>
              <w:t>0.78</w:t>
            </w:r>
          </w:p>
        </w:tc>
        <w:tc>
          <w:tcPr>
            <w:tcW w:w="1550" w:type="dxa"/>
          </w:tcPr>
          <w:p>
            <w:pPr>
              <w:pStyle w:val="TableParagraph"/>
              <w:ind w:right="38"/>
              <w:rPr>
                <w:sz w:val="20"/>
              </w:rPr>
            </w:pPr>
            <w:r>
              <w:rPr>
                <w:spacing w:val="-4"/>
                <w:sz w:val="20"/>
              </w:rPr>
              <w:t>5.08</w:t>
            </w:r>
          </w:p>
        </w:tc>
        <w:tc>
          <w:tcPr>
            <w:tcW w:w="1438" w:type="dxa"/>
          </w:tcPr>
          <w:p>
            <w:pPr>
              <w:pStyle w:val="TableParagraph"/>
              <w:ind w:left="115"/>
              <w:rPr>
                <w:sz w:val="20"/>
              </w:rPr>
            </w:pPr>
            <w:r>
              <w:rPr>
                <w:spacing w:val="-4"/>
                <w:sz w:val="20"/>
              </w:rPr>
              <w:t>2.37</w:t>
            </w:r>
          </w:p>
        </w:tc>
        <w:tc>
          <w:tcPr>
            <w:tcW w:w="1558" w:type="dxa"/>
          </w:tcPr>
          <w:p>
            <w:pPr>
              <w:pStyle w:val="TableParagraph"/>
              <w:ind w:left="129" w:right="5"/>
              <w:rPr>
                <w:sz w:val="20"/>
              </w:rPr>
            </w:pPr>
            <w:r>
              <w:rPr>
                <w:spacing w:val="-4"/>
                <w:sz w:val="20"/>
              </w:rPr>
              <w:t>-</w:t>
            </w:r>
            <w:r>
              <w:rPr>
                <w:spacing w:val="-2"/>
                <w:sz w:val="20"/>
              </w:rPr>
              <w:t>7.53***</w:t>
            </w:r>
          </w:p>
        </w:tc>
      </w:tr>
      <w:tr>
        <w:trPr>
          <w:trHeight w:val="230" w:hRule="atLeast"/>
        </w:trPr>
        <w:tc>
          <w:tcPr>
            <w:tcW w:w="1824" w:type="dxa"/>
          </w:tcPr>
          <w:p>
            <w:pPr>
              <w:pStyle w:val="TableParagraph"/>
              <w:ind w:left="122"/>
              <w:jc w:val="left"/>
              <w:rPr>
                <w:sz w:val="20"/>
              </w:rPr>
            </w:pPr>
            <w:r>
              <w:rPr>
                <w:spacing w:val="-2"/>
                <w:sz w:val="20"/>
              </w:rPr>
              <w:t>DMarket</w:t>
            </w:r>
          </w:p>
        </w:tc>
        <w:tc>
          <w:tcPr>
            <w:tcW w:w="1565" w:type="dxa"/>
          </w:tcPr>
          <w:p>
            <w:pPr>
              <w:pStyle w:val="TableParagraph"/>
              <w:ind w:right="421"/>
              <w:jc w:val="right"/>
              <w:rPr>
                <w:sz w:val="20"/>
              </w:rPr>
            </w:pPr>
            <w:r>
              <w:rPr>
                <w:spacing w:val="-2"/>
                <w:sz w:val="20"/>
              </w:rPr>
              <w:t>22.21</w:t>
            </w:r>
          </w:p>
        </w:tc>
        <w:tc>
          <w:tcPr>
            <w:tcW w:w="1367" w:type="dxa"/>
          </w:tcPr>
          <w:p>
            <w:pPr>
              <w:pStyle w:val="TableParagraph"/>
              <w:ind w:left="405"/>
              <w:jc w:val="left"/>
              <w:rPr>
                <w:sz w:val="20"/>
              </w:rPr>
            </w:pPr>
            <w:r>
              <w:rPr>
                <w:spacing w:val="-2"/>
                <w:sz w:val="20"/>
              </w:rPr>
              <w:t>10.08</w:t>
            </w:r>
          </w:p>
        </w:tc>
        <w:tc>
          <w:tcPr>
            <w:tcW w:w="1550" w:type="dxa"/>
          </w:tcPr>
          <w:p>
            <w:pPr>
              <w:pStyle w:val="TableParagraph"/>
              <w:ind w:right="38"/>
              <w:rPr>
                <w:sz w:val="20"/>
              </w:rPr>
            </w:pPr>
            <w:r>
              <w:rPr>
                <w:spacing w:val="-2"/>
                <w:sz w:val="20"/>
              </w:rPr>
              <w:t>27.38</w:t>
            </w:r>
          </w:p>
        </w:tc>
        <w:tc>
          <w:tcPr>
            <w:tcW w:w="1438" w:type="dxa"/>
          </w:tcPr>
          <w:p>
            <w:pPr>
              <w:pStyle w:val="TableParagraph"/>
              <w:ind w:left="115"/>
              <w:rPr>
                <w:sz w:val="20"/>
              </w:rPr>
            </w:pPr>
            <w:r>
              <w:rPr>
                <w:spacing w:val="-2"/>
                <w:sz w:val="20"/>
              </w:rPr>
              <w:t>10.54</w:t>
            </w:r>
          </w:p>
        </w:tc>
        <w:tc>
          <w:tcPr>
            <w:tcW w:w="1558" w:type="dxa"/>
          </w:tcPr>
          <w:p>
            <w:pPr>
              <w:pStyle w:val="TableParagraph"/>
              <w:ind w:left="129" w:right="5"/>
              <w:rPr>
                <w:sz w:val="20"/>
              </w:rPr>
            </w:pPr>
            <w:r>
              <w:rPr>
                <w:spacing w:val="-4"/>
                <w:sz w:val="20"/>
              </w:rPr>
              <w:t>-</w:t>
            </w:r>
            <w:r>
              <w:rPr>
                <w:spacing w:val="-2"/>
                <w:sz w:val="20"/>
              </w:rPr>
              <w:t>2.62***</w:t>
            </w:r>
          </w:p>
        </w:tc>
      </w:tr>
      <w:tr>
        <w:trPr>
          <w:trHeight w:val="230" w:hRule="atLeast"/>
        </w:trPr>
        <w:tc>
          <w:tcPr>
            <w:tcW w:w="1824" w:type="dxa"/>
          </w:tcPr>
          <w:p>
            <w:pPr>
              <w:pStyle w:val="TableParagraph"/>
              <w:ind w:left="122"/>
              <w:jc w:val="left"/>
              <w:rPr>
                <w:sz w:val="20"/>
              </w:rPr>
            </w:pPr>
            <w:r>
              <w:rPr>
                <w:spacing w:val="-2"/>
                <w:sz w:val="20"/>
              </w:rPr>
              <w:t>QProdn</w:t>
            </w:r>
          </w:p>
        </w:tc>
        <w:tc>
          <w:tcPr>
            <w:tcW w:w="1565" w:type="dxa"/>
          </w:tcPr>
          <w:p>
            <w:pPr>
              <w:pStyle w:val="TableParagraph"/>
              <w:ind w:right="472"/>
              <w:jc w:val="right"/>
              <w:rPr>
                <w:sz w:val="20"/>
              </w:rPr>
            </w:pPr>
            <w:r>
              <w:rPr>
                <w:spacing w:val="-4"/>
                <w:sz w:val="20"/>
              </w:rPr>
              <w:t>4.64</w:t>
            </w:r>
          </w:p>
        </w:tc>
        <w:tc>
          <w:tcPr>
            <w:tcW w:w="1367" w:type="dxa"/>
          </w:tcPr>
          <w:p>
            <w:pPr>
              <w:pStyle w:val="TableParagraph"/>
              <w:ind w:left="455"/>
              <w:jc w:val="left"/>
              <w:rPr>
                <w:sz w:val="20"/>
              </w:rPr>
            </w:pPr>
            <w:r>
              <w:rPr>
                <w:spacing w:val="-4"/>
                <w:sz w:val="20"/>
              </w:rPr>
              <w:t>1.59</w:t>
            </w:r>
          </w:p>
        </w:tc>
        <w:tc>
          <w:tcPr>
            <w:tcW w:w="1550" w:type="dxa"/>
          </w:tcPr>
          <w:p>
            <w:pPr>
              <w:pStyle w:val="TableParagraph"/>
              <w:ind w:right="38"/>
              <w:rPr>
                <w:sz w:val="20"/>
              </w:rPr>
            </w:pPr>
            <w:r>
              <w:rPr>
                <w:spacing w:val="-2"/>
                <w:sz w:val="20"/>
              </w:rPr>
              <w:t>12.56</w:t>
            </w:r>
          </w:p>
        </w:tc>
        <w:tc>
          <w:tcPr>
            <w:tcW w:w="1438" w:type="dxa"/>
          </w:tcPr>
          <w:p>
            <w:pPr>
              <w:pStyle w:val="TableParagraph"/>
              <w:ind w:left="115"/>
              <w:rPr>
                <w:sz w:val="20"/>
              </w:rPr>
            </w:pPr>
            <w:r>
              <w:rPr>
                <w:spacing w:val="-4"/>
                <w:sz w:val="20"/>
              </w:rPr>
              <w:t>6.08</w:t>
            </w:r>
          </w:p>
        </w:tc>
        <w:tc>
          <w:tcPr>
            <w:tcW w:w="1558" w:type="dxa"/>
          </w:tcPr>
          <w:p>
            <w:pPr>
              <w:pStyle w:val="TableParagraph"/>
              <w:ind w:left="129" w:right="2"/>
              <w:rPr>
                <w:sz w:val="20"/>
              </w:rPr>
            </w:pPr>
            <w:r>
              <w:rPr>
                <w:spacing w:val="-4"/>
                <w:sz w:val="20"/>
              </w:rPr>
              <w:t>-</w:t>
            </w:r>
            <w:r>
              <w:rPr>
                <w:spacing w:val="-2"/>
                <w:sz w:val="20"/>
              </w:rPr>
              <w:t>11.35***</w:t>
            </w:r>
          </w:p>
        </w:tc>
      </w:tr>
      <w:tr>
        <w:trPr>
          <w:trHeight w:val="232" w:hRule="atLeast"/>
        </w:trPr>
        <w:tc>
          <w:tcPr>
            <w:tcW w:w="1824" w:type="dxa"/>
            <w:tcBorders>
              <w:bottom w:val="thinThickMediumGap" w:sz="12" w:space="0" w:color="000000"/>
            </w:tcBorders>
          </w:tcPr>
          <w:p>
            <w:pPr>
              <w:pStyle w:val="TableParagraph"/>
              <w:spacing w:line="212" w:lineRule="exact"/>
              <w:ind w:left="122"/>
              <w:jc w:val="left"/>
              <w:rPr>
                <w:sz w:val="20"/>
              </w:rPr>
            </w:pPr>
            <w:r>
              <w:rPr>
                <w:spacing w:val="-2"/>
                <w:sz w:val="20"/>
              </w:rPr>
              <w:t>SFExpriance</w:t>
            </w:r>
          </w:p>
        </w:tc>
        <w:tc>
          <w:tcPr>
            <w:tcW w:w="1565" w:type="dxa"/>
            <w:tcBorders>
              <w:bottom w:val="thinThickMediumGap" w:sz="12" w:space="0" w:color="000000"/>
            </w:tcBorders>
          </w:tcPr>
          <w:p>
            <w:pPr>
              <w:pStyle w:val="TableParagraph"/>
              <w:spacing w:line="212" w:lineRule="exact"/>
              <w:ind w:right="472"/>
              <w:jc w:val="right"/>
              <w:rPr>
                <w:sz w:val="20"/>
              </w:rPr>
            </w:pPr>
            <w:r>
              <w:rPr>
                <w:spacing w:val="-4"/>
                <w:sz w:val="20"/>
              </w:rPr>
              <w:t>6.49</w:t>
            </w:r>
          </w:p>
        </w:tc>
        <w:tc>
          <w:tcPr>
            <w:tcW w:w="1367" w:type="dxa"/>
            <w:tcBorders>
              <w:bottom w:val="thinThickMediumGap" w:sz="12" w:space="0" w:color="000000"/>
            </w:tcBorders>
          </w:tcPr>
          <w:p>
            <w:pPr>
              <w:pStyle w:val="TableParagraph"/>
              <w:spacing w:line="212" w:lineRule="exact"/>
              <w:ind w:left="455"/>
              <w:jc w:val="left"/>
              <w:rPr>
                <w:sz w:val="20"/>
              </w:rPr>
            </w:pPr>
            <w:r>
              <w:rPr>
                <w:spacing w:val="-4"/>
                <w:sz w:val="20"/>
              </w:rPr>
              <w:t>2.12</w:t>
            </w:r>
          </w:p>
        </w:tc>
        <w:tc>
          <w:tcPr>
            <w:tcW w:w="1550" w:type="dxa"/>
            <w:tcBorders>
              <w:bottom w:val="thinThickMediumGap" w:sz="12" w:space="0" w:color="000000"/>
            </w:tcBorders>
          </w:tcPr>
          <w:p>
            <w:pPr>
              <w:pStyle w:val="TableParagraph"/>
              <w:spacing w:line="212" w:lineRule="exact"/>
              <w:ind w:right="38"/>
              <w:rPr>
                <w:sz w:val="20"/>
              </w:rPr>
            </w:pPr>
            <w:r>
              <w:rPr>
                <w:spacing w:val="-4"/>
                <w:sz w:val="20"/>
              </w:rPr>
              <w:t>6.12</w:t>
            </w:r>
          </w:p>
        </w:tc>
        <w:tc>
          <w:tcPr>
            <w:tcW w:w="1438" w:type="dxa"/>
            <w:tcBorders>
              <w:bottom w:val="thinThickMediumGap" w:sz="12" w:space="0" w:color="000000"/>
            </w:tcBorders>
          </w:tcPr>
          <w:p>
            <w:pPr>
              <w:pStyle w:val="TableParagraph"/>
              <w:spacing w:line="212" w:lineRule="exact"/>
              <w:ind w:left="115"/>
              <w:rPr>
                <w:sz w:val="20"/>
              </w:rPr>
            </w:pPr>
            <w:r>
              <w:rPr>
                <w:spacing w:val="-4"/>
                <w:sz w:val="20"/>
              </w:rPr>
              <w:t>2.05</w:t>
            </w:r>
          </w:p>
        </w:tc>
        <w:tc>
          <w:tcPr>
            <w:tcW w:w="1558" w:type="dxa"/>
            <w:tcBorders>
              <w:bottom w:val="thinThickMediumGap" w:sz="12" w:space="0" w:color="000000"/>
            </w:tcBorders>
          </w:tcPr>
          <w:p>
            <w:pPr>
              <w:pStyle w:val="TableParagraph"/>
              <w:spacing w:line="212" w:lineRule="exact"/>
              <w:ind w:left="129"/>
              <w:rPr>
                <w:sz w:val="20"/>
              </w:rPr>
            </w:pPr>
            <w:r>
              <w:rPr>
                <w:spacing w:val="-2"/>
                <w:sz w:val="20"/>
              </w:rPr>
              <w:t>0.90*</w:t>
            </w:r>
          </w:p>
        </w:tc>
      </w:tr>
    </w:tbl>
    <w:p>
      <w:pPr>
        <w:pStyle w:val="BodyText"/>
        <w:spacing w:before="5"/>
        <w:ind w:right="1625" w:hanging="1"/>
        <w:jc w:val="left"/>
      </w:pPr>
      <w:r>
        <w:rPr/>
        <w:t>Note:</w:t>
      </w:r>
      <w:r>
        <w:rPr>
          <w:spacing w:val="-2"/>
        </w:rPr>
        <w:t> </w:t>
      </w:r>
      <w:r>
        <w:rPr/>
        <w:t>***</w:t>
      </w:r>
      <w:r>
        <w:rPr>
          <w:spacing w:val="-4"/>
        </w:rPr>
        <w:t> </w:t>
      </w:r>
      <w:r>
        <w:rPr/>
        <w:t>and *</w:t>
      </w:r>
      <w:r>
        <w:rPr>
          <w:spacing w:val="-4"/>
        </w:rPr>
        <w:t> </w:t>
      </w:r>
      <w:r>
        <w:rPr/>
        <w:t>are</w:t>
      </w:r>
      <w:r>
        <w:rPr>
          <w:spacing w:val="-4"/>
        </w:rPr>
        <w:t> </w:t>
      </w:r>
      <w:r>
        <w:rPr/>
        <w:t>statistically</w:t>
      </w:r>
      <w:r>
        <w:rPr>
          <w:spacing w:val="-4"/>
        </w:rPr>
        <w:t> </w:t>
      </w:r>
      <w:r>
        <w:rPr/>
        <w:t>significant</w:t>
      </w:r>
      <w:r>
        <w:rPr>
          <w:spacing w:val="-4"/>
        </w:rPr>
        <w:t> </w:t>
      </w:r>
      <w:r>
        <w:rPr/>
        <w:t>at</w:t>
      </w:r>
      <w:r>
        <w:rPr>
          <w:spacing w:val="-4"/>
        </w:rPr>
        <w:t> </w:t>
      </w:r>
      <w:r>
        <w:rPr/>
        <w:t>1%</w:t>
      </w:r>
      <w:r>
        <w:rPr>
          <w:spacing w:val="-4"/>
        </w:rPr>
        <w:t> </w:t>
      </w:r>
      <w:r>
        <w:rPr/>
        <w:t>and</w:t>
      </w:r>
      <w:r>
        <w:rPr>
          <w:spacing w:val="-3"/>
        </w:rPr>
        <w:t> </w:t>
      </w:r>
      <w:r>
        <w:rPr/>
        <w:t>10%</w:t>
      </w:r>
      <w:r>
        <w:rPr>
          <w:spacing w:val="-4"/>
        </w:rPr>
        <w:t> </w:t>
      </w:r>
      <w:r>
        <w:rPr/>
        <w:t>probability</w:t>
      </w:r>
      <w:r>
        <w:rPr>
          <w:spacing w:val="-7"/>
        </w:rPr>
        <w:t> </w:t>
      </w:r>
      <w:r>
        <w:rPr/>
        <w:t>level,</w:t>
      </w:r>
      <w:r>
        <w:rPr>
          <w:spacing w:val="-3"/>
        </w:rPr>
        <w:t> </w:t>
      </w:r>
      <w:r>
        <w:rPr/>
        <w:t>respectively Source: Own computation from survey result, 2015</w:t>
      </w:r>
    </w:p>
    <w:p>
      <w:pPr>
        <w:pStyle w:val="BodyText"/>
        <w:spacing w:before="3"/>
        <w:ind w:left="0"/>
        <w:jc w:val="left"/>
      </w:pPr>
    </w:p>
    <w:p>
      <w:pPr>
        <w:pStyle w:val="Heading3"/>
        <w:spacing w:before="1" w:after="2"/>
        <w:jc w:val="left"/>
      </w:pPr>
      <w:r>
        <w:rPr/>
        <w:t>Table</w:t>
      </w:r>
      <w:r>
        <w:rPr>
          <w:b w:val="0"/>
          <w:spacing w:val="-6"/>
        </w:rPr>
        <w:t> </w:t>
      </w:r>
      <w:r>
        <w:rPr/>
        <w:t>7.</w:t>
      </w:r>
      <w:r>
        <w:rPr>
          <w:b w:val="0"/>
          <w:spacing w:val="-5"/>
        </w:rPr>
        <w:t> </w:t>
      </w:r>
      <w:r>
        <w:rPr/>
        <w:t>Statistical</w:t>
      </w:r>
      <w:r>
        <w:rPr>
          <w:b w:val="0"/>
          <w:spacing w:val="-6"/>
        </w:rPr>
        <w:t> </w:t>
      </w:r>
      <w:r>
        <w:rPr/>
        <w:t>test</w:t>
      </w:r>
      <w:r>
        <w:rPr>
          <w:b w:val="0"/>
          <w:spacing w:val="-5"/>
        </w:rPr>
        <w:t> </w:t>
      </w:r>
      <w:r>
        <w:rPr/>
        <w:t>of</w:t>
      </w:r>
      <w:r>
        <w:rPr>
          <w:b w:val="0"/>
          <w:spacing w:val="-5"/>
        </w:rPr>
        <w:t> </w:t>
      </w:r>
      <w:r>
        <w:rPr/>
        <w:t>dummy</w:t>
      </w:r>
      <w:r>
        <w:rPr>
          <w:b w:val="0"/>
          <w:spacing w:val="-5"/>
        </w:rPr>
        <w:t> </w:t>
      </w:r>
      <w:r>
        <w:rPr/>
        <w:t>variables</w:t>
      </w:r>
      <w:r>
        <w:rPr>
          <w:b w:val="0"/>
          <w:spacing w:val="-4"/>
        </w:rPr>
        <w:t> </w:t>
      </w:r>
      <w:r>
        <w:rPr/>
        <w:t>by</w:t>
      </w:r>
      <w:r>
        <w:rPr>
          <w:b w:val="0"/>
          <w:spacing w:val="-5"/>
        </w:rPr>
        <w:t> </w:t>
      </w:r>
      <w:r>
        <w:rPr/>
        <w:t>the</w:t>
      </w:r>
      <w:r>
        <w:rPr>
          <w:b w:val="0"/>
          <w:spacing w:val="-5"/>
        </w:rPr>
        <w:t> </w:t>
      </w:r>
      <w:r>
        <w:rPr/>
        <w:t>level</w:t>
      </w:r>
      <w:r>
        <w:rPr>
          <w:b w:val="0"/>
          <w:spacing w:val="-6"/>
        </w:rPr>
        <w:t> </w:t>
      </w:r>
      <w:r>
        <w:rPr/>
        <w:t>market</w:t>
      </w:r>
      <w:r>
        <w:rPr>
          <w:b w:val="0"/>
          <w:spacing w:val="-5"/>
        </w:rPr>
        <w:t> </w:t>
      </w:r>
      <w:r>
        <w:rPr>
          <w:spacing w:val="-2"/>
        </w:rPr>
        <w:t>supply</w:t>
      </w:r>
    </w:p>
    <w:p>
      <w:pPr>
        <w:pStyle w:val="BodyText"/>
        <w:spacing w:line="28" w:lineRule="exact"/>
        <w:ind w:left="132"/>
        <w:jc w:val="left"/>
        <w:rPr>
          <w:sz w:val="2"/>
        </w:rPr>
      </w:pPr>
      <w:r>
        <w:rPr>
          <w:position w:val="0"/>
          <w:sz w:val="2"/>
        </w:rPr>
        <mc:AlternateContent>
          <mc:Choice Requires="wps">
            <w:drawing>
              <wp:inline distT="0" distB="0" distL="0" distR="0">
                <wp:extent cx="5897880" cy="18415"/>
                <wp:effectExtent l="0" t="0" r="0" b="0"/>
                <wp:docPr id="31" name="Group 31"/>
                <wp:cNvGraphicFramePr>
                  <a:graphicFrameLocks/>
                </wp:cNvGraphicFramePr>
                <a:graphic>
                  <a:graphicData uri="http://schemas.microsoft.com/office/word/2010/wordprocessingGroup">
                    <wpg:wgp>
                      <wpg:cNvPr id="31" name="Group 31"/>
                      <wpg:cNvGrpSpPr/>
                      <wpg:grpSpPr>
                        <a:xfrm>
                          <a:off x="0" y="0"/>
                          <a:ext cx="5897880" cy="18415"/>
                          <a:chExt cx="5897880" cy="18415"/>
                        </a:xfrm>
                      </wpg:grpSpPr>
                      <wps:wsp>
                        <wps:cNvPr id="32" name="Graphic 32"/>
                        <wps:cNvSpPr/>
                        <wps:spPr>
                          <a:xfrm>
                            <a:off x="0" y="4"/>
                            <a:ext cx="5897880" cy="18415"/>
                          </a:xfrm>
                          <a:custGeom>
                            <a:avLst/>
                            <a:gdLst/>
                            <a:ahLst/>
                            <a:cxnLst/>
                            <a:rect l="l" t="t" r="r" b="b"/>
                            <a:pathLst>
                              <a:path w="5897880" h="18415">
                                <a:moveTo>
                                  <a:pt x="5897880" y="12192"/>
                                </a:moveTo>
                                <a:lnTo>
                                  <a:pt x="5897880" y="12192"/>
                                </a:lnTo>
                                <a:lnTo>
                                  <a:pt x="0" y="12192"/>
                                </a:lnTo>
                                <a:lnTo>
                                  <a:pt x="0" y="18288"/>
                                </a:lnTo>
                                <a:lnTo>
                                  <a:pt x="5897880" y="18288"/>
                                </a:lnTo>
                                <a:lnTo>
                                  <a:pt x="5897880" y="12192"/>
                                </a:lnTo>
                                <a:close/>
                              </a:path>
                              <a:path w="5897880" h="18415">
                                <a:moveTo>
                                  <a:pt x="5897880" y="0"/>
                                </a:moveTo>
                                <a:lnTo>
                                  <a:pt x="5897880" y="0"/>
                                </a:lnTo>
                                <a:lnTo>
                                  <a:pt x="0" y="0"/>
                                </a:lnTo>
                                <a:lnTo>
                                  <a:pt x="0" y="6096"/>
                                </a:lnTo>
                                <a:lnTo>
                                  <a:pt x="5897880" y="6096"/>
                                </a:lnTo>
                                <a:lnTo>
                                  <a:pt x="5897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4.4pt;height:1.45pt;mso-position-horizontal-relative:char;mso-position-vertical-relative:line" id="docshapegroup30" coordorigin="0,0" coordsize="9288,29">
                <v:shape style="position:absolute;left:0;top:0;width:9288;height:29" id="docshape31" coordorigin="0,0" coordsize="9288,29" path="m9288,19l4214,19,4186,19,2292,19,2263,19,0,19,0,29,2263,29,2292,29,4186,29,4214,29,9288,29,9288,19xm9288,0l4214,0,4186,0,2292,0,2263,0,0,0,0,10,2263,10,2292,10,4186,10,4214,10,9288,10,9288,0xe" filled="true" fillcolor="#000000" stroked="false">
                  <v:path arrowok="t"/>
                  <v:fill type="solid"/>
                </v:shape>
              </v:group>
            </w:pict>
          </mc:Fallback>
        </mc:AlternateContent>
      </w:r>
      <w:r>
        <w:rPr>
          <w:position w:val="0"/>
          <w:sz w:val="2"/>
        </w:rPr>
      </w:r>
    </w:p>
    <w:p>
      <w:pPr>
        <w:spacing w:before="1"/>
        <w:ind w:left="5480" w:right="0" w:firstLine="0"/>
        <w:jc w:val="left"/>
        <w:rPr>
          <w:b/>
          <w:sz w:val="20"/>
        </w:rPr>
      </w:pPr>
      <w:r>
        <w:rPr>
          <w:b/>
          <w:sz w:val="20"/>
        </w:rPr>
        <w:t>Total</w:t>
      </w:r>
      <w:r>
        <w:rPr>
          <w:spacing w:val="-8"/>
          <w:sz w:val="20"/>
        </w:rPr>
        <w:t> </w:t>
      </w:r>
      <w:r>
        <w:rPr>
          <w:b/>
          <w:sz w:val="20"/>
        </w:rPr>
        <w:t>Household</w:t>
      </w:r>
      <w:r>
        <w:rPr>
          <w:spacing w:val="-8"/>
          <w:sz w:val="20"/>
        </w:rPr>
        <w:t> </w:t>
      </w:r>
      <w:r>
        <w:rPr>
          <w:b/>
          <w:spacing w:val="-4"/>
          <w:sz w:val="20"/>
        </w:rPr>
        <w:t>(127)</w:t>
      </w:r>
    </w:p>
    <w:p>
      <w:pPr>
        <w:tabs>
          <w:tab w:pos="3135" w:val="left" w:leader="none"/>
          <w:tab w:pos="4635" w:val="left" w:leader="none"/>
          <w:tab w:pos="7239" w:val="left" w:leader="none"/>
        </w:tabs>
        <w:spacing w:before="0"/>
        <w:ind w:left="240" w:right="0" w:firstLine="0"/>
        <w:jc w:val="left"/>
        <w:rPr>
          <w:b/>
          <w:sz w:val="20"/>
        </w:rPr>
      </w:pPr>
      <w:r>
        <w:rPr/>
        <mc:AlternateContent>
          <mc:Choice Requires="wps">
            <w:drawing>
              <wp:anchor distT="0" distB="0" distL="0" distR="0" allowOverlap="1" layoutInCell="1" locked="0" behindDoc="0" simplePos="0" relativeHeight="15740928">
                <wp:simplePos x="0" y="0"/>
                <wp:positionH relativeFrom="page">
                  <wp:posOffset>786383</wp:posOffset>
                </wp:positionH>
                <wp:positionV relativeFrom="paragraph">
                  <wp:posOffset>151079</wp:posOffset>
                </wp:positionV>
                <wp:extent cx="5983605" cy="16376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983605" cy="16376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7"/>
                              <w:gridCol w:w="2017"/>
                              <w:gridCol w:w="1025"/>
                              <w:gridCol w:w="1708"/>
                              <w:gridCol w:w="912"/>
                              <w:gridCol w:w="1566"/>
                            </w:tblGrid>
                            <w:tr>
                              <w:trPr>
                                <w:trHeight w:val="222" w:hRule="atLeast"/>
                              </w:trPr>
                              <w:tc>
                                <w:tcPr>
                                  <w:tcW w:w="4094" w:type="dxa"/>
                                  <w:gridSpan w:val="2"/>
                                  <w:tcBorders>
                                    <w:bottom w:val="double" w:sz="4" w:space="0" w:color="000000"/>
                                  </w:tcBorders>
                                </w:tcPr>
                                <w:p>
                                  <w:pPr>
                                    <w:pStyle w:val="TableParagraph"/>
                                    <w:spacing w:line="240" w:lineRule="auto"/>
                                    <w:jc w:val="left"/>
                                    <w:rPr>
                                      <w:sz w:val="14"/>
                                    </w:rPr>
                                  </w:pPr>
                                </w:p>
                              </w:tc>
                              <w:tc>
                                <w:tcPr>
                                  <w:tcW w:w="1025" w:type="dxa"/>
                                  <w:tcBorders>
                                    <w:bottom w:val="double" w:sz="4" w:space="0" w:color="000000"/>
                                  </w:tcBorders>
                                </w:tcPr>
                                <w:p>
                                  <w:pPr>
                                    <w:pStyle w:val="TableParagraph"/>
                                    <w:spacing w:line="202" w:lineRule="exact"/>
                                    <w:ind w:right="336"/>
                                    <w:jc w:val="right"/>
                                    <w:rPr>
                                      <w:b/>
                                      <w:sz w:val="20"/>
                                    </w:rPr>
                                  </w:pPr>
                                  <w:r>
                                    <w:rPr>
                                      <w:b/>
                                      <w:spacing w:val="-10"/>
                                      <w:sz w:val="20"/>
                                    </w:rPr>
                                    <w:t>N</w:t>
                                  </w:r>
                                </w:p>
                              </w:tc>
                              <w:tc>
                                <w:tcPr>
                                  <w:tcW w:w="1708" w:type="dxa"/>
                                  <w:tcBorders>
                                    <w:bottom w:val="double" w:sz="4" w:space="0" w:color="000000"/>
                                  </w:tcBorders>
                                </w:tcPr>
                                <w:p>
                                  <w:pPr>
                                    <w:pStyle w:val="TableParagraph"/>
                                    <w:spacing w:line="202" w:lineRule="exact"/>
                                    <w:ind w:left="1" w:right="58"/>
                                    <w:rPr>
                                      <w:b/>
                                      <w:sz w:val="20"/>
                                    </w:rPr>
                                  </w:pPr>
                                  <w:r>
                                    <w:rPr>
                                      <w:b/>
                                      <w:sz w:val="20"/>
                                    </w:rPr>
                                    <w:t>%</w:t>
                                  </w:r>
                                  <w:r>
                                    <w:rPr>
                                      <w:spacing w:val="-2"/>
                                      <w:sz w:val="20"/>
                                    </w:rPr>
                                    <w:t> </w:t>
                                  </w:r>
                                  <w:r>
                                    <w:rPr>
                                      <w:b/>
                                      <w:spacing w:val="-2"/>
                                      <w:sz w:val="20"/>
                                    </w:rPr>
                                    <w:t>(Percent)</w:t>
                                  </w:r>
                                </w:p>
                              </w:tc>
                              <w:tc>
                                <w:tcPr>
                                  <w:tcW w:w="912" w:type="dxa"/>
                                  <w:tcBorders>
                                    <w:bottom w:val="double" w:sz="4" w:space="0" w:color="000000"/>
                                  </w:tcBorders>
                                </w:tcPr>
                                <w:p>
                                  <w:pPr>
                                    <w:pStyle w:val="TableParagraph"/>
                                    <w:spacing w:line="202" w:lineRule="exact"/>
                                    <w:ind w:left="11"/>
                                    <w:rPr>
                                      <w:b/>
                                      <w:sz w:val="20"/>
                                    </w:rPr>
                                  </w:pPr>
                                  <w:r>
                                    <w:rPr>
                                      <w:b/>
                                      <w:spacing w:val="-10"/>
                                      <w:sz w:val="20"/>
                                    </w:rPr>
                                    <w:t>N</w:t>
                                  </w:r>
                                </w:p>
                              </w:tc>
                              <w:tc>
                                <w:tcPr>
                                  <w:tcW w:w="1566" w:type="dxa"/>
                                  <w:tcBorders>
                                    <w:bottom w:val="double" w:sz="4" w:space="0" w:color="000000"/>
                                  </w:tcBorders>
                                </w:tcPr>
                                <w:p>
                                  <w:pPr>
                                    <w:pStyle w:val="TableParagraph"/>
                                    <w:spacing w:line="202" w:lineRule="exact"/>
                                    <w:ind w:left="169" w:right="4"/>
                                    <w:rPr>
                                      <w:b/>
                                      <w:sz w:val="20"/>
                                    </w:rPr>
                                  </w:pPr>
                                  <w:r>
                                    <w:rPr>
                                      <w:b/>
                                      <w:sz w:val="20"/>
                                    </w:rPr>
                                    <w:t>%</w:t>
                                  </w:r>
                                  <w:r>
                                    <w:rPr>
                                      <w:spacing w:val="-2"/>
                                      <w:sz w:val="20"/>
                                    </w:rPr>
                                    <w:t> </w:t>
                                  </w:r>
                                  <w:r>
                                    <w:rPr>
                                      <w:b/>
                                      <w:spacing w:val="-2"/>
                                      <w:sz w:val="20"/>
                                    </w:rPr>
                                    <w:t>(Percent)</w:t>
                                  </w:r>
                                </w:p>
                              </w:tc>
                            </w:tr>
                            <w:tr>
                              <w:trPr>
                                <w:trHeight w:val="228" w:hRule="atLeast"/>
                              </w:trPr>
                              <w:tc>
                                <w:tcPr>
                                  <w:tcW w:w="2077" w:type="dxa"/>
                                  <w:tcBorders>
                                    <w:top w:val="double" w:sz="4" w:space="0" w:color="000000"/>
                                  </w:tcBorders>
                                </w:tcPr>
                                <w:p>
                                  <w:pPr>
                                    <w:pStyle w:val="TableParagraph"/>
                                    <w:spacing w:line="209" w:lineRule="exact"/>
                                    <w:ind w:left="122"/>
                                    <w:jc w:val="left"/>
                                    <w:rPr>
                                      <w:sz w:val="20"/>
                                    </w:rPr>
                                  </w:pPr>
                                  <w:r>
                                    <w:rPr>
                                      <w:spacing w:val="-5"/>
                                      <w:sz w:val="20"/>
                                    </w:rPr>
                                    <w:t>Sex</w:t>
                                  </w:r>
                                </w:p>
                              </w:tc>
                              <w:tc>
                                <w:tcPr>
                                  <w:tcW w:w="2017" w:type="dxa"/>
                                  <w:tcBorders>
                                    <w:top w:val="double" w:sz="4" w:space="0" w:color="000000"/>
                                  </w:tcBorders>
                                </w:tcPr>
                                <w:p>
                                  <w:pPr>
                                    <w:pStyle w:val="TableParagraph"/>
                                    <w:spacing w:line="209" w:lineRule="exact"/>
                                    <w:ind w:right="648"/>
                                    <w:jc w:val="right"/>
                                    <w:rPr>
                                      <w:sz w:val="20"/>
                                    </w:rPr>
                                  </w:pPr>
                                  <w:r>
                                    <w:rPr>
                                      <w:spacing w:val="-4"/>
                                      <w:sz w:val="20"/>
                                    </w:rPr>
                                    <w:t>Male</w:t>
                                  </w:r>
                                </w:p>
                              </w:tc>
                              <w:tc>
                                <w:tcPr>
                                  <w:tcW w:w="1025" w:type="dxa"/>
                                  <w:tcBorders>
                                    <w:top w:val="double" w:sz="4" w:space="0" w:color="000000"/>
                                  </w:tcBorders>
                                </w:tcPr>
                                <w:p>
                                  <w:pPr>
                                    <w:pStyle w:val="TableParagraph"/>
                                    <w:spacing w:line="209" w:lineRule="exact"/>
                                    <w:ind w:right="306"/>
                                    <w:jc w:val="right"/>
                                    <w:rPr>
                                      <w:sz w:val="20"/>
                                    </w:rPr>
                                  </w:pPr>
                                  <w:r>
                                    <w:rPr>
                                      <w:spacing w:val="-5"/>
                                      <w:sz w:val="20"/>
                                    </w:rPr>
                                    <w:t>79</w:t>
                                  </w:r>
                                </w:p>
                              </w:tc>
                              <w:tc>
                                <w:tcPr>
                                  <w:tcW w:w="1708" w:type="dxa"/>
                                  <w:tcBorders>
                                    <w:top w:val="double" w:sz="4" w:space="0" w:color="000000"/>
                                  </w:tcBorders>
                                </w:tcPr>
                                <w:p>
                                  <w:pPr>
                                    <w:pStyle w:val="TableParagraph"/>
                                    <w:spacing w:line="209" w:lineRule="exact"/>
                                    <w:ind w:right="58"/>
                                    <w:rPr>
                                      <w:sz w:val="20"/>
                                    </w:rPr>
                                  </w:pPr>
                                  <w:r>
                                    <w:rPr>
                                      <w:spacing w:val="-2"/>
                                      <w:sz w:val="20"/>
                                    </w:rPr>
                                    <w:t>89.77</w:t>
                                  </w:r>
                                </w:p>
                              </w:tc>
                              <w:tc>
                                <w:tcPr>
                                  <w:tcW w:w="912" w:type="dxa"/>
                                  <w:tcBorders>
                                    <w:top w:val="double" w:sz="4" w:space="0" w:color="000000"/>
                                  </w:tcBorders>
                                </w:tcPr>
                                <w:p>
                                  <w:pPr>
                                    <w:pStyle w:val="TableParagraph"/>
                                    <w:spacing w:line="209" w:lineRule="exact"/>
                                    <w:ind w:left="11" w:right="1"/>
                                    <w:rPr>
                                      <w:sz w:val="20"/>
                                    </w:rPr>
                                  </w:pPr>
                                  <w:r>
                                    <w:rPr>
                                      <w:spacing w:val="-5"/>
                                      <w:sz w:val="20"/>
                                    </w:rPr>
                                    <w:t>36</w:t>
                                  </w:r>
                                </w:p>
                              </w:tc>
                              <w:tc>
                                <w:tcPr>
                                  <w:tcW w:w="1566" w:type="dxa"/>
                                  <w:tcBorders>
                                    <w:top w:val="double" w:sz="4" w:space="0" w:color="000000"/>
                                  </w:tcBorders>
                                </w:tcPr>
                                <w:p>
                                  <w:pPr>
                                    <w:pStyle w:val="TableParagraph"/>
                                    <w:spacing w:line="209" w:lineRule="exact"/>
                                    <w:ind w:left="169"/>
                                    <w:rPr>
                                      <w:sz w:val="20"/>
                                    </w:rPr>
                                  </w:pPr>
                                  <w:r>
                                    <w:rPr>
                                      <w:spacing w:val="-2"/>
                                      <w:sz w:val="20"/>
                                    </w:rPr>
                                    <w:t>92.31</w:t>
                                  </w:r>
                                </w:p>
                              </w:tc>
                            </w:tr>
                            <w:tr>
                              <w:trPr>
                                <w:trHeight w:val="229" w:hRule="atLeast"/>
                              </w:trPr>
                              <w:tc>
                                <w:tcPr>
                                  <w:tcW w:w="2077" w:type="dxa"/>
                                </w:tcPr>
                                <w:p>
                                  <w:pPr>
                                    <w:pStyle w:val="TableParagraph"/>
                                    <w:spacing w:line="240" w:lineRule="auto"/>
                                    <w:jc w:val="left"/>
                                    <w:rPr>
                                      <w:sz w:val="16"/>
                                    </w:rPr>
                                  </w:pPr>
                                </w:p>
                              </w:tc>
                              <w:tc>
                                <w:tcPr>
                                  <w:tcW w:w="2017" w:type="dxa"/>
                                </w:tcPr>
                                <w:p>
                                  <w:pPr>
                                    <w:pStyle w:val="TableParagraph"/>
                                    <w:spacing w:line="209" w:lineRule="exact"/>
                                    <w:ind w:right="562"/>
                                    <w:jc w:val="right"/>
                                    <w:rPr>
                                      <w:sz w:val="20"/>
                                    </w:rPr>
                                  </w:pPr>
                                  <w:r>
                                    <w:rPr>
                                      <w:spacing w:val="-2"/>
                                      <w:sz w:val="20"/>
                                    </w:rPr>
                                    <w:t>Female</w:t>
                                  </w:r>
                                </w:p>
                              </w:tc>
                              <w:tc>
                                <w:tcPr>
                                  <w:tcW w:w="1025" w:type="dxa"/>
                                </w:tcPr>
                                <w:p>
                                  <w:pPr>
                                    <w:pStyle w:val="TableParagraph"/>
                                    <w:spacing w:line="209" w:lineRule="exact"/>
                                    <w:ind w:right="359"/>
                                    <w:jc w:val="right"/>
                                    <w:rPr>
                                      <w:sz w:val="20"/>
                                    </w:rPr>
                                  </w:pPr>
                                  <w:r>
                                    <w:rPr>
                                      <w:spacing w:val="-10"/>
                                      <w:sz w:val="20"/>
                                    </w:rPr>
                                    <w:t>9</w:t>
                                  </w:r>
                                </w:p>
                              </w:tc>
                              <w:tc>
                                <w:tcPr>
                                  <w:tcW w:w="1708" w:type="dxa"/>
                                </w:tcPr>
                                <w:p>
                                  <w:pPr>
                                    <w:pStyle w:val="TableParagraph"/>
                                    <w:spacing w:line="209" w:lineRule="exact"/>
                                    <w:ind w:right="58"/>
                                    <w:rPr>
                                      <w:sz w:val="20"/>
                                    </w:rPr>
                                  </w:pPr>
                                  <w:r>
                                    <w:rPr>
                                      <w:spacing w:val="-2"/>
                                      <w:sz w:val="20"/>
                                    </w:rPr>
                                    <w:t>10.23</w:t>
                                  </w:r>
                                </w:p>
                              </w:tc>
                              <w:tc>
                                <w:tcPr>
                                  <w:tcW w:w="912" w:type="dxa"/>
                                </w:tcPr>
                                <w:p>
                                  <w:pPr>
                                    <w:pStyle w:val="TableParagraph"/>
                                    <w:spacing w:line="209" w:lineRule="exact"/>
                                    <w:ind w:left="11" w:right="1"/>
                                    <w:rPr>
                                      <w:sz w:val="20"/>
                                    </w:rPr>
                                  </w:pPr>
                                  <w:r>
                                    <w:rPr>
                                      <w:spacing w:val="-10"/>
                                      <w:sz w:val="20"/>
                                    </w:rPr>
                                    <w:t>3</w:t>
                                  </w:r>
                                </w:p>
                              </w:tc>
                              <w:tc>
                                <w:tcPr>
                                  <w:tcW w:w="1566" w:type="dxa"/>
                                </w:tcPr>
                                <w:p>
                                  <w:pPr>
                                    <w:pStyle w:val="TableParagraph"/>
                                    <w:spacing w:line="209" w:lineRule="exact"/>
                                    <w:ind w:left="169"/>
                                    <w:rPr>
                                      <w:sz w:val="20"/>
                                    </w:rPr>
                                  </w:pPr>
                                  <w:r>
                                    <w:rPr>
                                      <w:spacing w:val="-4"/>
                                      <w:sz w:val="20"/>
                                    </w:rPr>
                                    <w:t>7.69</w:t>
                                  </w:r>
                                </w:p>
                              </w:tc>
                            </w:tr>
                            <w:tr>
                              <w:trPr>
                                <w:trHeight w:val="230" w:hRule="atLeast"/>
                              </w:trPr>
                              <w:tc>
                                <w:tcPr>
                                  <w:tcW w:w="2077" w:type="dxa"/>
                                </w:tcPr>
                                <w:p>
                                  <w:pPr>
                                    <w:pStyle w:val="TableParagraph"/>
                                    <w:ind w:left="122"/>
                                    <w:jc w:val="left"/>
                                    <w:rPr>
                                      <w:sz w:val="20"/>
                                    </w:rPr>
                                  </w:pPr>
                                  <w:r>
                                    <w:rPr>
                                      <w:spacing w:val="-2"/>
                                      <w:sz w:val="20"/>
                                    </w:rPr>
                                    <w:t>HEducation</w:t>
                                  </w:r>
                                </w:p>
                              </w:tc>
                              <w:tc>
                                <w:tcPr>
                                  <w:tcW w:w="2017" w:type="dxa"/>
                                </w:tcPr>
                                <w:p>
                                  <w:pPr>
                                    <w:pStyle w:val="TableParagraph"/>
                                    <w:ind w:right="545"/>
                                    <w:jc w:val="right"/>
                                    <w:rPr>
                                      <w:sz w:val="20"/>
                                    </w:rPr>
                                  </w:pPr>
                                  <w:r>
                                    <w:rPr>
                                      <w:spacing w:val="-2"/>
                                      <w:sz w:val="20"/>
                                    </w:rPr>
                                    <w:t>Literate</w:t>
                                  </w:r>
                                </w:p>
                              </w:tc>
                              <w:tc>
                                <w:tcPr>
                                  <w:tcW w:w="1025" w:type="dxa"/>
                                </w:tcPr>
                                <w:p>
                                  <w:pPr>
                                    <w:pStyle w:val="TableParagraph"/>
                                    <w:ind w:right="306"/>
                                    <w:jc w:val="right"/>
                                    <w:rPr>
                                      <w:sz w:val="20"/>
                                    </w:rPr>
                                  </w:pPr>
                                  <w:r>
                                    <w:rPr>
                                      <w:spacing w:val="-5"/>
                                      <w:sz w:val="20"/>
                                    </w:rPr>
                                    <w:t>67</w:t>
                                  </w:r>
                                </w:p>
                              </w:tc>
                              <w:tc>
                                <w:tcPr>
                                  <w:tcW w:w="1708" w:type="dxa"/>
                                </w:tcPr>
                                <w:p>
                                  <w:pPr>
                                    <w:pStyle w:val="TableParagraph"/>
                                    <w:ind w:right="58"/>
                                    <w:rPr>
                                      <w:sz w:val="20"/>
                                    </w:rPr>
                                  </w:pPr>
                                  <w:r>
                                    <w:rPr>
                                      <w:spacing w:val="-2"/>
                                      <w:sz w:val="20"/>
                                    </w:rPr>
                                    <w:t>76.14</w:t>
                                  </w:r>
                                </w:p>
                              </w:tc>
                              <w:tc>
                                <w:tcPr>
                                  <w:tcW w:w="912" w:type="dxa"/>
                                </w:tcPr>
                                <w:p>
                                  <w:pPr>
                                    <w:pStyle w:val="TableParagraph"/>
                                    <w:ind w:left="11" w:right="1"/>
                                    <w:rPr>
                                      <w:sz w:val="20"/>
                                    </w:rPr>
                                  </w:pPr>
                                  <w:r>
                                    <w:rPr>
                                      <w:spacing w:val="-5"/>
                                      <w:sz w:val="20"/>
                                    </w:rPr>
                                    <w:t>31</w:t>
                                  </w:r>
                                </w:p>
                              </w:tc>
                              <w:tc>
                                <w:tcPr>
                                  <w:tcW w:w="1566" w:type="dxa"/>
                                </w:tcPr>
                                <w:p>
                                  <w:pPr>
                                    <w:pStyle w:val="TableParagraph"/>
                                    <w:ind w:left="169"/>
                                    <w:rPr>
                                      <w:sz w:val="20"/>
                                    </w:rPr>
                                  </w:pPr>
                                  <w:r>
                                    <w:rPr>
                                      <w:spacing w:val="-2"/>
                                      <w:sz w:val="20"/>
                                    </w:rPr>
                                    <w:t>79.49</w:t>
                                  </w:r>
                                </w:p>
                              </w:tc>
                            </w:tr>
                            <w:tr>
                              <w:trPr>
                                <w:trHeight w:val="230" w:hRule="atLeast"/>
                              </w:trPr>
                              <w:tc>
                                <w:tcPr>
                                  <w:tcW w:w="2077" w:type="dxa"/>
                                </w:tcPr>
                                <w:p>
                                  <w:pPr>
                                    <w:pStyle w:val="TableParagraph"/>
                                    <w:spacing w:line="240" w:lineRule="auto"/>
                                    <w:jc w:val="left"/>
                                    <w:rPr>
                                      <w:sz w:val="16"/>
                                    </w:rPr>
                                  </w:pPr>
                                </w:p>
                              </w:tc>
                              <w:tc>
                                <w:tcPr>
                                  <w:tcW w:w="2017" w:type="dxa"/>
                                </w:tcPr>
                                <w:p>
                                  <w:pPr>
                                    <w:pStyle w:val="TableParagraph"/>
                                    <w:ind w:right="516"/>
                                    <w:jc w:val="right"/>
                                    <w:rPr>
                                      <w:sz w:val="20"/>
                                    </w:rPr>
                                  </w:pPr>
                                  <w:r>
                                    <w:rPr>
                                      <w:spacing w:val="-2"/>
                                      <w:sz w:val="20"/>
                                    </w:rPr>
                                    <w:t>Illiterate</w:t>
                                  </w:r>
                                </w:p>
                              </w:tc>
                              <w:tc>
                                <w:tcPr>
                                  <w:tcW w:w="1025" w:type="dxa"/>
                                </w:tcPr>
                                <w:p>
                                  <w:pPr>
                                    <w:pStyle w:val="TableParagraph"/>
                                    <w:ind w:right="306"/>
                                    <w:jc w:val="right"/>
                                    <w:rPr>
                                      <w:sz w:val="20"/>
                                    </w:rPr>
                                  </w:pPr>
                                  <w:r>
                                    <w:rPr>
                                      <w:spacing w:val="-5"/>
                                      <w:sz w:val="20"/>
                                    </w:rPr>
                                    <w:t>21</w:t>
                                  </w:r>
                                </w:p>
                              </w:tc>
                              <w:tc>
                                <w:tcPr>
                                  <w:tcW w:w="1708" w:type="dxa"/>
                                </w:tcPr>
                                <w:p>
                                  <w:pPr>
                                    <w:pStyle w:val="TableParagraph"/>
                                    <w:ind w:right="58"/>
                                    <w:rPr>
                                      <w:sz w:val="20"/>
                                    </w:rPr>
                                  </w:pPr>
                                  <w:r>
                                    <w:rPr>
                                      <w:spacing w:val="-2"/>
                                      <w:sz w:val="20"/>
                                    </w:rPr>
                                    <w:t>23.86</w:t>
                                  </w:r>
                                </w:p>
                              </w:tc>
                              <w:tc>
                                <w:tcPr>
                                  <w:tcW w:w="912" w:type="dxa"/>
                                </w:tcPr>
                                <w:p>
                                  <w:pPr>
                                    <w:pStyle w:val="TableParagraph"/>
                                    <w:ind w:left="11" w:right="1"/>
                                    <w:rPr>
                                      <w:sz w:val="20"/>
                                    </w:rPr>
                                  </w:pPr>
                                  <w:r>
                                    <w:rPr>
                                      <w:spacing w:val="-10"/>
                                      <w:sz w:val="20"/>
                                    </w:rPr>
                                    <w:t>8</w:t>
                                  </w:r>
                                </w:p>
                              </w:tc>
                              <w:tc>
                                <w:tcPr>
                                  <w:tcW w:w="1566" w:type="dxa"/>
                                </w:tcPr>
                                <w:p>
                                  <w:pPr>
                                    <w:pStyle w:val="TableParagraph"/>
                                    <w:ind w:left="169"/>
                                    <w:rPr>
                                      <w:sz w:val="20"/>
                                    </w:rPr>
                                  </w:pPr>
                                  <w:r>
                                    <w:rPr>
                                      <w:spacing w:val="-2"/>
                                      <w:sz w:val="20"/>
                                    </w:rPr>
                                    <w:t>20.51</w:t>
                                  </w:r>
                                </w:p>
                              </w:tc>
                            </w:tr>
                            <w:tr>
                              <w:trPr>
                                <w:trHeight w:val="230" w:hRule="atLeast"/>
                              </w:trPr>
                              <w:tc>
                                <w:tcPr>
                                  <w:tcW w:w="2077" w:type="dxa"/>
                                </w:tcPr>
                                <w:p>
                                  <w:pPr>
                                    <w:pStyle w:val="TableParagraph"/>
                                    <w:ind w:left="122"/>
                                    <w:jc w:val="left"/>
                                    <w:rPr>
                                      <w:sz w:val="20"/>
                                    </w:rPr>
                                  </w:pPr>
                                  <w:r>
                                    <w:rPr>
                                      <w:spacing w:val="-2"/>
                                      <w:sz w:val="20"/>
                                    </w:rPr>
                                    <w:t>Credit</w:t>
                                  </w:r>
                                </w:p>
                              </w:tc>
                              <w:tc>
                                <w:tcPr>
                                  <w:tcW w:w="2017" w:type="dxa"/>
                                </w:tcPr>
                                <w:p>
                                  <w:pPr>
                                    <w:pStyle w:val="TableParagraph"/>
                                    <w:ind w:left="302"/>
                                    <w:rPr>
                                      <w:sz w:val="20"/>
                                    </w:rPr>
                                  </w:pPr>
                                  <w:r>
                                    <w:rPr>
                                      <w:spacing w:val="-5"/>
                                      <w:sz w:val="20"/>
                                    </w:rPr>
                                    <w:t>Yes</w:t>
                                  </w:r>
                                </w:p>
                              </w:tc>
                              <w:tc>
                                <w:tcPr>
                                  <w:tcW w:w="1025" w:type="dxa"/>
                                </w:tcPr>
                                <w:p>
                                  <w:pPr>
                                    <w:pStyle w:val="TableParagraph"/>
                                    <w:ind w:right="306"/>
                                    <w:jc w:val="right"/>
                                    <w:rPr>
                                      <w:sz w:val="20"/>
                                    </w:rPr>
                                  </w:pPr>
                                  <w:r>
                                    <w:rPr>
                                      <w:spacing w:val="-5"/>
                                      <w:sz w:val="20"/>
                                    </w:rPr>
                                    <w:t>51</w:t>
                                  </w:r>
                                </w:p>
                              </w:tc>
                              <w:tc>
                                <w:tcPr>
                                  <w:tcW w:w="1708" w:type="dxa"/>
                                </w:tcPr>
                                <w:p>
                                  <w:pPr>
                                    <w:pStyle w:val="TableParagraph"/>
                                    <w:ind w:right="58"/>
                                    <w:rPr>
                                      <w:sz w:val="20"/>
                                    </w:rPr>
                                  </w:pPr>
                                  <w:r>
                                    <w:rPr>
                                      <w:spacing w:val="-2"/>
                                      <w:sz w:val="20"/>
                                    </w:rPr>
                                    <w:t>57.95</w:t>
                                  </w:r>
                                </w:p>
                              </w:tc>
                              <w:tc>
                                <w:tcPr>
                                  <w:tcW w:w="912" w:type="dxa"/>
                                </w:tcPr>
                                <w:p>
                                  <w:pPr>
                                    <w:pStyle w:val="TableParagraph"/>
                                    <w:ind w:left="11" w:right="1"/>
                                    <w:rPr>
                                      <w:sz w:val="20"/>
                                    </w:rPr>
                                  </w:pPr>
                                  <w:r>
                                    <w:rPr>
                                      <w:spacing w:val="-5"/>
                                      <w:sz w:val="20"/>
                                    </w:rPr>
                                    <w:t>13</w:t>
                                  </w:r>
                                </w:p>
                              </w:tc>
                              <w:tc>
                                <w:tcPr>
                                  <w:tcW w:w="1566" w:type="dxa"/>
                                </w:tcPr>
                                <w:p>
                                  <w:pPr>
                                    <w:pStyle w:val="TableParagraph"/>
                                    <w:ind w:left="169"/>
                                    <w:rPr>
                                      <w:sz w:val="20"/>
                                    </w:rPr>
                                  </w:pPr>
                                  <w:r>
                                    <w:rPr>
                                      <w:spacing w:val="-2"/>
                                      <w:sz w:val="20"/>
                                    </w:rPr>
                                    <w:t>33.33</w:t>
                                  </w:r>
                                </w:p>
                              </w:tc>
                            </w:tr>
                            <w:tr>
                              <w:trPr>
                                <w:trHeight w:val="230" w:hRule="atLeast"/>
                              </w:trPr>
                              <w:tc>
                                <w:tcPr>
                                  <w:tcW w:w="2077" w:type="dxa"/>
                                </w:tcPr>
                                <w:p>
                                  <w:pPr>
                                    <w:pStyle w:val="TableParagraph"/>
                                    <w:spacing w:line="240" w:lineRule="auto"/>
                                    <w:jc w:val="left"/>
                                    <w:rPr>
                                      <w:sz w:val="16"/>
                                    </w:rPr>
                                  </w:pPr>
                                </w:p>
                              </w:tc>
                              <w:tc>
                                <w:tcPr>
                                  <w:tcW w:w="2017" w:type="dxa"/>
                                </w:tcPr>
                                <w:p>
                                  <w:pPr>
                                    <w:pStyle w:val="TableParagraph"/>
                                    <w:ind w:left="302"/>
                                    <w:rPr>
                                      <w:sz w:val="20"/>
                                    </w:rPr>
                                  </w:pPr>
                                  <w:r>
                                    <w:rPr>
                                      <w:spacing w:val="-5"/>
                                      <w:sz w:val="20"/>
                                    </w:rPr>
                                    <w:t>No</w:t>
                                  </w:r>
                                </w:p>
                              </w:tc>
                              <w:tc>
                                <w:tcPr>
                                  <w:tcW w:w="1025" w:type="dxa"/>
                                </w:tcPr>
                                <w:p>
                                  <w:pPr>
                                    <w:pStyle w:val="TableParagraph"/>
                                    <w:ind w:right="306"/>
                                    <w:jc w:val="right"/>
                                    <w:rPr>
                                      <w:sz w:val="20"/>
                                    </w:rPr>
                                  </w:pPr>
                                  <w:r>
                                    <w:rPr>
                                      <w:spacing w:val="-5"/>
                                      <w:sz w:val="20"/>
                                    </w:rPr>
                                    <w:t>37</w:t>
                                  </w:r>
                                </w:p>
                              </w:tc>
                              <w:tc>
                                <w:tcPr>
                                  <w:tcW w:w="1708" w:type="dxa"/>
                                </w:tcPr>
                                <w:p>
                                  <w:pPr>
                                    <w:pStyle w:val="TableParagraph"/>
                                    <w:ind w:right="58"/>
                                    <w:rPr>
                                      <w:sz w:val="20"/>
                                    </w:rPr>
                                  </w:pPr>
                                  <w:r>
                                    <w:rPr>
                                      <w:spacing w:val="-2"/>
                                      <w:sz w:val="20"/>
                                    </w:rPr>
                                    <w:t>42.05</w:t>
                                  </w:r>
                                </w:p>
                              </w:tc>
                              <w:tc>
                                <w:tcPr>
                                  <w:tcW w:w="912" w:type="dxa"/>
                                </w:tcPr>
                                <w:p>
                                  <w:pPr>
                                    <w:pStyle w:val="TableParagraph"/>
                                    <w:ind w:left="11" w:right="1"/>
                                    <w:rPr>
                                      <w:sz w:val="20"/>
                                    </w:rPr>
                                  </w:pPr>
                                  <w:r>
                                    <w:rPr>
                                      <w:spacing w:val="-5"/>
                                      <w:sz w:val="20"/>
                                    </w:rPr>
                                    <w:t>26</w:t>
                                  </w:r>
                                </w:p>
                              </w:tc>
                              <w:tc>
                                <w:tcPr>
                                  <w:tcW w:w="1566" w:type="dxa"/>
                                </w:tcPr>
                                <w:p>
                                  <w:pPr>
                                    <w:pStyle w:val="TableParagraph"/>
                                    <w:ind w:left="169"/>
                                    <w:rPr>
                                      <w:sz w:val="20"/>
                                    </w:rPr>
                                  </w:pPr>
                                  <w:r>
                                    <w:rPr>
                                      <w:spacing w:val="-2"/>
                                      <w:sz w:val="20"/>
                                    </w:rPr>
                                    <w:t>66.67</w:t>
                                  </w:r>
                                </w:p>
                              </w:tc>
                            </w:tr>
                            <w:tr>
                              <w:trPr>
                                <w:trHeight w:val="229" w:hRule="atLeast"/>
                              </w:trPr>
                              <w:tc>
                                <w:tcPr>
                                  <w:tcW w:w="2077" w:type="dxa"/>
                                </w:tcPr>
                                <w:p>
                                  <w:pPr>
                                    <w:pStyle w:val="TableParagraph"/>
                                    <w:spacing w:line="209" w:lineRule="exact"/>
                                    <w:ind w:left="122"/>
                                    <w:jc w:val="left"/>
                                    <w:rPr>
                                      <w:sz w:val="20"/>
                                    </w:rPr>
                                  </w:pPr>
                                  <w:r>
                                    <w:rPr>
                                      <w:spacing w:val="-2"/>
                                      <w:sz w:val="20"/>
                                    </w:rPr>
                                    <w:t>MInformation</w:t>
                                  </w:r>
                                </w:p>
                              </w:tc>
                              <w:tc>
                                <w:tcPr>
                                  <w:tcW w:w="2017" w:type="dxa"/>
                                </w:tcPr>
                                <w:p>
                                  <w:pPr>
                                    <w:pStyle w:val="TableParagraph"/>
                                    <w:spacing w:line="209" w:lineRule="exact"/>
                                    <w:ind w:left="302"/>
                                    <w:rPr>
                                      <w:sz w:val="20"/>
                                    </w:rPr>
                                  </w:pPr>
                                  <w:r>
                                    <w:rPr>
                                      <w:spacing w:val="-5"/>
                                      <w:sz w:val="20"/>
                                    </w:rPr>
                                    <w:t>Yes</w:t>
                                  </w:r>
                                </w:p>
                              </w:tc>
                              <w:tc>
                                <w:tcPr>
                                  <w:tcW w:w="1025" w:type="dxa"/>
                                </w:tcPr>
                                <w:p>
                                  <w:pPr>
                                    <w:pStyle w:val="TableParagraph"/>
                                    <w:spacing w:line="209" w:lineRule="exact"/>
                                    <w:ind w:right="306"/>
                                    <w:jc w:val="right"/>
                                    <w:rPr>
                                      <w:sz w:val="20"/>
                                    </w:rPr>
                                  </w:pPr>
                                  <w:r>
                                    <w:rPr>
                                      <w:spacing w:val="-5"/>
                                      <w:sz w:val="20"/>
                                    </w:rPr>
                                    <w:t>69</w:t>
                                  </w:r>
                                </w:p>
                              </w:tc>
                              <w:tc>
                                <w:tcPr>
                                  <w:tcW w:w="1708" w:type="dxa"/>
                                </w:tcPr>
                                <w:p>
                                  <w:pPr>
                                    <w:pStyle w:val="TableParagraph"/>
                                    <w:spacing w:line="209" w:lineRule="exact"/>
                                    <w:ind w:right="58"/>
                                    <w:rPr>
                                      <w:sz w:val="20"/>
                                    </w:rPr>
                                  </w:pPr>
                                  <w:r>
                                    <w:rPr>
                                      <w:spacing w:val="-2"/>
                                      <w:sz w:val="20"/>
                                    </w:rPr>
                                    <w:t>78.41</w:t>
                                  </w:r>
                                </w:p>
                              </w:tc>
                              <w:tc>
                                <w:tcPr>
                                  <w:tcW w:w="912" w:type="dxa"/>
                                </w:tcPr>
                                <w:p>
                                  <w:pPr>
                                    <w:pStyle w:val="TableParagraph"/>
                                    <w:spacing w:line="209" w:lineRule="exact"/>
                                    <w:ind w:left="11" w:right="1"/>
                                    <w:rPr>
                                      <w:sz w:val="20"/>
                                    </w:rPr>
                                  </w:pPr>
                                  <w:r>
                                    <w:rPr>
                                      <w:spacing w:val="-5"/>
                                      <w:sz w:val="20"/>
                                    </w:rPr>
                                    <w:t>37</w:t>
                                  </w:r>
                                </w:p>
                              </w:tc>
                              <w:tc>
                                <w:tcPr>
                                  <w:tcW w:w="1566" w:type="dxa"/>
                                </w:tcPr>
                                <w:p>
                                  <w:pPr>
                                    <w:pStyle w:val="TableParagraph"/>
                                    <w:spacing w:line="209" w:lineRule="exact"/>
                                    <w:ind w:left="169"/>
                                    <w:rPr>
                                      <w:sz w:val="20"/>
                                    </w:rPr>
                                  </w:pPr>
                                  <w:r>
                                    <w:rPr>
                                      <w:spacing w:val="-2"/>
                                      <w:sz w:val="20"/>
                                    </w:rPr>
                                    <w:t>94.87</w:t>
                                  </w:r>
                                </w:p>
                              </w:tc>
                            </w:tr>
                            <w:tr>
                              <w:trPr>
                                <w:trHeight w:val="229" w:hRule="atLeast"/>
                              </w:trPr>
                              <w:tc>
                                <w:tcPr>
                                  <w:tcW w:w="2077" w:type="dxa"/>
                                </w:tcPr>
                                <w:p>
                                  <w:pPr>
                                    <w:pStyle w:val="TableParagraph"/>
                                    <w:spacing w:line="240" w:lineRule="auto"/>
                                    <w:jc w:val="left"/>
                                    <w:rPr>
                                      <w:sz w:val="16"/>
                                    </w:rPr>
                                  </w:pPr>
                                </w:p>
                              </w:tc>
                              <w:tc>
                                <w:tcPr>
                                  <w:tcW w:w="2017" w:type="dxa"/>
                                </w:tcPr>
                                <w:p>
                                  <w:pPr>
                                    <w:pStyle w:val="TableParagraph"/>
                                    <w:spacing w:line="209" w:lineRule="exact"/>
                                    <w:ind w:left="302"/>
                                    <w:rPr>
                                      <w:sz w:val="20"/>
                                    </w:rPr>
                                  </w:pPr>
                                  <w:r>
                                    <w:rPr>
                                      <w:spacing w:val="-5"/>
                                      <w:sz w:val="20"/>
                                    </w:rPr>
                                    <w:t>No</w:t>
                                  </w:r>
                                </w:p>
                              </w:tc>
                              <w:tc>
                                <w:tcPr>
                                  <w:tcW w:w="1025" w:type="dxa"/>
                                </w:tcPr>
                                <w:p>
                                  <w:pPr>
                                    <w:pStyle w:val="TableParagraph"/>
                                    <w:spacing w:line="209" w:lineRule="exact"/>
                                    <w:ind w:right="306"/>
                                    <w:jc w:val="right"/>
                                    <w:rPr>
                                      <w:sz w:val="20"/>
                                    </w:rPr>
                                  </w:pPr>
                                  <w:r>
                                    <w:rPr>
                                      <w:spacing w:val="-5"/>
                                      <w:sz w:val="20"/>
                                    </w:rPr>
                                    <w:t>19</w:t>
                                  </w:r>
                                </w:p>
                              </w:tc>
                              <w:tc>
                                <w:tcPr>
                                  <w:tcW w:w="1708" w:type="dxa"/>
                                </w:tcPr>
                                <w:p>
                                  <w:pPr>
                                    <w:pStyle w:val="TableParagraph"/>
                                    <w:spacing w:line="209" w:lineRule="exact"/>
                                    <w:ind w:right="58"/>
                                    <w:rPr>
                                      <w:sz w:val="20"/>
                                    </w:rPr>
                                  </w:pPr>
                                  <w:r>
                                    <w:rPr>
                                      <w:spacing w:val="-2"/>
                                      <w:sz w:val="20"/>
                                    </w:rPr>
                                    <w:t>21.59</w:t>
                                  </w:r>
                                </w:p>
                              </w:tc>
                              <w:tc>
                                <w:tcPr>
                                  <w:tcW w:w="912" w:type="dxa"/>
                                </w:tcPr>
                                <w:p>
                                  <w:pPr>
                                    <w:pStyle w:val="TableParagraph"/>
                                    <w:spacing w:line="209" w:lineRule="exact"/>
                                    <w:ind w:left="11" w:right="1"/>
                                    <w:rPr>
                                      <w:sz w:val="20"/>
                                    </w:rPr>
                                  </w:pPr>
                                  <w:r>
                                    <w:rPr>
                                      <w:spacing w:val="-10"/>
                                      <w:sz w:val="20"/>
                                    </w:rPr>
                                    <w:t>2</w:t>
                                  </w:r>
                                </w:p>
                              </w:tc>
                              <w:tc>
                                <w:tcPr>
                                  <w:tcW w:w="1566" w:type="dxa"/>
                                </w:tcPr>
                                <w:p>
                                  <w:pPr>
                                    <w:pStyle w:val="TableParagraph"/>
                                    <w:spacing w:line="209" w:lineRule="exact"/>
                                    <w:ind w:left="169"/>
                                    <w:rPr>
                                      <w:sz w:val="20"/>
                                    </w:rPr>
                                  </w:pPr>
                                  <w:r>
                                    <w:rPr>
                                      <w:spacing w:val="-4"/>
                                      <w:sz w:val="20"/>
                                    </w:rPr>
                                    <w:t>5.13</w:t>
                                  </w:r>
                                </w:p>
                              </w:tc>
                            </w:tr>
                            <w:tr>
                              <w:trPr>
                                <w:trHeight w:val="230" w:hRule="atLeast"/>
                              </w:trPr>
                              <w:tc>
                                <w:tcPr>
                                  <w:tcW w:w="2077" w:type="dxa"/>
                                </w:tcPr>
                                <w:p>
                                  <w:pPr>
                                    <w:pStyle w:val="TableParagraph"/>
                                    <w:ind w:left="122"/>
                                    <w:jc w:val="left"/>
                                    <w:rPr>
                                      <w:sz w:val="20"/>
                                    </w:rPr>
                                  </w:pPr>
                                  <w:r>
                                    <w:rPr>
                                      <w:spacing w:val="-2"/>
                                      <w:sz w:val="20"/>
                                    </w:rPr>
                                    <w:t>AExtentions</w:t>
                                  </w:r>
                                </w:p>
                              </w:tc>
                              <w:tc>
                                <w:tcPr>
                                  <w:tcW w:w="2017" w:type="dxa"/>
                                </w:tcPr>
                                <w:p>
                                  <w:pPr>
                                    <w:pStyle w:val="TableParagraph"/>
                                    <w:ind w:left="302"/>
                                    <w:rPr>
                                      <w:sz w:val="20"/>
                                    </w:rPr>
                                  </w:pPr>
                                  <w:r>
                                    <w:rPr>
                                      <w:spacing w:val="-5"/>
                                      <w:sz w:val="20"/>
                                    </w:rPr>
                                    <w:t>Yes</w:t>
                                  </w:r>
                                </w:p>
                              </w:tc>
                              <w:tc>
                                <w:tcPr>
                                  <w:tcW w:w="1025" w:type="dxa"/>
                                </w:tcPr>
                                <w:p>
                                  <w:pPr>
                                    <w:pStyle w:val="TableParagraph"/>
                                    <w:ind w:right="306"/>
                                    <w:jc w:val="right"/>
                                    <w:rPr>
                                      <w:sz w:val="20"/>
                                    </w:rPr>
                                  </w:pPr>
                                  <w:r>
                                    <w:rPr>
                                      <w:spacing w:val="-5"/>
                                      <w:sz w:val="20"/>
                                    </w:rPr>
                                    <w:t>48</w:t>
                                  </w:r>
                                </w:p>
                              </w:tc>
                              <w:tc>
                                <w:tcPr>
                                  <w:tcW w:w="1708" w:type="dxa"/>
                                </w:tcPr>
                                <w:p>
                                  <w:pPr>
                                    <w:pStyle w:val="TableParagraph"/>
                                    <w:ind w:right="58"/>
                                    <w:rPr>
                                      <w:sz w:val="20"/>
                                    </w:rPr>
                                  </w:pPr>
                                  <w:r>
                                    <w:rPr>
                                      <w:spacing w:val="-2"/>
                                      <w:sz w:val="20"/>
                                    </w:rPr>
                                    <w:t>54.55</w:t>
                                  </w:r>
                                </w:p>
                              </w:tc>
                              <w:tc>
                                <w:tcPr>
                                  <w:tcW w:w="912" w:type="dxa"/>
                                </w:tcPr>
                                <w:p>
                                  <w:pPr>
                                    <w:pStyle w:val="TableParagraph"/>
                                    <w:ind w:left="11" w:right="1"/>
                                    <w:rPr>
                                      <w:sz w:val="20"/>
                                    </w:rPr>
                                  </w:pPr>
                                  <w:r>
                                    <w:rPr>
                                      <w:spacing w:val="-5"/>
                                      <w:sz w:val="20"/>
                                    </w:rPr>
                                    <w:t>22</w:t>
                                  </w:r>
                                </w:p>
                              </w:tc>
                              <w:tc>
                                <w:tcPr>
                                  <w:tcW w:w="1566" w:type="dxa"/>
                                </w:tcPr>
                                <w:p>
                                  <w:pPr>
                                    <w:pStyle w:val="TableParagraph"/>
                                    <w:ind w:left="169"/>
                                    <w:rPr>
                                      <w:sz w:val="20"/>
                                    </w:rPr>
                                  </w:pPr>
                                  <w:r>
                                    <w:rPr>
                                      <w:spacing w:val="-2"/>
                                      <w:sz w:val="20"/>
                                    </w:rPr>
                                    <w:t>56.41</w:t>
                                  </w:r>
                                </w:p>
                              </w:tc>
                            </w:tr>
                            <w:tr>
                              <w:trPr>
                                <w:trHeight w:val="232" w:hRule="atLeast"/>
                              </w:trPr>
                              <w:tc>
                                <w:tcPr>
                                  <w:tcW w:w="2077" w:type="dxa"/>
                                  <w:tcBorders>
                                    <w:bottom w:val="double" w:sz="4" w:space="0" w:color="000000"/>
                                  </w:tcBorders>
                                </w:tcPr>
                                <w:p>
                                  <w:pPr>
                                    <w:pStyle w:val="TableParagraph"/>
                                    <w:spacing w:line="240" w:lineRule="auto"/>
                                    <w:jc w:val="left"/>
                                    <w:rPr>
                                      <w:sz w:val="16"/>
                                    </w:rPr>
                                  </w:pPr>
                                </w:p>
                              </w:tc>
                              <w:tc>
                                <w:tcPr>
                                  <w:tcW w:w="2017" w:type="dxa"/>
                                  <w:tcBorders>
                                    <w:bottom w:val="double" w:sz="4" w:space="0" w:color="000000"/>
                                  </w:tcBorders>
                                </w:tcPr>
                                <w:p>
                                  <w:pPr>
                                    <w:pStyle w:val="TableParagraph"/>
                                    <w:spacing w:line="212" w:lineRule="exact"/>
                                    <w:ind w:left="302"/>
                                    <w:rPr>
                                      <w:sz w:val="20"/>
                                    </w:rPr>
                                  </w:pPr>
                                  <w:r>
                                    <w:rPr>
                                      <w:spacing w:val="-5"/>
                                      <w:sz w:val="20"/>
                                    </w:rPr>
                                    <w:t>No</w:t>
                                  </w:r>
                                </w:p>
                              </w:tc>
                              <w:tc>
                                <w:tcPr>
                                  <w:tcW w:w="1025" w:type="dxa"/>
                                  <w:tcBorders>
                                    <w:bottom w:val="double" w:sz="4" w:space="0" w:color="000000"/>
                                  </w:tcBorders>
                                </w:tcPr>
                                <w:p>
                                  <w:pPr>
                                    <w:pStyle w:val="TableParagraph"/>
                                    <w:spacing w:line="212" w:lineRule="exact"/>
                                    <w:ind w:right="306"/>
                                    <w:jc w:val="right"/>
                                    <w:rPr>
                                      <w:sz w:val="20"/>
                                    </w:rPr>
                                  </w:pPr>
                                  <w:r>
                                    <w:rPr>
                                      <w:spacing w:val="-5"/>
                                      <w:sz w:val="20"/>
                                    </w:rPr>
                                    <w:t>40</w:t>
                                  </w:r>
                                </w:p>
                              </w:tc>
                              <w:tc>
                                <w:tcPr>
                                  <w:tcW w:w="1708" w:type="dxa"/>
                                  <w:tcBorders>
                                    <w:bottom w:val="double" w:sz="4" w:space="0" w:color="000000"/>
                                  </w:tcBorders>
                                </w:tcPr>
                                <w:p>
                                  <w:pPr>
                                    <w:pStyle w:val="TableParagraph"/>
                                    <w:spacing w:line="212" w:lineRule="exact"/>
                                    <w:ind w:right="58"/>
                                    <w:rPr>
                                      <w:sz w:val="20"/>
                                    </w:rPr>
                                  </w:pPr>
                                  <w:r>
                                    <w:rPr>
                                      <w:spacing w:val="-2"/>
                                      <w:sz w:val="20"/>
                                    </w:rPr>
                                    <w:t>45.45</w:t>
                                  </w:r>
                                </w:p>
                              </w:tc>
                              <w:tc>
                                <w:tcPr>
                                  <w:tcW w:w="912" w:type="dxa"/>
                                  <w:tcBorders>
                                    <w:bottom w:val="double" w:sz="4" w:space="0" w:color="000000"/>
                                  </w:tcBorders>
                                </w:tcPr>
                                <w:p>
                                  <w:pPr>
                                    <w:pStyle w:val="TableParagraph"/>
                                    <w:spacing w:line="212" w:lineRule="exact"/>
                                    <w:ind w:left="11" w:right="1"/>
                                    <w:rPr>
                                      <w:sz w:val="20"/>
                                    </w:rPr>
                                  </w:pPr>
                                  <w:r>
                                    <w:rPr>
                                      <w:spacing w:val="-5"/>
                                      <w:sz w:val="20"/>
                                    </w:rPr>
                                    <w:t>17</w:t>
                                  </w:r>
                                </w:p>
                              </w:tc>
                              <w:tc>
                                <w:tcPr>
                                  <w:tcW w:w="1566" w:type="dxa"/>
                                  <w:tcBorders>
                                    <w:bottom w:val="double" w:sz="4" w:space="0" w:color="000000"/>
                                  </w:tcBorders>
                                </w:tcPr>
                                <w:p>
                                  <w:pPr>
                                    <w:pStyle w:val="TableParagraph"/>
                                    <w:spacing w:line="212" w:lineRule="exact"/>
                                    <w:ind w:left="169"/>
                                    <w:rPr>
                                      <w:sz w:val="20"/>
                                    </w:rPr>
                                  </w:pPr>
                                  <w:r>
                                    <w:rPr>
                                      <w:spacing w:val="-2"/>
                                      <w:sz w:val="20"/>
                                    </w:rPr>
                                    <w:t>43.59</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61.919998pt;margin-top:11.895987pt;width:471.15pt;height:128.9500pt;mso-position-horizontal-relative:page;mso-position-vertical-relative:paragraph;z-index:15740928" type="#_x0000_t202" id="docshape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7"/>
                        <w:gridCol w:w="2017"/>
                        <w:gridCol w:w="1025"/>
                        <w:gridCol w:w="1708"/>
                        <w:gridCol w:w="912"/>
                        <w:gridCol w:w="1566"/>
                      </w:tblGrid>
                      <w:tr>
                        <w:trPr>
                          <w:trHeight w:val="222" w:hRule="atLeast"/>
                        </w:trPr>
                        <w:tc>
                          <w:tcPr>
                            <w:tcW w:w="4094" w:type="dxa"/>
                            <w:gridSpan w:val="2"/>
                            <w:tcBorders>
                              <w:bottom w:val="double" w:sz="4" w:space="0" w:color="000000"/>
                            </w:tcBorders>
                          </w:tcPr>
                          <w:p>
                            <w:pPr>
                              <w:pStyle w:val="TableParagraph"/>
                              <w:spacing w:line="240" w:lineRule="auto"/>
                              <w:jc w:val="left"/>
                              <w:rPr>
                                <w:sz w:val="14"/>
                              </w:rPr>
                            </w:pPr>
                          </w:p>
                        </w:tc>
                        <w:tc>
                          <w:tcPr>
                            <w:tcW w:w="1025" w:type="dxa"/>
                            <w:tcBorders>
                              <w:bottom w:val="double" w:sz="4" w:space="0" w:color="000000"/>
                            </w:tcBorders>
                          </w:tcPr>
                          <w:p>
                            <w:pPr>
                              <w:pStyle w:val="TableParagraph"/>
                              <w:spacing w:line="202" w:lineRule="exact"/>
                              <w:ind w:right="336"/>
                              <w:jc w:val="right"/>
                              <w:rPr>
                                <w:b/>
                                <w:sz w:val="20"/>
                              </w:rPr>
                            </w:pPr>
                            <w:r>
                              <w:rPr>
                                <w:b/>
                                <w:spacing w:val="-10"/>
                                <w:sz w:val="20"/>
                              </w:rPr>
                              <w:t>N</w:t>
                            </w:r>
                          </w:p>
                        </w:tc>
                        <w:tc>
                          <w:tcPr>
                            <w:tcW w:w="1708" w:type="dxa"/>
                            <w:tcBorders>
                              <w:bottom w:val="double" w:sz="4" w:space="0" w:color="000000"/>
                            </w:tcBorders>
                          </w:tcPr>
                          <w:p>
                            <w:pPr>
                              <w:pStyle w:val="TableParagraph"/>
                              <w:spacing w:line="202" w:lineRule="exact"/>
                              <w:ind w:left="1" w:right="58"/>
                              <w:rPr>
                                <w:b/>
                                <w:sz w:val="20"/>
                              </w:rPr>
                            </w:pPr>
                            <w:r>
                              <w:rPr>
                                <w:b/>
                                <w:sz w:val="20"/>
                              </w:rPr>
                              <w:t>%</w:t>
                            </w:r>
                            <w:r>
                              <w:rPr>
                                <w:spacing w:val="-2"/>
                                <w:sz w:val="20"/>
                              </w:rPr>
                              <w:t> </w:t>
                            </w:r>
                            <w:r>
                              <w:rPr>
                                <w:b/>
                                <w:spacing w:val="-2"/>
                                <w:sz w:val="20"/>
                              </w:rPr>
                              <w:t>(Percent)</w:t>
                            </w:r>
                          </w:p>
                        </w:tc>
                        <w:tc>
                          <w:tcPr>
                            <w:tcW w:w="912" w:type="dxa"/>
                            <w:tcBorders>
                              <w:bottom w:val="double" w:sz="4" w:space="0" w:color="000000"/>
                            </w:tcBorders>
                          </w:tcPr>
                          <w:p>
                            <w:pPr>
                              <w:pStyle w:val="TableParagraph"/>
                              <w:spacing w:line="202" w:lineRule="exact"/>
                              <w:ind w:left="11"/>
                              <w:rPr>
                                <w:b/>
                                <w:sz w:val="20"/>
                              </w:rPr>
                            </w:pPr>
                            <w:r>
                              <w:rPr>
                                <w:b/>
                                <w:spacing w:val="-10"/>
                                <w:sz w:val="20"/>
                              </w:rPr>
                              <w:t>N</w:t>
                            </w:r>
                          </w:p>
                        </w:tc>
                        <w:tc>
                          <w:tcPr>
                            <w:tcW w:w="1566" w:type="dxa"/>
                            <w:tcBorders>
                              <w:bottom w:val="double" w:sz="4" w:space="0" w:color="000000"/>
                            </w:tcBorders>
                          </w:tcPr>
                          <w:p>
                            <w:pPr>
                              <w:pStyle w:val="TableParagraph"/>
                              <w:spacing w:line="202" w:lineRule="exact"/>
                              <w:ind w:left="169" w:right="4"/>
                              <w:rPr>
                                <w:b/>
                                <w:sz w:val="20"/>
                              </w:rPr>
                            </w:pPr>
                            <w:r>
                              <w:rPr>
                                <w:b/>
                                <w:sz w:val="20"/>
                              </w:rPr>
                              <w:t>%</w:t>
                            </w:r>
                            <w:r>
                              <w:rPr>
                                <w:spacing w:val="-2"/>
                                <w:sz w:val="20"/>
                              </w:rPr>
                              <w:t> </w:t>
                            </w:r>
                            <w:r>
                              <w:rPr>
                                <w:b/>
                                <w:spacing w:val="-2"/>
                                <w:sz w:val="20"/>
                              </w:rPr>
                              <w:t>(Percent)</w:t>
                            </w:r>
                          </w:p>
                        </w:tc>
                      </w:tr>
                      <w:tr>
                        <w:trPr>
                          <w:trHeight w:val="228" w:hRule="atLeast"/>
                        </w:trPr>
                        <w:tc>
                          <w:tcPr>
                            <w:tcW w:w="2077" w:type="dxa"/>
                            <w:tcBorders>
                              <w:top w:val="double" w:sz="4" w:space="0" w:color="000000"/>
                            </w:tcBorders>
                          </w:tcPr>
                          <w:p>
                            <w:pPr>
                              <w:pStyle w:val="TableParagraph"/>
                              <w:spacing w:line="209" w:lineRule="exact"/>
                              <w:ind w:left="122"/>
                              <w:jc w:val="left"/>
                              <w:rPr>
                                <w:sz w:val="20"/>
                              </w:rPr>
                            </w:pPr>
                            <w:r>
                              <w:rPr>
                                <w:spacing w:val="-5"/>
                                <w:sz w:val="20"/>
                              </w:rPr>
                              <w:t>Sex</w:t>
                            </w:r>
                          </w:p>
                        </w:tc>
                        <w:tc>
                          <w:tcPr>
                            <w:tcW w:w="2017" w:type="dxa"/>
                            <w:tcBorders>
                              <w:top w:val="double" w:sz="4" w:space="0" w:color="000000"/>
                            </w:tcBorders>
                          </w:tcPr>
                          <w:p>
                            <w:pPr>
                              <w:pStyle w:val="TableParagraph"/>
                              <w:spacing w:line="209" w:lineRule="exact"/>
                              <w:ind w:right="648"/>
                              <w:jc w:val="right"/>
                              <w:rPr>
                                <w:sz w:val="20"/>
                              </w:rPr>
                            </w:pPr>
                            <w:r>
                              <w:rPr>
                                <w:spacing w:val="-4"/>
                                <w:sz w:val="20"/>
                              </w:rPr>
                              <w:t>Male</w:t>
                            </w:r>
                          </w:p>
                        </w:tc>
                        <w:tc>
                          <w:tcPr>
                            <w:tcW w:w="1025" w:type="dxa"/>
                            <w:tcBorders>
                              <w:top w:val="double" w:sz="4" w:space="0" w:color="000000"/>
                            </w:tcBorders>
                          </w:tcPr>
                          <w:p>
                            <w:pPr>
                              <w:pStyle w:val="TableParagraph"/>
                              <w:spacing w:line="209" w:lineRule="exact"/>
                              <w:ind w:right="306"/>
                              <w:jc w:val="right"/>
                              <w:rPr>
                                <w:sz w:val="20"/>
                              </w:rPr>
                            </w:pPr>
                            <w:r>
                              <w:rPr>
                                <w:spacing w:val="-5"/>
                                <w:sz w:val="20"/>
                              </w:rPr>
                              <w:t>79</w:t>
                            </w:r>
                          </w:p>
                        </w:tc>
                        <w:tc>
                          <w:tcPr>
                            <w:tcW w:w="1708" w:type="dxa"/>
                            <w:tcBorders>
                              <w:top w:val="double" w:sz="4" w:space="0" w:color="000000"/>
                            </w:tcBorders>
                          </w:tcPr>
                          <w:p>
                            <w:pPr>
                              <w:pStyle w:val="TableParagraph"/>
                              <w:spacing w:line="209" w:lineRule="exact"/>
                              <w:ind w:right="58"/>
                              <w:rPr>
                                <w:sz w:val="20"/>
                              </w:rPr>
                            </w:pPr>
                            <w:r>
                              <w:rPr>
                                <w:spacing w:val="-2"/>
                                <w:sz w:val="20"/>
                              </w:rPr>
                              <w:t>89.77</w:t>
                            </w:r>
                          </w:p>
                        </w:tc>
                        <w:tc>
                          <w:tcPr>
                            <w:tcW w:w="912" w:type="dxa"/>
                            <w:tcBorders>
                              <w:top w:val="double" w:sz="4" w:space="0" w:color="000000"/>
                            </w:tcBorders>
                          </w:tcPr>
                          <w:p>
                            <w:pPr>
                              <w:pStyle w:val="TableParagraph"/>
                              <w:spacing w:line="209" w:lineRule="exact"/>
                              <w:ind w:left="11" w:right="1"/>
                              <w:rPr>
                                <w:sz w:val="20"/>
                              </w:rPr>
                            </w:pPr>
                            <w:r>
                              <w:rPr>
                                <w:spacing w:val="-5"/>
                                <w:sz w:val="20"/>
                              </w:rPr>
                              <w:t>36</w:t>
                            </w:r>
                          </w:p>
                        </w:tc>
                        <w:tc>
                          <w:tcPr>
                            <w:tcW w:w="1566" w:type="dxa"/>
                            <w:tcBorders>
                              <w:top w:val="double" w:sz="4" w:space="0" w:color="000000"/>
                            </w:tcBorders>
                          </w:tcPr>
                          <w:p>
                            <w:pPr>
                              <w:pStyle w:val="TableParagraph"/>
                              <w:spacing w:line="209" w:lineRule="exact"/>
                              <w:ind w:left="169"/>
                              <w:rPr>
                                <w:sz w:val="20"/>
                              </w:rPr>
                            </w:pPr>
                            <w:r>
                              <w:rPr>
                                <w:spacing w:val="-2"/>
                                <w:sz w:val="20"/>
                              </w:rPr>
                              <w:t>92.31</w:t>
                            </w:r>
                          </w:p>
                        </w:tc>
                      </w:tr>
                      <w:tr>
                        <w:trPr>
                          <w:trHeight w:val="229" w:hRule="atLeast"/>
                        </w:trPr>
                        <w:tc>
                          <w:tcPr>
                            <w:tcW w:w="2077" w:type="dxa"/>
                          </w:tcPr>
                          <w:p>
                            <w:pPr>
                              <w:pStyle w:val="TableParagraph"/>
                              <w:spacing w:line="240" w:lineRule="auto"/>
                              <w:jc w:val="left"/>
                              <w:rPr>
                                <w:sz w:val="16"/>
                              </w:rPr>
                            </w:pPr>
                          </w:p>
                        </w:tc>
                        <w:tc>
                          <w:tcPr>
                            <w:tcW w:w="2017" w:type="dxa"/>
                          </w:tcPr>
                          <w:p>
                            <w:pPr>
                              <w:pStyle w:val="TableParagraph"/>
                              <w:spacing w:line="209" w:lineRule="exact"/>
                              <w:ind w:right="562"/>
                              <w:jc w:val="right"/>
                              <w:rPr>
                                <w:sz w:val="20"/>
                              </w:rPr>
                            </w:pPr>
                            <w:r>
                              <w:rPr>
                                <w:spacing w:val="-2"/>
                                <w:sz w:val="20"/>
                              </w:rPr>
                              <w:t>Female</w:t>
                            </w:r>
                          </w:p>
                        </w:tc>
                        <w:tc>
                          <w:tcPr>
                            <w:tcW w:w="1025" w:type="dxa"/>
                          </w:tcPr>
                          <w:p>
                            <w:pPr>
                              <w:pStyle w:val="TableParagraph"/>
                              <w:spacing w:line="209" w:lineRule="exact"/>
                              <w:ind w:right="359"/>
                              <w:jc w:val="right"/>
                              <w:rPr>
                                <w:sz w:val="20"/>
                              </w:rPr>
                            </w:pPr>
                            <w:r>
                              <w:rPr>
                                <w:spacing w:val="-10"/>
                                <w:sz w:val="20"/>
                              </w:rPr>
                              <w:t>9</w:t>
                            </w:r>
                          </w:p>
                        </w:tc>
                        <w:tc>
                          <w:tcPr>
                            <w:tcW w:w="1708" w:type="dxa"/>
                          </w:tcPr>
                          <w:p>
                            <w:pPr>
                              <w:pStyle w:val="TableParagraph"/>
                              <w:spacing w:line="209" w:lineRule="exact"/>
                              <w:ind w:right="58"/>
                              <w:rPr>
                                <w:sz w:val="20"/>
                              </w:rPr>
                            </w:pPr>
                            <w:r>
                              <w:rPr>
                                <w:spacing w:val="-2"/>
                                <w:sz w:val="20"/>
                              </w:rPr>
                              <w:t>10.23</w:t>
                            </w:r>
                          </w:p>
                        </w:tc>
                        <w:tc>
                          <w:tcPr>
                            <w:tcW w:w="912" w:type="dxa"/>
                          </w:tcPr>
                          <w:p>
                            <w:pPr>
                              <w:pStyle w:val="TableParagraph"/>
                              <w:spacing w:line="209" w:lineRule="exact"/>
                              <w:ind w:left="11" w:right="1"/>
                              <w:rPr>
                                <w:sz w:val="20"/>
                              </w:rPr>
                            </w:pPr>
                            <w:r>
                              <w:rPr>
                                <w:spacing w:val="-10"/>
                                <w:sz w:val="20"/>
                              </w:rPr>
                              <w:t>3</w:t>
                            </w:r>
                          </w:p>
                        </w:tc>
                        <w:tc>
                          <w:tcPr>
                            <w:tcW w:w="1566" w:type="dxa"/>
                          </w:tcPr>
                          <w:p>
                            <w:pPr>
                              <w:pStyle w:val="TableParagraph"/>
                              <w:spacing w:line="209" w:lineRule="exact"/>
                              <w:ind w:left="169"/>
                              <w:rPr>
                                <w:sz w:val="20"/>
                              </w:rPr>
                            </w:pPr>
                            <w:r>
                              <w:rPr>
                                <w:spacing w:val="-4"/>
                                <w:sz w:val="20"/>
                              </w:rPr>
                              <w:t>7.69</w:t>
                            </w:r>
                          </w:p>
                        </w:tc>
                      </w:tr>
                      <w:tr>
                        <w:trPr>
                          <w:trHeight w:val="230" w:hRule="atLeast"/>
                        </w:trPr>
                        <w:tc>
                          <w:tcPr>
                            <w:tcW w:w="2077" w:type="dxa"/>
                          </w:tcPr>
                          <w:p>
                            <w:pPr>
                              <w:pStyle w:val="TableParagraph"/>
                              <w:ind w:left="122"/>
                              <w:jc w:val="left"/>
                              <w:rPr>
                                <w:sz w:val="20"/>
                              </w:rPr>
                            </w:pPr>
                            <w:r>
                              <w:rPr>
                                <w:spacing w:val="-2"/>
                                <w:sz w:val="20"/>
                              </w:rPr>
                              <w:t>HEducation</w:t>
                            </w:r>
                          </w:p>
                        </w:tc>
                        <w:tc>
                          <w:tcPr>
                            <w:tcW w:w="2017" w:type="dxa"/>
                          </w:tcPr>
                          <w:p>
                            <w:pPr>
                              <w:pStyle w:val="TableParagraph"/>
                              <w:ind w:right="545"/>
                              <w:jc w:val="right"/>
                              <w:rPr>
                                <w:sz w:val="20"/>
                              </w:rPr>
                            </w:pPr>
                            <w:r>
                              <w:rPr>
                                <w:spacing w:val="-2"/>
                                <w:sz w:val="20"/>
                              </w:rPr>
                              <w:t>Literate</w:t>
                            </w:r>
                          </w:p>
                        </w:tc>
                        <w:tc>
                          <w:tcPr>
                            <w:tcW w:w="1025" w:type="dxa"/>
                          </w:tcPr>
                          <w:p>
                            <w:pPr>
                              <w:pStyle w:val="TableParagraph"/>
                              <w:ind w:right="306"/>
                              <w:jc w:val="right"/>
                              <w:rPr>
                                <w:sz w:val="20"/>
                              </w:rPr>
                            </w:pPr>
                            <w:r>
                              <w:rPr>
                                <w:spacing w:val="-5"/>
                                <w:sz w:val="20"/>
                              </w:rPr>
                              <w:t>67</w:t>
                            </w:r>
                          </w:p>
                        </w:tc>
                        <w:tc>
                          <w:tcPr>
                            <w:tcW w:w="1708" w:type="dxa"/>
                          </w:tcPr>
                          <w:p>
                            <w:pPr>
                              <w:pStyle w:val="TableParagraph"/>
                              <w:ind w:right="58"/>
                              <w:rPr>
                                <w:sz w:val="20"/>
                              </w:rPr>
                            </w:pPr>
                            <w:r>
                              <w:rPr>
                                <w:spacing w:val="-2"/>
                                <w:sz w:val="20"/>
                              </w:rPr>
                              <w:t>76.14</w:t>
                            </w:r>
                          </w:p>
                        </w:tc>
                        <w:tc>
                          <w:tcPr>
                            <w:tcW w:w="912" w:type="dxa"/>
                          </w:tcPr>
                          <w:p>
                            <w:pPr>
                              <w:pStyle w:val="TableParagraph"/>
                              <w:ind w:left="11" w:right="1"/>
                              <w:rPr>
                                <w:sz w:val="20"/>
                              </w:rPr>
                            </w:pPr>
                            <w:r>
                              <w:rPr>
                                <w:spacing w:val="-5"/>
                                <w:sz w:val="20"/>
                              </w:rPr>
                              <w:t>31</w:t>
                            </w:r>
                          </w:p>
                        </w:tc>
                        <w:tc>
                          <w:tcPr>
                            <w:tcW w:w="1566" w:type="dxa"/>
                          </w:tcPr>
                          <w:p>
                            <w:pPr>
                              <w:pStyle w:val="TableParagraph"/>
                              <w:ind w:left="169"/>
                              <w:rPr>
                                <w:sz w:val="20"/>
                              </w:rPr>
                            </w:pPr>
                            <w:r>
                              <w:rPr>
                                <w:spacing w:val="-2"/>
                                <w:sz w:val="20"/>
                              </w:rPr>
                              <w:t>79.49</w:t>
                            </w:r>
                          </w:p>
                        </w:tc>
                      </w:tr>
                      <w:tr>
                        <w:trPr>
                          <w:trHeight w:val="230" w:hRule="atLeast"/>
                        </w:trPr>
                        <w:tc>
                          <w:tcPr>
                            <w:tcW w:w="2077" w:type="dxa"/>
                          </w:tcPr>
                          <w:p>
                            <w:pPr>
                              <w:pStyle w:val="TableParagraph"/>
                              <w:spacing w:line="240" w:lineRule="auto"/>
                              <w:jc w:val="left"/>
                              <w:rPr>
                                <w:sz w:val="16"/>
                              </w:rPr>
                            </w:pPr>
                          </w:p>
                        </w:tc>
                        <w:tc>
                          <w:tcPr>
                            <w:tcW w:w="2017" w:type="dxa"/>
                          </w:tcPr>
                          <w:p>
                            <w:pPr>
                              <w:pStyle w:val="TableParagraph"/>
                              <w:ind w:right="516"/>
                              <w:jc w:val="right"/>
                              <w:rPr>
                                <w:sz w:val="20"/>
                              </w:rPr>
                            </w:pPr>
                            <w:r>
                              <w:rPr>
                                <w:spacing w:val="-2"/>
                                <w:sz w:val="20"/>
                              </w:rPr>
                              <w:t>Illiterate</w:t>
                            </w:r>
                          </w:p>
                        </w:tc>
                        <w:tc>
                          <w:tcPr>
                            <w:tcW w:w="1025" w:type="dxa"/>
                          </w:tcPr>
                          <w:p>
                            <w:pPr>
                              <w:pStyle w:val="TableParagraph"/>
                              <w:ind w:right="306"/>
                              <w:jc w:val="right"/>
                              <w:rPr>
                                <w:sz w:val="20"/>
                              </w:rPr>
                            </w:pPr>
                            <w:r>
                              <w:rPr>
                                <w:spacing w:val="-5"/>
                                <w:sz w:val="20"/>
                              </w:rPr>
                              <w:t>21</w:t>
                            </w:r>
                          </w:p>
                        </w:tc>
                        <w:tc>
                          <w:tcPr>
                            <w:tcW w:w="1708" w:type="dxa"/>
                          </w:tcPr>
                          <w:p>
                            <w:pPr>
                              <w:pStyle w:val="TableParagraph"/>
                              <w:ind w:right="58"/>
                              <w:rPr>
                                <w:sz w:val="20"/>
                              </w:rPr>
                            </w:pPr>
                            <w:r>
                              <w:rPr>
                                <w:spacing w:val="-2"/>
                                <w:sz w:val="20"/>
                              </w:rPr>
                              <w:t>23.86</w:t>
                            </w:r>
                          </w:p>
                        </w:tc>
                        <w:tc>
                          <w:tcPr>
                            <w:tcW w:w="912" w:type="dxa"/>
                          </w:tcPr>
                          <w:p>
                            <w:pPr>
                              <w:pStyle w:val="TableParagraph"/>
                              <w:ind w:left="11" w:right="1"/>
                              <w:rPr>
                                <w:sz w:val="20"/>
                              </w:rPr>
                            </w:pPr>
                            <w:r>
                              <w:rPr>
                                <w:spacing w:val="-10"/>
                                <w:sz w:val="20"/>
                              </w:rPr>
                              <w:t>8</w:t>
                            </w:r>
                          </w:p>
                        </w:tc>
                        <w:tc>
                          <w:tcPr>
                            <w:tcW w:w="1566" w:type="dxa"/>
                          </w:tcPr>
                          <w:p>
                            <w:pPr>
                              <w:pStyle w:val="TableParagraph"/>
                              <w:ind w:left="169"/>
                              <w:rPr>
                                <w:sz w:val="20"/>
                              </w:rPr>
                            </w:pPr>
                            <w:r>
                              <w:rPr>
                                <w:spacing w:val="-2"/>
                                <w:sz w:val="20"/>
                              </w:rPr>
                              <w:t>20.51</w:t>
                            </w:r>
                          </w:p>
                        </w:tc>
                      </w:tr>
                      <w:tr>
                        <w:trPr>
                          <w:trHeight w:val="230" w:hRule="atLeast"/>
                        </w:trPr>
                        <w:tc>
                          <w:tcPr>
                            <w:tcW w:w="2077" w:type="dxa"/>
                          </w:tcPr>
                          <w:p>
                            <w:pPr>
                              <w:pStyle w:val="TableParagraph"/>
                              <w:ind w:left="122"/>
                              <w:jc w:val="left"/>
                              <w:rPr>
                                <w:sz w:val="20"/>
                              </w:rPr>
                            </w:pPr>
                            <w:r>
                              <w:rPr>
                                <w:spacing w:val="-2"/>
                                <w:sz w:val="20"/>
                              </w:rPr>
                              <w:t>Credit</w:t>
                            </w:r>
                          </w:p>
                        </w:tc>
                        <w:tc>
                          <w:tcPr>
                            <w:tcW w:w="2017" w:type="dxa"/>
                          </w:tcPr>
                          <w:p>
                            <w:pPr>
                              <w:pStyle w:val="TableParagraph"/>
                              <w:ind w:left="302"/>
                              <w:rPr>
                                <w:sz w:val="20"/>
                              </w:rPr>
                            </w:pPr>
                            <w:r>
                              <w:rPr>
                                <w:spacing w:val="-5"/>
                                <w:sz w:val="20"/>
                              </w:rPr>
                              <w:t>Yes</w:t>
                            </w:r>
                          </w:p>
                        </w:tc>
                        <w:tc>
                          <w:tcPr>
                            <w:tcW w:w="1025" w:type="dxa"/>
                          </w:tcPr>
                          <w:p>
                            <w:pPr>
                              <w:pStyle w:val="TableParagraph"/>
                              <w:ind w:right="306"/>
                              <w:jc w:val="right"/>
                              <w:rPr>
                                <w:sz w:val="20"/>
                              </w:rPr>
                            </w:pPr>
                            <w:r>
                              <w:rPr>
                                <w:spacing w:val="-5"/>
                                <w:sz w:val="20"/>
                              </w:rPr>
                              <w:t>51</w:t>
                            </w:r>
                          </w:p>
                        </w:tc>
                        <w:tc>
                          <w:tcPr>
                            <w:tcW w:w="1708" w:type="dxa"/>
                          </w:tcPr>
                          <w:p>
                            <w:pPr>
                              <w:pStyle w:val="TableParagraph"/>
                              <w:ind w:right="58"/>
                              <w:rPr>
                                <w:sz w:val="20"/>
                              </w:rPr>
                            </w:pPr>
                            <w:r>
                              <w:rPr>
                                <w:spacing w:val="-2"/>
                                <w:sz w:val="20"/>
                              </w:rPr>
                              <w:t>57.95</w:t>
                            </w:r>
                          </w:p>
                        </w:tc>
                        <w:tc>
                          <w:tcPr>
                            <w:tcW w:w="912" w:type="dxa"/>
                          </w:tcPr>
                          <w:p>
                            <w:pPr>
                              <w:pStyle w:val="TableParagraph"/>
                              <w:ind w:left="11" w:right="1"/>
                              <w:rPr>
                                <w:sz w:val="20"/>
                              </w:rPr>
                            </w:pPr>
                            <w:r>
                              <w:rPr>
                                <w:spacing w:val="-5"/>
                                <w:sz w:val="20"/>
                              </w:rPr>
                              <w:t>13</w:t>
                            </w:r>
                          </w:p>
                        </w:tc>
                        <w:tc>
                          <w:tcPr>
                            <w:tcW w:w="1566" w:type="dxa"/>
                          </w:tcPr>
                          <w:p>
                            <w:pPr>
                              <w:pStyle w:val="TableParagraph"/>
                              <w:ind w:left="169"/>
                              <w:rPr>
                                <w:sz w:val="20"/>
                              </w:rPr>
                            </w:pPr>
                            <w:r>
                              <w:rPr>
                                <w:spacing w:val="-2"/>
                                <w:sz w:val="20"/>
                              </w:rPr>
                              <w:t>33.33</w:t>
                            </w:r>
                          </w:p>
                        </w:tc>
                      </w:tr>
                      <w:tr>
                        <w:trPr>
                          <w:trHeight w:val="230" w:hRule="atLeast"/>
                        </w:trPr>
                        <w:tc>
                          <w:tcPr>
                            <w:tcW w:w="2077" w:type="dxa"/>
                          </w:tcPr>
                          <w:p>
                            <w:pPr>
                              <w:pStyle w:val="TableParagraph"/>
                              <w:spacing w:line="240" w:lineRule="auto"/>
                              <w:jc w:val="left"/>
                              <w:rPr>
                                <w:sz w:val="16"/>
                              </w:rPr>
                            </w:pPr>
                          </w:p>
                        </w:tc>
                        <w:tc>
                          <w:tcPr>
                            <w:tcW w:w="2017" w:type="dxa"/>
                          </w:tcPr>
                          <w:p>
                            <w:pPr>
                              <w:pStyle w:val="TableParagraph"/>
                              <w:ind w:left="302"/>
                              <w:rPr>
                                <w:sz w:val="20"/>
                              </w:rPr>
                            </w:pPr>
                            <w:r>
                              <w:rPr>
                                <w:spacing w:val="-5"/>
                                <w:sz w:val="20"/>
                              </w:rPr>
                              <w:t>No</w:t>
                            </w:r>
                          </w:p>
                        </w:tc>
                        <w:tc>
                          <w:tcPr>
                            <w:tcW w:w="1025" w:type="dxa"/>
                          </w:tcPr>
                          <w:p>
                            <w:pPr>
                              <w:pStyle w:val="TableParagraph"/>
                              <w:ind w:right="306"/>
                              <w:jc w:val="right"/>
                              <w:rPr>
                                <w:sz w:val="20"/>
                              </w:rPr>
                            </w:pPr>
                            <w:r>
                              <w:rPr>
                                <w:spacing w:val="-5"/>
                                <w:sz w:val="20"/>
                              </w:rPr>
                              <w:t>37</w:t>
                            </w:r>
                          </w:p>
                        </w:tc>
                        <w:tc>
                          <w:tcPr>
                            <w:tcW w:w="1708" w:type="dxa"/>
                          </w:tcPr>
                          <w:p>
                            <w:pPr>
                              <w:pStyle w:val="TableParagraph"/>
                              <w:ind w:right="58"/>
                              <w:rPr>
                                <w:sz w:val="20"/>
                              </w:rPr>
                            </w:pPr>
                            <w:r>
                              <w:rPr>
                                <w:spacing w:val="-2"/>
                                <w:sz w:val="20"/>
                              </w:rPr>
                              <w:t>42.05</w:t>
                            </w:r>
                          </w:p>
                        </w:tc>
                        <w:tc>
                          <w:tcPr>
                            <w:tcW w:w="912" w:type="dxa"/>
                          </w:tcPr>
                          <w:p>
                            <w:pPr>
                              <w:pStyle w:val="TableParagraph"/>
                              <w:ind w:left="11" w:right="1"/>
                              <w:rPr>
                                <w:sz w:val="20"/>
                              </w:rPr>
                            </w:pPr>
                            <w:r>
                              <w:rPr>
                                <w:spacing w:val="-5"/>
                                <w:sz w:val="20"/>
                              </w:rPr>
                              <w:t>26</w:t>
                            </w:r>
                          </w:p>
                        </w:tc>
                        <w:tc>
                          <w:tcPr>
                            <w:tcW w:w="1566" w:type="dxa"/>
                          </w:tcPr>
                          <w:p>
                            <w:pPr>
                              <w:pStyle w:val="TableParagraph"/>
                              <w:ind w:left="169"/>
                              <w:rPr>
                                <w:sz w:val="20"/>
                              </w:rPr>
                            </w:pPr>
                            <w:r>
                              <w:rPr>
                                <w:spacing w:val="-2"/>
                                <w:sz w:val="20"/>
                              </w:rPr>
                              <w:t>66.67</w:t>
                            </w:r>
                          </w:p>
                        </w:tc>
                      </w:tr>
                      <w:tr>
                        <w:trPr>
                          <w:trHeight w:val="229" w:hRule="atLeast"/>
                        </w:trPr>
                        <w:tc>
                          <w:tcPr>
                            <w:tcW w:w="2077" w:type="dxa"/>
                          </w:tcPr>
                          <w:p>
                            <w:pPr>
                              <w:pStyle w:val="TableParagraph"/>
                              <w:spacing w:line="209" w:lineRule="exact"/>
                              <w:ind w:left="122"/>
                              <w:jc w:val="left"/>
                              <w:rPr>
                                <w:sz w:val="20"/>
                              </w:rPr>
                            </w:pPr>
                            <w:r>
                              <w:rPr>
                                <w:spacing w:val="-2"/>
                                <w:sz w:val="20"/>
                              </w:rPr>
                              <w:t>MInformation</w:t>
                            </w:r>
                          </w:p>
                        </w:tc>
                        <w:tc>
                          <w:tcPr>
                            <w:tcW w:w="2017" w:type="dxa"/>
                          </w:tcPr>
                          <w:p>
                            <w:pPr>
                              <w:pStyle w:val="TableParagraph"/>
                              <w:spacing w:line="209" w:lineRule="exact"/>
                              <w:ind w:left="302"/>
                              <w:rPr>
                                <w:sz w:val="20"/>
                              </w:rPr>
                            </w:pPr>
                            <w:r>
                              <w:rPr>
                                <w:spacing w:val="-5"/>
                                <w:sz w:val="20"/>
                              </w:rPr>
                              <w:t>Yes</w:t>
                            </w:r>
                          </w:p>
                        </w:tc>
                        <w:tc>
                          <w:tcPr>
                            <w:tcW w:w="1025" w:type="dxa"/>
                          </w:tcPr>
                          <w:p>
                            <w:pPr>
                              <w:pStyle w:val="TableParagraph"/>
                              <w:spacing w:line="209" w:lineRule="exact"/>
                              <w:ind w:right="306"/>
                              <w:jc w:val="right"/>
                              <w:rPr>
                                <w:sz w:val="20"/>
                              </w:rPr>
                            </w:pPr>
                            <w:r>
                              <w:rPr>
                                <w:spacing w:val="-5"/>
                                <w:sz w:val="20"/>
                              </w:rPr>
                              <w:t>69</w:t>
                            </w:r>
                          </w:p>
                        </w:tc>
                        <w:tc>
                          <w:tcPr>
                            <w:tcW w:w="1708" w:type="dxa"/>
                          </w:tcPr>
                          <w:p>
                            <w:pPr>
                              <w:pStyle w:val="TableParagraph"/>
                              <w:spacing w:line="209" w:lineRule="exact"/>
                              <w:ind w:right="58"/>
                              <w:rPr>
                                <w:sz w:val="20"/>
                              </w:rPr>
                            </w:pPr>
                            <w:r>
                              <w:rPr>
                                <w:spacing w:val="-2"/>
                                <w:sz w:val="20"/>
                              </w:rPr>
                              <w:t>78.41</w:t>
                            </w:r>
                          </w:p>
                        </w:tc>
                        <w:tc>
                          <w:tcPr>
                            <w:tcW w:w="912" w:type="dxa"/>
                          </w:tcPr>
                          <w:p>
                            <w:pPr>
                              <w:pStyle w:val="TableParagraph"/>
                              <w:spacing w:line="209" w:lineRule="exact"/>
                              <w:ind w:left="11" w:right="1"/>
                              <w:rPr>
                                <w:sz w:val="20"/>
                              </w:rPr>
                            </w:pPr>
                            <w:r>
                              <w:rPr>
                                <w:spacing w:val="-5"/>
                                <w:sz w:val="20"/>
                              </w:rPr>
                              <w:t>37</w:t>
                            </w:r>
                          </w:p>
                        </w:tc>
                        <w:tc>
                          <w:tcPr>
                            <w:tcW w:w="1566" w:type="dxa"/>
                          </w:tcPr>
                          <w:p>
                            <w:pPr>
                              <w:pStyle w:val="TableParagraph"/>
                              <w:spacing w:line="209" w:lineRule="exact"/>
                              <w:ind w:left="169"/>
                              <w:rPr>
                                <w:sz w:val="20"/>
                              </w:rPr>
                            </w:pPr>
                            <w:r>
                              <w:rPr>
                                <w:spacing w:val="-2"/>
                                <w:sz w:val="20"/>
                              </w:rPr>
                              <w:t>94.87</w:t>
                            </w:r>
                          </w:p>
                        </w:tc>
                      </w:tr>
                      <w:tr>
                        <w:trPr>
                          <w:trHeight w:val="229" w:hRule="atLeast"/>
                        </w:trPr>
                        <w:tc>
                          <w:tcPr>
                            <w:tcW w:w="2077" w:type="dxa"/>
                          </w:tcPr>
                          <w:p>
                            <w:pPr>
                              <w:pStyle w:val="TableParagraph"/>
                              <w:spacing w:line="240" w:lineRule="auto"/>
                              <w:jc w:val="left"/>
                              <w:rPr>
                                <w:sz w:val="16"/>
                              </w:rPr>
                            </w:pPr>
                          </w:p>
                        </w:tc>
                        <w:tc>
                          <w:tcPr>
                            <w:tcW w:w="2017" w:type="dxa"/>
                          </w:tcPr>
                          <w:p>
                            <w:pPr>
                              <w:pStyle w:val="TableParagraph"/>
                              <w:spacing w:line="209" w:lineRule="exact"/>
                              <w:ind w:left="302"/>
                              <w:rPr>
                                <w:sz w:val="20"/>
                              </w:rPr>
                            </w:pPr>
                            <w:r>
                              <w:rPr>
                                <w:spacing w:val="-5"/>
                                <w:sz w:val="20"/>
                              </w:rPr>
                              <w:t>No</w:t>
                            </w:r>
                          </w:p>
                        </w:tc>
                        <w:tc>
                          <w:tcPr>
                            <w:tcW w:w="1025" w:type="dxa"/>
                          </w:tcPr>
                          <w:p>
                            <w:pPr>
                              <w:pStyle w:val="TableParagraph"/>
                              <w:spacing w:line="209" w:lineRule="exact"/>
                              <w:ind w:right="306"/>
                              <w:jc w:val="right"/>
                              <w:rPr>
                                <w:sz w:val="20"/>
                              </w:rPr>
                            </w:pPr>
                            <w:r>
                              <w:rPr>
                                <w:spacing w:val="-5"/>
                                <w:sz w:val="20"/>
                              </w:rPr>
                              <w:t>19</w:t>
                            </w:r>
                          </w:p>
                        </w:tc>
                        <w:tc>
                          <w:tcPr>
                            <w:tcW w:w="1708" w:type="dxa"/>
                          </w:tcPr>
                          <w:p>
                            <w:pPr>
                              <w:pStyle w:val="TableParagraph"/>
                              <w:spacing w:line="209" w:lineRule="exact"/>
                              <w:ind w:right="58"/>
                              <w:rPr>
                                <w:sz w:val="20"/>
                              </w:rPr>
                            </w:pPr>
                            <w:r>
                              <w:rPr>
                                <w:spacing w:val="-2"/>
                                <w:sz w:val="20"/>
                              </w:rPr>
                              <w:t>21.59</w:t>
                            </w:r>
                          </w:p>
                        </w:tc>
                        <w:tc>
                          <w:tcPr>
                            <w:tcW w:w="912" w:type="dxa"/>
                          </w:tcPr>
                          <w:p>
                            <w:pPr>
                              <w:pStyle w:val="TableParagraph"/>
                              <w:spacing w:line="209" w:lineRule="exact"/>
                              <w:ind w:left="11" w:right="1"/>
                              <w:rPr>
                                <w:sz w:val="20"/>
                              </w:rPr>
                            </w:pPr>
                            <w:r>
                              <w:rPr>
                                <w:spacing w:val="-10"/>
                                <w:sz w:val="20"/>
                              </w:rPr>
                              <w:t>2</w:t>
                            </w:r>
                          </w:p>
                        </w:tc>
                        <w:tc>
                          <w:tcPr>
                            <w:tcW w:w="1566" w:type="dxa"/>
                          </w:tcPr>
                          <w:p>
                            <w:pPr>
                              <w:pStyle w:val="TableParagraph"/>
                              <w:spacing w:line="209" w:lineRule="exact"/>
                              <w:ind w:left="169"/>
                              <w:rPr>
                                <w:sz w:val="20"/>
                              </w:rPr>
                            </w:pPr>
                            <w:r>
                              <w:rPr>
                                <w:spacing w:val="-4"/>
                                <w:sz w:val="20"/>
                              </w:rPr>
                              <w:t>5.13</w:t>
                            </w:r>
                          </w:p>
                        </w:tc>
                      </w:tr>
                      <w:tr>
                        <w:trPr>
                          <w:trHeight w:val="230" w:hRule="atLeast"/>
                        </w:trPr>
                        <w:tc>
                          <w:tcPr>
                            <w:tcW w:w="2077" w:type="dxa"/>
                          </w:tcPr>
                          <w:p>
                            <w:pPr>
                              <w:pStyle w:val="TableParagraph"/>
                              <w:ind w:left="122"/>
                              <w:jc w:val="left"/>
                              <w:rPr>
                                <w:sz w:val="20"/>
                              </w:rPr>
                            </w:pPr>
                            <w:r>
                              <w:rPr>
                                <w:spacing w:val="-2"/>
                                <w:sz w:val="20"/>
                              </w:rPr>
                              <w:t>AExtentions</w:t>
                            </w:r>
                          </w:p>
                        </w:tc>
                        <w:tc>
                          <w:tcPr>
                            <w:tcW w:w="2017" w:type="dxa"/>
                          </w:tcPr>
                          <w:p>
                            <w:pPr>
                              <w:pStyle w:val="TableParagraph"/>
                              <w:ind w:left="302"/>
                              <w:rPr>
                                <w:sz w:val="20"/>
                              </w:rPr>
                            </w:pPr>
                            <w:r>
                              <w:rPr>
                                <w:spacing w:val="-5"/>
                                <w:sz w:val="20"/>
                              </w:rPr>
                              <w:t>Yes</w:t>
                            </w:r>
                          </w:p>
                        </w:tc>
                        <w:tc>
                          <w:tcPr>
                            <w:tcW w:w="1025" w:type="dxa"/>
                          </w:tcPr>
                          <w:p>
                            <w:pPr>
                              <w:pStyle w:val="TableParagraph"/>
                              <w:ind w:right="306"/>
                              <w:jc w:val="right"/>
                              <w:rPr>
                                <w:sz w:val="20"/>
                              </w:rPr>
                            </w:pPr>
                            <w:r>
                              <w:rPr>
                                <w:spacing w:val="-5"/>
                                <w:sz w:val="20"/>
                              </w:rPr>
                              <w:t>48</w:t>
                            </w:r>
                          </w:p>
                        </w:tc>
                        <w:tc>
                          <w:tcPr>
                            <w:tcW w:w="1708" w:type="dxa"/>
                          </w:tcPr>
                          <w:p>
                            <w:pPr>
                              <w:pStyle w:val="TableParagraph"/>
                              <w:ind w:right="58"/>
                              <w:rPr>
                                <w:sz w:val="20"/>
                              </w:rPr>
                            </w:pPr>
                            <w:r>
                              <w:rPr>
                                <w:spacing w:val="-2"/>
                                <w:sz w:val="20"/>
                              </w:rPr>
                              <w:t>54.55</w:t>
                            </w:r>
                          </w:p>
                        </w:tc>
                        <w:tc>
                          <w:tcPr>
                            <w:tcW w:w="912" w:type="dxa"/>
                          </w:tcPr>
                          <w:p>
                            <w:pPr>
                              <w:pStyle w:val="TableParagraph"/>
                              <w:ind w:left="11" w:right="1"/>
                              <w:rPr>
                                <w:sz w:val="20"/>
                              </w:rPr>
                            </w:pPr>
                            <w:r>
                              <w:rPr>
                                <w:spacing w:val="-5"/>
                                <w:sz w:val="20"/>
                              </w:rPr>
                              <w:t>22</w:t>
                            </w:r>
                          </w:p>
                        </w:tc>
                        <w:tc>
                          <w:tcPr>
                            <w:tcW w:w="1566" w:type="dxa"/>
                          </w:tcPr>
                          <w:p>
                            <w:pPr>
                              <w:pStyle w:val="TableParagraph"/>
                              <w:ind w:left="169"/>
                              <w:rPr>
                                <w:sz w:val="20"/>
                              </w:rPr>
                            </w:pPr>
                            <w:r>
                              <w:rPr>
                                <w:spacing w:val="-2"/>
                                <w:sz w:val="20"/>
                              </w:rPr>
                              <w:t>56.41</w:t>
                            </w:r>
                          </w:p>
                        </w:tc>
                      </w:tr>
                      <w:tr>
                        <w:trPr>
                          <w:trHeight w:val="232" w:hRule="atLeast"/>
                        </w:trPr>
                        <w:tc>
                          <w:tcPr>
                            <w:tcW w:w="2077" w:type="dxa"/>
                            <w:tcBorders>
                              <w:bottom w:val="double" w:sz="4" w:space="0" w:color="000000"/>
                            </w:tcBorders>
                          </w:tcPr>
                          <w:p>
                            <w:pPr>
                              <w:pStyle w:val="TableParagraph"/>
                              <w:spacing w:line="240" w:lineRule="auto"/>
                              <w:jc w:val="left"/>
                              <w:rPr>
                                <w:sz w:val="16"/>
                              </w:rPr>
                            </w:pPr>
                          </w:p>
                        </w:tc>
                        <w:tc>
                          <w:tcPr>
                            <w:tcW w:w="2017" w:type="dxa"/>
                            <w:tcBorders>
                              <w:bottom w:val="double" w:sz="4" w:space="0" w:color="000000"/>
                            </w:tcBorders>
                          </w:tcPr>
                          <w:p>
                            <w:pPr>
                              <w:pStyle w:val="TableParagraph"/>
                              <w:spacing w:line="212" w:lineRule="exact"/>
                              <w:ind w:left="302"/>
                              <w:rPr>
                                <w:sz w:val="20"/>
                              </w:rPr>
                            </w:pPr>
                            <w:r>
                              <w:rPr>
                                <w:spacing w:val="-5"/>
                                <w:sz w:val="20"/>
                              </w:rPr>
                              <w:t>No</w:t>
                            </w:r>
                          </w:p>
                        </w:tc>
                        <w:tc>
                          <w:tcPr>
                            <w:tcW w:w="1025" w:type="dxa"/>
                            <w:tcBorders>
                              <w:bottom w:val="double" w:sz="4" w:space="0" w:color="000000"/>
                            </w:tcBorders>
                          </w:tcPr>
                          <w:p>
                            <w:pPr>
                              <w:pStyle w:val="TableParagraph"/>
                              <w:spacing w:line="212" w:lineRule="exact"/>
                              <w:ind w:right="306"/>
                              <w:jc w:val="right"/>
                              <w:rPr>
                                <w:sz w:val="20"/>
                              </w:rPr>
                            </w:pPr>
                            <w:r>
                              <w:rPr>
                                <w:spacing w:val="-5"/>
                                <w:sz w:val="20"/>
                              </w:rPr>
                              <w:t>40</w:t>
                            </w:r>
                          </w:p>
                        </w:tc>
                        <w:tc>
                          <w:tcPr>
                            <w:tcW w:w="1708" w:type="dxa"/>
                            <w:tcBorders>
                              <w:bottom w:val="double" w:sz="4" w:space="0" w:color="000000"/>
                            </w:tcBorders>
                          </w:tcPr>
                          <w:p>
                            <w:pPr>
                              <w:pStyle w:val="TableParagraph"/>
                              <w:spacing w:line="212" w:lineRule="exact"/>
                              <w:ind w:right="58"/>
                              <w:rPr>
                                <w:sz w:val="20"/>
                              </w:rPr>
                            </w:pPr>
                            <w:r>
                              <w:rPr>
                                <w:spacing w:val="-2"/>
                                <w:sz w:val="20"/>
                              </w:rPr>
                              <w:t>45.45</w:t>
                            </w:r>
                          </w:p>
                        </w:tc>
                        <w:tc>
                          <w:tcPr>
                            <w:tcW w:w="912" w:type="dxa"/>
                            <w:tcBorders>
                              <w:bottom w:val="double" w:sz="4" w:space="0" w:color="000000"/>
                            </w:tcBorders>
                          </w:tcPr>
                          <w:p>
                            <w:pPr>
                              <w:pStyle w:val="TableParagraph"/>
                              <w:spacing w:line="212" w:lineRule="exact"/>
                              <w:ind w:left="11" w:right="1"/>
                              <w:rPr>
                                <w:sz w:val="20"/>
                              </w:rPr>
                            </w:pPr>
                            <w:r>
                              <w:rPr>
                                <w:spacing w:val="-5"/>
                                <w:sz w:val="20"/>
                              </w:rPr>
                              <w:t>17</w:t>
                            </w:r>
                          </w:p>
                        </w:tc>
                        <w:tc>
                          <w:tcPr>
                            <w:tcW w:w="1566" w:type="dxa"/>
                            <w:tcBorders>
                              <w:bottom w:val="double" w:sz="4" w:space="0" w:color="000000"/>
                            </w:tcBorders>
                          </w:tcPr>
                          <w:p>
                            <w:pPr>
                              <w:pStyle w:val="TableParagraph"/>
                              <w:spacing w:line="212" w:lineRule="exact"/>
                              <w:ind w:left="169"/>
                              <w:rPr>
                                <w:sz w:val="20"/>
                              </w:rPr>
                            </w:pPr>
                            <w:r>
                              <w:rPr>
                                <w:spacing w:val="-2"/>
                                <w:sz w:val="20"/>
                              </w:rPr>
                              <w:t>43.59</w:t>
                            </w:r>
                          </w:p>
                        </w:tc>
                      </w:tr>
                    </w:tbl>
                    <w:p>
                      <w:pPr>
                        <w:pStyle w:val="BodyText"/>
                        <w:ind w:left="0"/>
                        <w:jc w:val="left"/>
                      </w:pPr>
                    </w:p>
                  </w:txbxContent>
                </v:textbox>
                <w10:wrap type="none"/>
              </v:shape>
            </w:pict>
          </mc:Fallback>
        </mc:AlternateContent>
      </w:r>
      <w:r>
        <w:rPr>
          <w:spacing w:val="-2"/>
          <w:sz w:val="20"/>
        </w:rPr>
        <w:t>Variables</w:t>
      </w:r>
      <w:r>
        <w:rPr>
          <w:sz w:val="20"/>
        </w:rPr>
        <w:tab/>
      </w:r>
      <w:r>
        <w:rPr>
          <w:spacing w:val="-4"/>
          <w:sz w:val="20"/>
        </w:rPr>
        <w:t>Items</w:t>
      </w:r>
      <w:r>
        <w:rPr>
          <w:sz w:val="20"/>
        </w:rPr>
        <w:tab/>
      </w:r>
      <w:r>
        <w:rPr>
          <w:b/>
          <w:sz w:val="20"/>
        </w:rPr>
        <w:t>Below</w:t>
      </w:r>
      <w:r>
        <w:rPr>
          <w:spacing w:val="-1"/>
          <w:sz w:val="20"/>
        </w:rPr>
        <w:t> </w:t>
      </w:r>
      <w:r>
        <w:rPr>
          <w:b/>
          <w:sz w:val="20"/>
        </w:rPr>
        <w:t>mean</w:t>
      </w:r>
      <w:r>
        <w:rPr>
          <w:spacing w:val="-4"/>
          <w:sz w:val="20"/>
        </w:rPr>
        <w:t> </w:t>
      </w:r>
      <w:r>
        <w:rPr>
          <w:b/>
          <w:sz w:val="20"/>
        </w:rPr>
        <w:t>(N=</w:t>
      </w:r>
      <w:r>
        <w:rPr>
          <w:spacing w:val="43"/>
          <w:sz w:val="20"/>
        </w:rPr>
        <w:t> </w:t>
      </w:r>
      <w:r>
        <w:rPr>
          <w:b/>
          <w:sz w:val="20"/>
        </w:rPr>
        <w:t>88</w:t>
      </w:r>
      <w:r>
        <w:rPr>
          <w:spacing w:val="-3"/>
          <w:sz w:val="20"/>
        </w:rPr>
        <w:t> </w:t>
      </w:r>
      <w:r>
        <w:rPr>
          <w:b/>
          <w:spacing w:val="-10"/>
          <w:sz w:val="20"/>
        </w:rPr>
        <w:t>)</w:t>
      </w:r>
      <w:r>
        <w:rPr>
          <w:sz w:val="20"/>
        </w:rPr>
        <w:tab/>
      </w:r>
      <w:r>
        <w:rPr>
          <w:b/>
          <w:sz w:val="20"/>
        </w:rPr>
        <w:t>Above</w:t>
      </w:r>
      <w:r>
        <w:rPr>
          <w:spacing w:val="-5"/>
          <w:sz w:val="20"/>
        </w:rPr>
        <w:t> </w:t>
      </w:r>
      <w:r>
        <w:rPr>
          <w:b/>
          <w:sz w:val="20"/>
        </w:rPr>
        <w:t>Mean</w:t>
      </w:r>
      <w:r>
        <w:rPr>
          <w:spacing w:val="-3"/>
          <w:sz w:val="20"/>
        </w:rPr>
        <w:t> </w:t>
      </w:r>
      <w:r>
        <w:rPr>
          <w:b/>
          <w:sz w:val="20"/>
        </w:rPr>
        <w:t>(N=</w:t>
      </w:r>
      <w:r>
        <w:rPr>
          <w:spacing w:val="-3"/>
          <w:sz w:val="20"/>
        </w:rPr>
        <w:t> </w:t>
      </w:r>
      <w:r>
        <w:rPr>
          <w:b/>
          <w:spacing w:val="-5"/>
          <w:sz w:val="20"/>
        </w:rPr>
        <w:t>39)</w:t>
      </w: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ind w:left="0"/>
        <w:jc w:val="left"/>
        <w:rPr>
          <w:b/>
        </w:rPr>
      </w:pPr>
    </w:p>
    <w:p>
      <w:pPr>
        <w:pStyle w:val="BodyText"/>
        <w:spacing w:before="58"/>
        <w:ind w:left="0"/>
        <w:jc w:val="left"/>
        <w:rPr>
          <w:b/>
        </w:rPr>
      </w:pPr>
    </w:p>
    <w:p>
      <w:pPr>
        <w:pStyle w:val="Heading3"/>
        <w:spacing w:line="460" w:lineRule="atLeast"/>
        <w:ind w:right="4041"/>
        <w:jc w:val="left"/>
      </w:pPr>
      <w:r>
        <w:rPr/>
        <w:t>Source:</w:t>
      </w:r>
      <w:r>
        <w:rPr>
          <w:b w:val="0"/>
          <w:spacing w:val="-5"/>
        </w:rPr>
        <w:t> </w:t>
      </w:r>
      <w:r>
        <w:rPr/>
        <w:t>Own</w:t>
      </w:r>
      <w:r>
        <w:rPr>
          <w:b w:val="0"/>
          <w:spacing w:val="-6"/>
        </w:rPr>
        <w:t> </w:t>
      </w:r>
      <w:r>
        <w:rPr/>
        <w:t>computation</w:t>
      </w:r>
      <w:r>
        <w:rPr>
          <w:b w:val="0"/>
          <w:spacing w:val="-6"/>
        </w:rPr>
        <w:t> </w:t>
      </w:r>
      <w:r>
        <w:rPr/>
        <w:t>from</w:t>
      </w:r>
      <w:r>
        <w:rPr>
          <w:b w:val="0"/>
          <w:spacing w:val="-10"/>
        </w:rPr>
        <w:t> </w:t>
      </w:r>
      <w:r>
        <w:rPr/>
        <w:t>survey</w:t>
      </w:r>
      <w:r>
        <w:rPr>
          <w:b w:val="0"/>
          <w:spacing w:val="-5"/>
        </w:rPr>
        <w:t> </w:t>
      </w:r>
      <w:r>
        <w:rPr/>
        <w:t>result,</w:t>
      </w:r>
      <w:r>
        <w:rPr>
          <w:b w:val="0"/>
          <w:spacing w:val="-5"/>
        </w:rPr>
        <w:t> </w:t>
      </w:r>
      <w:r>
        <w:rPr/>
        <w:t>2015</w:t>
      </w:r>
      <w:r>
        <w:rPr>
          <w:b w:val="0"/>
        </w:rPr>
        <w:t> </w:t>
      </w:r>
      <w:r>
        <w:rPr/>
        <w:t>Producers’</w:t>
      </w:r>
      <w:r>
        <w:rPr>
          <w:b w:val="0"/>
        </w:rPr>
        <w:t> </w:t>
      </w:r>
      <w:r>
        <w:rPr/>
        <w:t>characteristics</w:t>
      </w:r>
      <w:r>
        <w:rPr>
          <w:b w:val="0"/>
        </w:rPr>
        <w:t> </w:t>
      </w:r>
      <w:r>
        <w:rPr/>
        <w:t>by</w:t>
      </w:r>
      <w:r>
        <w:rPr>
          <w:b w:val="0"/>
        </w:rPr>
        <w:t> </w:t>
      </w:r>
      <w:r>
        <w:rPr/>
        <w:t>marketing</w:t>
      </w:r>
      <w:r>
        <w:rPr>
          <w:b w:val="0"/>
        </w:rPr>
        <w:t> </w:t>
      </w:r>
      <w:r>
        <w:rPr/>
        <w:t>outlets</w:t>
      </w:r>
    </w:p>
    <w:p>
      <w:pPr>
        <w:pStyle w:val="BodyText"/>
        <w:jc w:val="left"/>
      </w:pPr>
      <w:r>
        <w:rPr/>
        <w:t>In</w:t>
      </w:r>
      <w:r>
        <w:rPr>
          <w:spacing w:val="-2"/>
        </w:rPr>
        <w:t> </w:t>
      </w:r>
      <w:r>
        <w:rPr/>
        <w:t>this</w:t>
      </w:r>
      <w:r>
        <w:rPr>
          <w:spacing w:val="-1"/>
        </w:rPr>
        <w:t> </w:t>
      </w:r>
      <w:r>
        <w:rPr/>
        <w:t>study, three major sesame market</w:t>
      </w:r>
      <w:r>
        <w:rPr>
          <w:spacing w:val="-1"/>
        </w:rPr>
        <w:t> </w:t>
      </w:r>
      <w:r>
        <w:rPr/>
        <w:t>outlets were identified as</w:t>
      </w:r>
      <w:r>
        <w:rPr>
          <w:spacing w:val="-1"/>
        </w:rPr>
        <w:t> </w:t>
      </w:r>
      <w:r>
        <w:rPr/>
        <w:t>alternatives</w:t>
      </w:r>
      <w:r>
        <w:rPr>
          <w:spacing w:val="-1"/>
        </w:rPr>
        <w:t> </w:t>
      </w:r>
      <w:r>
        <w:rPr/>
        <w:t>to farmers</w:t>
      </w:r>
      <w:r>
        <w:rPr>
          <w:spacing w:val="-1"/>
        </w:rPr>
        <w:t> </w:t>
      </w:r>
      <w:r>
        <w:rPr/>
        <w:t>to sell majority</w:t>
      </w:r>
      <w:r>
        <w:rPr>
          <w:spacing w:val="-4"/>
        </w:rPr>
        <w:t> </w:t>
      </w:r>
      <w:r>
        <w:rPr/>
        <w:t>of</w:t>
      </w:r>
      <w:r>
        <w:rPr>
          <w:spacing w:val="-2"/>
        </w:rPr>
        <w:t> </w:t>
      </w:r>
      <w:r>
        <w:rPr/>
        <w:t>their sesame</w:t>
      </w:r>
      <w:r>
        <w:rPr>
          <w:spacing w:val="15"/>
        </w:rPr>
        <w:t> </w:t>
      </w:r>
      <w:r>
        <w:rPr/>
        <w:t>products.</w:t>
      </w:r>
      <w:r>
        <w:rPr>
          <w:spacing w:val="16"/>
        </w:rPr>
        <w:t> </w:t>
      </w:r>
      <w:r>
        <w:rPr/>
        <w:t>These</w:t>
      </w:r>
      <w:r>
        <w:rPr>
          <w:spacing w:val="18"/>
        </w:rPr>
        <w:t> </w:t>
      </w:r>
      <w:r>
        <w:rPr/>
        <w:t>were</w:t>
      </w:r>
      <w:r>
        <w:rPr>
          <w:spacing w:val="21"/>
        </w:rPr>
        <w:t> </w:t>
      </w:r>
      <w:r>
        <w:rPr/>
        <w:t>wholesalers</w:t>
      </w:r>
      <w:r>
        <w:rPr>
          <w:spacing w:val="17"/>
        </w:rPr>
        <w:t> </w:t>
      </w:r>
      <w:r>
        <w:rPr/>
        <w:t>which</w:t>
      </w:r>
      <w:r>
        <w:rPr>
          <w:spacing w:val="14"/>
        </w:rPr>
        <w:t> </w:t>
      </w:r>
      <w:r>
        <w:rPr/>
        <w:t>accounts</w:t>
      </w:r>
      <w:r>
        <w:rPr>
          <w:spacing w:val="17"/>
        </w:rPr>
        <w:t> </w:t>
      </w:r>
      <w:r>
        <w:rPr/>
        <w:t>for</w:t>
      </w:r>
      <w:r>
        <w:rPr>
          <w:spacing w:val="16"/>
        </w:rPr>
        <w:t> </w:t>
      </w:r>
      <w:r>
        <w:rPr/>
        <w:t>34.64%</w:t>
      </w:r>
      <w:r>
        <w:rPr>
          <w:spacing w:val="15"/>
        </w:rPr>
        <w:t> </w:t>
      </w:r>
      <w:r>
        <w:rPr/>
        <w:t>of</w:t>
      </w:r>
      <w:r>
        <w:rPr>
          <w:spacing w:val="14"/>
        </w:rPr>
        <w:t> </w:t>
      </w:r>
      <w:r>
        <w:rPr/>
        <w:t>total</w:t>
      </w:r>
      <w:r>
        <w:rPr>
          <w:spacing w:val="15"/>
        </w:rPr>
        <w:t> </w:t>
      </w:r>
      <w:r>
        <w:rPr/>
        <w:t>sells</w:t>
      </w:r>
      <w:r>
        <w:rPr>
          <w:spacing w:val="17"/>
        </w:rPr>
        <w:t> </w:t>
      </w:r>
      <w:r>
        <w:rPr/>
        <w:t>followed</w:t>
      </w:r>
      <w:r>
        <w:rPr>
          <w:spacing w:val="17"/>
        </w:rPr>
        <w:t> </w:t>
      </w:r>
      <w:r>
        <w:rPr/>
        <w:t>by,</w:t>
      </w:r>
      <w:r>
        <w:rPr>
          <w:spacing w:val="18"/>
        </w:rPr>
        <w:t> </w:t>
      </w:r>
      <w:r>
        <w:rPr>
          <w:spacing w:val="-2"/>
        </w:rPr>
        <w:t>Cooperatives</w:t>
      </w:r>
    </w:p>
    <w:p>
      <w:pPr>
        <w:spacing w:after="0"/>
        <w:jc w:val="left"/>
        <w:sectPr>
          <w:type w:val="continuous"/>
          <w:pgSz w:w="11900" w:h="16840"/>
          <w:pgMar w:header="846" w:footer="819" w:top="1640" w:bottom="1000" w:left="1180" w:right="1180"/>
        </w:sectPr>
      </w:pPr>
    </w:p>
    <w:p>
      <w:pPr>
        <w:pStyle w:val="BodyText"/>
        <w:spacing w:before="98"/>
        <w:ind w:right="224"/>
      </w:pPr>
      <w:r>
        <w:rPr/>
        <w:t>(33.86%) and collectors (31.50%). Although the role of agricultural cooperatives in smallholder farmers marketing is recognized as vital, no single household reported cooperatives as alternative market outlet in their sesame marketing. This should be seen as serious policy concern for the government and other relevant stakeholders in this sector. Tables 7 and 8 present demographic characteristics of sample respondents across marketing outlets. The study indicated that the majority farmers in Gimbi Woreda sales their sesame to wholesalers while majority of illiterate households are sell their products to the collectors around the villages specially in Abba Sena kebles.</w:t>
      </w:r>
    </w:p>
    <w:p>
      <w:pPr>
        <w:spacing w:before="6"/>
        <w:ind w:left="240" w:right="0" w:firstLine="0"/>
        <w:jc w:val="both"/>
        <w:rPr>
          <w:b/>
          <w:sz w:val="20"/>
        </w:rPr>
      </w:pPr>
      <w:r>
        <w:rPr/>
        <mc:AlternateContent>
          <mc:Choice Requires="wps">
            <w:drawing>
              <wp:anchor distT="0" distB="0" distL="0" distR="0" allowOverlap="1" layoutInCell="1" locked="0" behindDoc="0" simplePos="0" relativeHeight="15741440">
                <wp:simplePos x="0" y="0"/>
                <wp:positionH relativeFrom="page">
                  <wp:posOffset>833627</wp:posOffset>
                </wp:positionH>
                <wp:positionV relativeFrom="paragraph">
                  <wp:posOffset>149887</wp:posOffset>
                </wp:positionV>
                <wp:extent cx="5897880" cy="184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897880" cy="18415"/>
                        </a:xfrm>
                        <a:custGeom>
                          <a:avLst/>
                          <a:gdLst/>
                          <a:ahLst/>
                          <a:cxnLst/>
                          <a:rect l="l" t="t" r="r" b="b"/>
                          <a:pathLst>
                            <a:path w="5897880" h="18415">
                              <a:moveTo>
                                <a:pt x="5897880" y="12192"/>
                              </a:moveTo>
                              <a:lnTo>
                                <a:pt x="5897880" y="12192"/>
                              </a:lnTo>
                              <a:lnTo>
                                <a:pt x="0" y="12192"/>
                              </a:lnTo>
                              <a:lnTo>
                                <a:pt x="0" y="18288"/>
                              </a:lnTo>
                              <a:lnTo>
                                <a:pt x="5897880" y="18288"/>
                              </a:lnTo>
                              <a:lnTo>
                                <a:pt x="5897880" y="12192"/>
                              </a:lnTo>
                              <a:close/>
                            </a:path>
                            <a:path w="5897880" h="18415">
                              <a:moveTo>
                                <a:pt x="5897880" y="0"/>
                              </a:moveTo>
                              <a:lnTo>
                                <a:pt x="5897880" y="0"/>
                              </a:lnTo>
                              <a:lnTo>
                                <a:pt x="0" y="0"/>
                              </a:lnTo>
                              <a:lnTo>
                                <a:pt x="0" y="6096"/>
                              </a:lnTo>
                              <a:lnTo>
                                <a:pt x="5897880" y="6096"/>
                              </a:lnTo>
                              <a:lnTo>
                                <a:pt x="5897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639999pt;margin-top:11.802166pt;width:464.4pt;height:1.45pt;mso-position-horizontal-relative:page;mso-position-vertical-relative:paragraph;z-index:15741440" id="docshape33" coordorigin="1313,236" coordsize="9288,29" path="m10601,255l8928,255,8899,255,6732,255,6703,255,4654,255,4625,255,2650,255,2621,255,1313,255,1313,265,2621,265,2650,265,4625,265,4654,265,6703,265,6732,265,8899,265,8928,265,10601,265,10601,255xm10601,236l8928,236,8899,236,6732,236,6703,236,4654,236,4625,236,2650,236,2621,236,1313,236,1313,246,2621,246,2650,246,4625,246,4654,246,6703,246,6732,246,8899,246,8928,246,10601,246,10601,236xe" filled="true" fillcolor="#000000" stroked="false">
                <v:path arrowok="t"/>
                <v:fill type="solid"/>
                <w10:wrap type="none"/>
              </v:shape>
            </w:pict>
          </mc:Fallback>
        </mc:AlternateContent>
      </w:r>
      <w:r>
        <w:rPr>
          <w:b/>
          <w:sz w:val="20"/>
        </w:rPr>
        <w:t>Table</w:t>
      </w:r>
      <w:r>
        <w:rPr>
          <w:spacing w:val="-9"/>
          <w:sz w:val="20"/>
        </w:rPr>
        <w:t> </w:t>
      </w:r>
      <w:r>
        <w:rPr>
          <w:b/>
          <w:sz w:val="20"/>
        </w:rPr>
        <w:t>8.</w:t>
      </w:r>
      <w:r>
        <w:rPr>
          <w:spacing w:val="-7"/>
          <w:sz w:val="20"/>
        </w:rPr>
        <w:t> </w:t>
      </w:r>
      <w:r>
        <w:rPr>
          <w:b/>
          <w:sz w:val="20"/>
        </w:rPr>
        <w:t>Producers</w:t>
      </w:r>
      <w:r>
        <w:rPr>
          <w:spacing w:val="-9"/>
          <w:sz w:val="20"/>
        </w:rPr>
        <w:t> </w:t>
      </w:r>
      <w:r>
        <w:rPr>
          <w:b/>
          <w:sz w:val="20"/>
        </w:rPr>
        <w:t>by</w:t>
      </w:r>
      <w:r>
        <w:rPr>
          <w:spacing w:val="-7"/>
          <w:sz w:val="20"/>
        </w:rPr>
        <w:t> </w:t>
      </w:r>
      <w:r>
        <w:rPr>
          <w:b/>
          <w:sz w:val="20"/>
        </w:rPr>
        <w:t>demographic</w:t>
      </w:r>
      <w:r>
        <w:rPr>
          <w:spacing w:val="-8"/>
          <w:sz w:val="20"/>
        </w:rPr>
        <w:t> </w:t>
      </w:r>
      <w:r>
        <w:rPr>
          <w:b/>
          <w:sz w:val="20"/>
        </w:rPr>
        <w:t>characteristics</w:t>
      </w:r>
      <w:r>
        <w:rPr>
          <w:spacing w:val="-9"/>
          <w:sz w:val="20"/>
        </w:rPr>
        <w:t> </w:t>
      </w:r>
      <w:r>
        <w:rPr>
          <w:b/>
          <w:sz w:val="20"/>
        </w:rPr>
        <w:t>across</w:t>
      </w:r>
      <w:r>
        <w:rPr>
          <w:spacing w:val="-6"/>
          <w:sz w:val="20"/>
        </w:rPr>
        <w:t> </w:t>
      </w:r>
      <w:r>
        <w:rPr>
          <w:b/>
          <w:sz w:val="20"/>
        </w:rPr>
        <w:t>marketing</w:t>
      </w:r>
      <w:r>
        <w:rPr>
          <w:spacing w:val="-8"/>
          <w:sz w:val="20"/>
        </w:rPr>
        <w:t> </w:t>
      </w:r>
      <w:r>
        <w:rPr>
          <w:b/>
          <w:spacing w:val="-2"/>
          <w:sz w:val="20"/>
        </w:rPr>
        <w:t>outlets</w:t>
      </w:r>
    </w:p>
    <w:p>
      <w:pPr>
        <w:spacing w:after="0"/>
        <w:jc w:val="both"/>
        <w:rPr>
          <w:sz w:val="20"/>
        </w:rPr>
        <w:sectPr>
          <w:pgSz w:w="11900" w:h="16840"/>
          <w:pgMar w:header="846" w:footer="819" w:top="1640" w:bottom="1000" w:left="1180" w:right="1180"/>
        </w:sectPr>
      </w:pPr>
    </w:p>
    <w:p>
      <w:pPr>
        <w:pStyle w:val="BodyText"/>
        <w:spacing w:before="29"/>
        <w:ind w:left="0"/>
        <w:jc w:val="left"/>
        <w:rPr>
          <w:b/>
        </w:rPr>
      </w:pPr>
    </w:p>
    <w:p>
      <w:pPr>
        <w:spacing w:before="0"/>
        <w:ind w:left="240" w:right="0" w:firstLine="0"/>
        <w:jc w:val="left"/>
        <w:rPr>
          <w:b/>
          <w:sz w:val="20"/>
        </w:rPr>
      </w:pPr>
      <w:r>
        <w:rPr>
          <w:b/>
          <w:spacing w:val="-2"/>
          <w:sz w:val="20"/>
        </w:rPr>
        <w:t>Variables</w:t>
      </w:r>
    </w:p>
    <w:p>
      <w:pPr>
        <w:spacing w:before="29"/>
        <w:ind w:left="427" w:right="38" w:hanging="188"/>
        <w:jc w:val="left"/>
        <w:rPr>
          <w:b/>
          <w:sz w:val="20"/>
        </w:rPr>
      </w:pPr>
      <w:r>
        <w:rPr/>
        <w:br w:type="column"/>
      </w:r>
      <w:r>
        <w:rPr>
          <w:b/>
          <w:spacing w:val="-2"/>
          <w:sz w:val="20"/>
        </w:rPr>
        <w:t>Wholesaler</w:t>
      </w:r>
      <w:r>
        <w:rPr>
          <w:spacing w:val="-2"/>
          <w:sz w:val="20"/>
        </w:rPr>
        <w:t> </w:t>
      </w:r>
      <w:r>
        <w:rPr>
          <w:b/>
          <w:spacing w:val="-2"/>
          <w:sz w:val="20"/>
        </w:rPr>
        <w:t>(N=44)</w:t>
      </w:r>
    </w:p>
    <w:p>
      <w:pPr>
        <w:spacing w:before="29"/>
        <w:ind w:left="442" w:right="38" w:hanging="202"/>
        <w:jc w:val="left"/>
        <w:rPr>
          <w:b/>
          <w:sz w:val="20"/>
        </w:rPr>
      </w:pPr>
      <w:r>
        <w:rPr/>
        <w:br w:type="column"/>
      </w:r>
      <w:r>
        <w:rPr>
          <w:b/>
          <w:spacing w:val="-2"/>
          <w:sz w:val="20"/>
        </w:rPr>
        <w:t>Cooperative</w:t>
      </w:r>
      <w:r>
        <w:rPr>
          <w:spacing w:val="-2"/>
          <w:sz w:val="20"/>
        </w:rPr>
        <w:t> </w:t>
      </w:r>
      <w:r>
        <w:rPr>
          <w:b/>
          <w:sz w:val="20"/>
        </w:rPr>
        <w:t>(N=</w:t>
      </w:r>
      <w:r>
        <w:rPr>
          <w:sz w:val="20"/>
        </w:rPr>
        <w:t> </w:t>
      </w:r>
      <w:r>
        <w:rPr>
          <w:b/>
          <w:sz w:val="20"/>
        </w:rPr>
        <w:t>43)</w:t>
      </w:r>
    </w:p>
    <w:p>
      <w:pPr>
        <w:spacing w:before="29"/>
        <w:ind w:left="264" w:right="2522" w:hanging="24"/>
        <w:jc w:val="left"/>
        <w:rPr>
          <w:b/>
          <w:sz w:val="20"/>
        </w:rPr>
      </w:pPr>
      <w:r>
        <w:rPr/>
        <w:br w:type="column"/>
      </w:r>
      <w:r>
        <w:rPr>
          <w:b/>
          <w:spacing w:val="-2"/>
          <w:sz w:val="20"/>
        </w:rPr>
        <w:t>Collector</w:t>
      </w:r>
      <w:r>
        <w:rPr>
          <w:spacing w:val="-2"/>
          <w:sz w:val="20"/>
        </w:rPr>
        <w:t> </w:t>
      </w:r>
      <w:r>
        <w:rPr>
          <w:b/>
          <w:sz w:val="20"/>
        </w:rPr>
        <w:t>(N=</w:t>
      </w:r>
      <w:r>
        <w:rPr>
          <w:spacing w:val="-3"/>
          <w:sz w:val="20"/>
        </w:rPr>
        <w:t> </w:t>
      </w:r>
      <w:r>
        <w:rPr>
          <w:b/>
          <w:sz w:val="20"/>
        </w:rPr>
        <w:t>40</w:t>
      </w:r>
      <w:r>
        <w:rPr>
          <w:spacing w:val="49"/>
          <w:sz w:val="20"/>
        </w:rPr>
        <w:t> </w:t>
      </w:r>
      <w:r>
        <w:rPr>
          <w:b/>
          <w:spacing w:val="-10"/>
          <w:sz w:val="20"/>
        </w:rPr>
        <w:t>)</w:t>
      </w:r>
    </w:p>
    <w:p>
      <w:pPr>
        <w:spacing w:after="0"/>
        <w:jc w:val="left"/>
        <w:rPr>
          <w:sz w:val="20"/>
        </w:rPr>
        <w:sectPr>
          <w:type w:val="continuous"/>
          <w:pgSz w:w="11900" w:h="16840"/>
          <w:pgMar w:header="846" w:footer="819" w:top="1640" w:bottom="1000" w:left="1180" w:right="1180"/>
          <w:cols w:num="4" w:equalWidth="0">
            <w:col w:w="1103" w:space="613"/>
            <w:col w:w="1246" w:space="758"/>
            <w:col w:w="1327" w:space="938"/>
            <w:col w:w="3555"/>
          </w:cols>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8"/>
        <w:gridCol w:w="1235"/>
        <w:gridCol w:w="1001"/>
        <w:gridCol w:w="1059"/>
        <w:gridCol w:w="1021"/>
        <w:gridCol w:w="1111"/>
        <w:gridCol w:w="1179"/>
        <w:gridCol w:w="1615"/>
      </w:tblGrid>
      <w:tr>
        <w:trPr>
          <w:trHeight w:val="220" w:hRule="atLeast"/>
        </w:trPr>
        <w:tc>
          <w:tcPr>
            <w:tcW w:w="1078" w:type="dxa"/>
            <w:tcBorders>
              <w:bottom w:val="double" w:sz="4" w:space="0" w:color="000000"/>
            </w:tcBorders>
          </w:tcPr>
          <w:p>
            <w:pPr>
              <w:pStyle w:val="TableParagraph"/>
              <w:spacing w:line="240" w:lineRule="auto"/>
              <w:jc w:val="left"/>
              <w:rPr>
                <w:sz w:val="14"/>
              </w:rPr>
            </w:pPr>
          </w:p>
        </w:tc>
        <w:tc>
          <w:tcPr>
            <w:tcW w:w="1235" w:type="dxa"/>
            <w:tcBorders>
              <w:bottom w:val="double" w:sz="4" w:space="0" w:color="000000"/>
            </w:tcBorders>
          </w:tcPr>
          <w:p>
            <w:pPr>
              <w:pStyle w:val="TableParagraph"/>
              <w:spacing w:line="200" w:lineRule="exact"/>
              <w:ind w:left="214"/>
              <w:rPr>
                <w:b/>
                <w:sz w:val="20"/>
              </w:rPr>
            </w:pPr>
            <w:r>
              <w:rPr>
                <w:b/>
                <w:spacing w:val="-4"/>
                <w:sz w:val="20"/>
              </w:rPr>
              <w:t>Mean</w:t>
            </w:r>
          </w:p>
        </w:tc>
        <w:tc>
          <w:tcPr>
            <w:tcW w:w="1001" w:type="dxa"/>
            <w:tcBorders>
              <w:bottom w:val="double" w:sz="4" w:space="0" w:color="000000"/>
            </w:tcBorders>
          </w:tcPr>
          <w:p>
            <w:pPr>
              <w:pStyle w:val="TableParagraph"/>
              <w:spacing w:line="200" w:lineRule="exact"/>
              <w:ind w:right="18"/>
              <w:rPr>
                <w:b/>
                <w:sz w:val="20"/>
              </w:rPr>
            </w:pPr>
            <w:r>
              <w:rPr>
                <w:b/>
                <w:spacing w:val="-5"/>
                <w:sz w:val="20"/>
              </w:rPr>
              <w:t>SD</w:t>
            </w:r>
          </w:p>
        </w:tc>
        <w:tc>
          <w:tcPr>
            <w:tcW w:w="1059" w:type="dxa"/>
            <w:tcBorders>
              <w:bottom w:val="double" w:sz="4" w:space="0" w:color="000000"/>
            </w:tcBorders>
          </w:tcPr>
          <w:p>
            <w:pPr>
              <w:pStyle w:val="TableParagraph"/>
              <w:spacing w:line="200" w:lineRule="exact"/>
              <w:ind w:right="1"/>
              <w:rPr>
                <w:b/>
                <w:sz w:val="20"/>
              </w:rPr>
            </w:pPr>
            <w:r>
              <w:rPr>
                <w:b/>
                <w:spacing w:val="-4"/>
                <w:sz w:val="20"/>
              </w:rPr>
              <w:t>Mean</w:t>
            </w:r>
          </w:p>
        </w:tc>
        <w:tc>
          <w:tcPr>
            <w:tcW w:w="1021" w:type="dxa"/>
            <w:tcBorders>
              <w:bottom w:val="double" w:sz="4" w:space="0" w:color="000000"/>
            </w:tcBorders>
          </w:tcPr>
          <w:p>
            <w:pPr>
              <w:pStyle w:val="TableParagraph"/>
              <w:spacing w:line="200" w:lineRule="exact"/>
              <w:ind w:left="2" w:right="2"/>
              <w:rPr>
                <w:b/>
                <w:sz w:val="20"/>
              </w:rPr>
            </w:pPr>
            <w:r>
              <w:rPr>
                <w:b/>
                <w:spacing w:val="-5"/>
                <w:sz w:val="20"/>
              </w:rPr>
              <w:t>SD</w:t>
            </w:r>
          </w:p>
        </w:tc>
        <w:tc>
          <w:tcPr>
            <w:tcW w:w="1111" w:type="dxa"/>
            <w:tcBorders>
              <w:bottom w:val="double" w:sz="4" w:space="0" w:color="000000"/>
            </w:tcBorders>
          </w:tcPr>
          <w:p>
            <w:pPr>
              <w:pStyle w:val="TableParagraph"/>
              <w:spacing w:line="200" w:lineRule="exact"/>
              <w:ind w:right="50"/>
              <w:rPr>
                <w:b/>
                <w:sz w:val="20"/>
              </w:rPr>
            </w:pPr>
            <w:r>
              <w:rPr>
                <w:b/>
                <w:spacing w:val="-4"/>
                <w:sz w:val="20"/>
              </w:rPr>
              <w:t>Mean</w:t>
            </w:r>
          </w:p>
        </w:tc>
        <w:tc>
          <w:tcPr>
            <w:tcW w:w="1179" w:type="dxa"/>
            <w:tcBorders>
              <w:bottom w:val="double" w:sz="4" w:space="0" w:color="000000"/>
            </w:tcBorders>
          </w:tcPr>
          <w:p>
            <w:pPr>
              <w:pStyle w:val="TableParagraph"/>
              <w:spacing w:line="200" w:lineRule="exact"/>
              <w:ind w:left="387"/>
              <w:jc w:val="left"/>
              <w:rPr>
                <w:b/>
                <w:sz w:val="20"/>
              </w:rPr>
            </w:pPr>
            <w:r>
              <w:rPr>
                <w:b/>
                <w:spacing w:val="-5"/>
                <w:sz w:val="20"/>
              </w:rPr>
              <w:t>SD</w:t>
            </w:r>
          </w:p>
        </w:tc>
        <w:tc>
          <w:tcPr>
            <w:tcW w:w="1615" w:type="dxa"/>
            <w:tcBorders>
              <w:bottom w:val="double" w:sz="4" w:space="0" w:color="000000"/>
            </w:tcBorders>
          </w:tcPr>
          <w:p>
            <w:pPr>
              <w:pStyle w:val="TableParagraph"/>
              <w:spacing w:line="200" w:lineRule="exact"/>
              <w:ind w:right="602"/>
              <w:jc w:val="right"/>
              <w:rPr>
                <w:b/>
                <w:sz w:val="20"/>
              </w:rPr>
            </w:pPr>
            <w:r>
              <w:rPr>
                <w:b/>
                <w:spacing w:val="-2"/>
                <w:sz w:val="20"/>
              </w:rPr>
              <w:t>F-</w:t>
            </w:r>
            <w:r>
              <w:rPr>
                <w:b/>
                <w:spacing w:val="-4"/>
                <w:sz w:val="20"/>
              </w:rPr>
              <w:t>test</w:t>
            </w:r>
          </w:p>
        </w:tc>
      </w:tr>
      <w:tr>
        <w:trPr>
          <w:trHeight w:val="229" w:hRule="atLeast"/>
        </w:trPr>
        <w:tc>
          <w:tcPr>
            <w:tcW w:w="1078" w:type="dxa"/>
            <w:tcBorders>
              <w:top w:val="double" w:sz="4" w:space="0" w:color="000000"/>
            </w:tcBorders>
          </w:tcPr>
          <w:p>
            <w:pPr>
              <w:pStyle w:val="TableParagraph"/>
              <w:ind w:left="122"/>
              <w:jc w:val="left"/>
              <w:rPr>
                <w:sz w:val="20"/>
              </w:rPr>
            </w:pPr>
            <w:r>
              <w:rPr>
                <w:spacing w:val="-5"/>
                <w:sz w:val="20"/>
              </w:rPr>
              <w:t>Age</w:t>
            </w:r>
          </w:p>
        </w:tc>
        <w:tc>
          <w:tcPr>
            <w:tcW w:w="1235" w:type="dxa"/>
            <w:tcBorders>
              <w:top w:val="double" w:sz="4" w:space="0" w:color="000000"/>
            </w:tcBorders>
          </w:tcPr>
          <w:p>
            <w:pPr>
              <w:pStyle w:val="TableParagraph"/>
              <w:ind w:left="214"/>
              <w:rPr>
                <w:sz w:val="20"/>
              </w:rPr>
            </w:pPr>
            <w:r>
              <w:rPr>
                <w:spacing w:val="-2"/>
                <w:sz w:val="20"/>
              </w:rPr>
              <w:t>44.38</w:t>
            </w:r>
          </w:p>
        </w:tc>
        <w:tc>
          <w:tcPr>
            <w:tcW w:w="1001" w:type="dxa"/>
            <w:tcBorders>
              <w:top w:val="double" w:sz="4" w:space="0" w:color="000000"/>
            </w:tcBorders>
          </w:tcPr>
          <w:p>
            <w:pPr>
              <w:pStyle w:val="TableParagraph"/>
              <w:ind w:left="1" w:right="18"/>
              <w:rPr>
                <w:sz w:val="20"/>
              </w:rPr>
            </w:pPr>
            <w:r>
              <w:rPr>
                <w:spacing w:val="-2"/>
                <w:sz w:val="20"/>
              </w:rPr>
              <w:t>10.78</w:t>
            </w:r>
          </w:p>
        </w:tc>
        <w:tc>
          <w:tcPr>
            <w:tcW w:w="1059" w:type="dxa"/>
            <w:tcBorders>
              <w:top w:val="double" w:sz="4" w:space="0" w:color="000000"/>
            </w:tcBorders>
          </w:tcPr>
          <w:p>
            <w:pPr>
              <w:pStyle w:val="TableParagraph"/>
              <w:ind w:right="1"/>
              <w:rPr>
                <w:sz w:val="20"/>
              </w:rPr>
            </w:pPr>
            <w:r>
              <w:rPr>
                <w:spacing w:val="-2"/>
                <w:sz w:val="20"/>
              </w:rPr>
              <w:t>46.21</w:t>
            </w:r>
          </w:p>
        </w:tc>
        <w:tc>
          <w:tcPr>
            <w:tcW w:w="1021" w:type="dxa"/>
            <w:tcBorders>
              <w:top w:val="double" w:sz="4" w:space="0" w:color="000000"/>
            </w:tcBorders>
          </w:tcPr>
          <w:p>
            <w:pPr>
              <w:pStyle w:val="TableParagraph"/>
              <w:ind w:left="2"/>
              <w:rPr>
                <w:sz w:val="20"/>
              </w:rPr>
            </w:pPr>
            <w:r>
              <w:rPr>
                <w:spacing w:val="-2"/>
                <w:sz w:val="20"/>
              </w:rPr>
              <w:t>10.59</w:t>
            </w:r>
          </w:p>
        </w:tc>
        <w:tc>
          <w:tcPr>
            <w:tcW w:w="1111" w:type="dxa"/>
            <w:tcBorders>
              <w:top w:val="double" w:sz="4" w:space="0" w:color="000000"/>
            </w:tcBorders>
          </w:tcPr>
          <w:p>
            <w:pPr>
              <w:pStyle w:val="TableParagraph"/>
              <w:ind w:left="1" w:right="50"/>
              <w:rPr>
                <w:sz w:val="20"/>
              </w:rPr>
            </w:pPr>
            <w:r>
              <w:rPr>
                <w:spacing w:val="-2"/>
                <w:sz w:val="20"/>
              </w:rPr>
              <w:t>41.05</w:t>
            </w:r>
          </w:p>
        </w:tc>
        <w:tc>
          <w:tcPr>
            <w:tcW w:w="1179" w:type="dxa"/>
            <w:tcBorders>
              <w:top w:val="double" w:sz="4" w:space="0" w:color="000000"/>
            </w:tcBorders>
          </w:tcPr>
          <w:p>
            <w:pPr>
              <w:pStyle w:val="TableParagraph"/>
              <w:ind w:left="339"/>
              <w:jc w:val="left"/>
              <w:rPr>
                <w:sz w:val="20"/>
              </w:rPr>
            </w:pPr>
            <w:r>
              <w:rPr>
                <w:spacing w:val="-4"/>
                <w:sz w:val="20"/>
              </w:rPr>
              <w:t>7.51</w:t>
            </w:r>
          </w:p>
        </w:tc>
        <w:tc>
          <w:tcPr>
            <w:tcW w:w="1615" w:type="dxa"/>
            <w:tcBorders>
              <w:top w:val="double" w:sz="4" w:space="0" w:color="000000"/>
            </w:tcBorders>
          </w:tcPr>
          <w:p>
            <w:pPr>
              <w:pStyle w:val="TableParagraph"/>
              <w:ind w:right="567"/>
              <w:jc w:val="right"/>
              <w:rPr>
                <w:sz w:val="20"/>
              </w:rPr>
            </w:pPr>
            <w:r>
              <w:rPr>
                <w:spacing w:val="-2"/>
                <w:sz w:val="20"/>
              </w:rPr>
              <w:t>0.093*</w:t>
            </w:r>
          </w:p>
        </w:tc>
      </w:tr>
      <w:tr>
        <w:trPr>
          <w:trHeight w:val="230" w:hRule="atLeast"/>
        </w:trPr>
        <w:tc>
          <w:tcPr>
            <w:tcW w:w="1078" w:type="dxa"/>
          </w:tcPr>
          <w:p>
            <w:pPr>
              <w:pStyle w:val="TableParagraph"/>
              <w:ind w:left="122"/>
              <w:jc w:val="left"/>
              <w:rPr>
                <w:sz w:val="20"/>
              </w:rPr>
            </w:pPr>
            <w:r>
              <w:rPr>
                <w:spacing w:val="-4"/>
                <w:sz w:val="20"/>
              </w:rPr>
              <w:t>Land</w:t>
            </w:r>
          </w:p>
        </w:tc>
        <w:tc>
          <w:tcPr>
            <w:tcW w:w="1235" w:type="dxa"/>
          </w:tcPr>
          <w:p>
            <w:pPr>
              <w:pStyle w:val="TableParagraph"/>
              <w:ind w:left="214"/>
              <w:rPr>
                <w:sz w:val="20"/>
              </w:rPr>
            </w:pPr>
            <w:r>
              <w:rPr>
                <w:spacing w:val="-4"/>
                <w:sz w:val="20"/>
              </w:rPr>
              <w:t>3.01</w:t>
            </w:r>
          </w:p>
        </w:tc>
        <w:tc>
          <w:tcPr>
            <w:tcW w:w="1001" w:type="dxa"/>
          </w:tcPr>
          <w:p>
            <w:pPr>
              <w:pStyle w:val="TableParagraph"/>
              <w:ind w:left="1" w:right="18"/>
              <w:rPr>
                <w:sz w:val="20"/>
              </w:rPr>
            </w:pPr>
            <w:r>
              <w:rPr>
                <w:spacing w:val="-4"/>
                <w:sz w:val="20"/>
              </w:rPr>
              <w:t>1.49</w:t>
            </w:r>
          </w:p>
        </w:tc>
        <w:tc>
          <w:tcPr>
            <w:tcW w:w="1059" w:type="dxa"/>
          </w:tcPr>
          <w:p>
            <w:pPr>
              <w:pStyle w:val="TableParagraph"/>
              <w:ind w:right="1"/>
              <w:rPr>
                <w:sz w:val="20"/>
              </w:rPr>
            </w:pPr>
            <w:r>
              <w:rPr>
                <w:spacing w:val="-4"/>
                <w:sz w:val="20"/>
              </w:rPr>
              <w:t>2.31</w:t>
            </w:r>
          </w:p>
        </w:tc>
        <w:tc>
          <w:tcPr>
            <w:tcW w:w="1021" w:type="dxa"/>
          </w:tcPr>
          <w:p>
            <w:pPr>
              <w:pStyle w:val="TableParagraph"/>
              <w:ind w:left="2"/>
              <w:rPr>
                <w:sz w:val="20"/>
              </w:rPr>
            </w:pPr>
            <w:r>
              <w:rPr>
                <w:spacing w:val="-4"/>
                <w:sz w:val="20"/>
              </w:rPr>
              <w:t>1.33</w:t>
            </w:r>
          </w:p>
        </w:tc>
        <w:tc>
          <w:tcPr>
            <w:tcW w:w="1111" w:type="dxa"/>
          </w:tcPr>
          <w:p>
            <w:pPr>
              <w:pStyle w:val="TableParagraph"/>
              <w:ind w:left="1" w:right="50"/>
              <w:rPr>
                <w:sz w:val="20"/>
              </w:rPr>
            </w:pPr>
            <w:r>
              <w:rPr>
                <w:spacing w:val="-4"/>
                <w:sz w:val="20"/>
              </w:rPr>
              <w:t>2.00</w:t>
            </w:r>
          </w:p>
        </w:tc>
        <w:tc>
          <w:tcPr>
            <w:tcW w:w="1179" w:type="dxa"/>
          </w:tcPr>
          <w:p>
            <w:pPr>
              <w:pStyle w:val="TableParagraph"/>
              <w:ind w:left="339"/>
              <w:jc w:val="left"/>
              <w:rPr>
                <w:sz w:val="20"/>
              </w:rPr>
            </w:pPr>
            <w:r>
              <w:rPr>
                <w:spacing w:val="-4"/>
                <w:sz w:val="20"/>
              </w:rPr>
              <w:t>0.86</w:t>
            </w:r>
          </w:p>
        </w:tc>
        <w:tc>
          <w:tcPr>
            <w:tcW w:w="1615" w:type="dxa"/>
          </w:tcPr>
          <w:p>
            <w:pPr>
              <w:pStyle w:val="TableParagraph"/>
              <w:ind w:right="619"/>
              <w:jc w:val="right"/>
              <w:rPr>
                <w:sz w:val="20"/>
              </w:rPr>
            </w:pPr>
            <w:r>
              <w:rPr>
                <w:spacing w:val="-2"/>
                <w:sz w:val="20"/>
              </w:rPr>
              <w:t>0.038</w:t>
            </w:r>
          </w:p>
        </w:tc>
      </w:tr>
      <w:tr>
        <w:trPr>
          <w:trHeight w:val="229" w:hRule="atLeast"/>
        </w:trPr>
        <w:tc>
          <w:tcPr>
            <w:tcW w:w="1078" w:type="dxa"/>
          </w:tcPr>
          <w:p>
            <w:pPr>
              <w:pStyle w:val="TableParagraph"/>
              <w:spacing w:line="209" w:lineRule="exact"/>
              <w:ind w:left="122"/>
              <w:jc w:val="left"/>
              <w:rPr>
                <w:sz w:val="20"/>
              </w:rPr>
            </w:pPr>
            <w:r>
              <w:rPr>
                <w:spacing w:val="-4"/>
                <w:sz w:val="20"/>
              </w:rPr>
              <w:t>DMkt</w:t>
            </w:r>
          </w:p>
        </w:tc>
        <w:tc>
          <w:tcPr>
            <w:tcW w:w="1235" w:type="dxa"/>
          </w:tcPr>
          <w:p>
            <w:pPr>
              <w:pStyle w:val="TableParagraph"/>
              <w:spacing w:line="209" w:lineRule="exact"/>
              <w:ind w:left="214"/>
              <w:rPr>
                <w:sz w:val="20"/>
              </w:rPr>
            </w:pPr>
            <w:r>
              <w:rPr>
                <w:spacing w:val="-2"/>
                <w:sz w:val="20"/>
              </w:rPr>
              <w:t>23.25</w:t>
            </w:r>
          </w:p>
        </w:tc>
        <w:tc>
          <w:tcPr>
            <w:tcW w:w="1001" w:type="dxa"/>
          </w:tcPr>
          <w:p>
            <w:pPr>
              <w:pStyle w:val="TableParagraph"/>
              <w:spacing w:line="209" w:lineRule="exact"/>
              <w:ind w:left="1" w:right="18"/>
              <w:rPr>
                <w:sz w:val="20"/>
              </w:rPr>
            </w:pPr>
            <w:r>
              <w:rPr>
                <w:spacing w:val="-2"/>
                <w:sz w:val="20"/>
              </w:rPr>
              <w:t>11.22</w:t>
            </w:r>
          </w:p>
        </w:tc>
        <w:tc>
          <w:tcPr>
            <w:tcW w:w="1059" w:type="dxa"/>
          </w:tcPr>
          <w:p>
            <w:pPr>
              <w:pStyle w:val="TableParagraph"/>
              <w:spacing w:line="209" w:lineRule="exact"/>
              <w:ind w:right="1"/>
              <w:rPr>
                <w:sz w:val="20"/>
              </w:rPr>
            </w:pPr>
            <w:r>
              <w:rPr>
                <w:spacing w:val="-2"/>
                <w:sz w:val="20"/>
              </w:rPr>
              <w:t>25.74</w:t>
            </w:r>
          </w:p>
        </w:tc>
        <w:tc>
          <w:tcPr>
            <w:tcW w:w="1021" w:type="dxa"/>
          </w:tcPr>
          <w:p>
            <w:pPr>
              <w:pStyle w:val="TableParagraph"/>
              <w:spacing w:line="209" w:lineRule="exact"/>
              <w:ind w:left="2"/>
              <w:rPr>
                <w:sz w:val="20"/>
              </w:rPr>
            </w:pPr>
            <w:r>
              <w:rPr>
                <w:spacing w:val="-2"/>
                <w:sz w:val="20"/>
              </w:rPr>
              <w:t>10.62</w:t>
            </w:r>
          </w:p>
        </w:tc>
        <w:tc>
          <w:tcPr>
            <w:tcW w:w="1111" w:type="dxa"/>
          </w:tcPr>
          <w:p>
            <w:pPr>
              <w:pStyle w:val="TableParagraph"/>
              <w:spacing w:line="209" w:lineRule="exact"/>
              <w:ind w:left="1" w:right="50"/>
              <w:rPr>
                <w:sz w:val="20"/>
              </w:rPr>
            </w:pPr>
            <w:r>
              <w:rPr>
                <w:spacing w:val="-2"/>
                <w:sz w:val="20"/>
              </w:rPr>
              <w:t>22.12</w:t>
            </w:r>
          </w:p>
        </w:tc>
        <w:tc>
          <w:tcPr>
            <w:tcW w:w="1179" w:type="dxa"/>
          </w:tcPr>
          <w:p>
            <w:pPr>
              <w:pStyle w:val="TableParagraph"/>
              <w:spacing w:line="209" w:lineRule="exact"/>
              <w:ind w:left="339"/>
              <w:jc w:val="left"/>
              <w:rPr>
                <w:sz w:val="20"/>
              </w:rPr>
            </w:pPr>
            <w:r>
              <w:rPr>
                <w:spacing w:val="-4"/>
                <w:sz w:val="20"/>
              </w:rPr>
              <w:t>9.26</w:t>
            </w:r>
          </w:p>
        </w:tc>
        <w:tc>
          <w:tcPr>
            <w:tcW w:w="1615" w:type="dxa"/>
          </w:tcPr>
          <w:p>
            <w:pPr>
              <w:pStyle w:val="TableParagraph"/>
              <w:spacing w:line="209" w:lineRule="exact"/>
              <w:ind w:right="619"/>
              <w:jc w:val="right"/>
              <w:rPr>
                <w:sz w:val="20"/>
              </w:rPr>
            </w:pPr>
            <w:r>
              <w:rPr>
                <w:spacing w:val="-2"/>
                <w:sz w:val="20"/>
              </w:rPr>
              <w:t>0.803</w:t>
            </w:r>
          </w:p>
        </w:tc>
      </w:tr>
      <w:tr>
        <w:trPr>
          <w:trHeight w:val="233" w:hRule="atLeast"/>
        </w:trPr>
        <w:tc>
          <w:tcPr>
            <w:tcW w:w="1078" w:type="dxa"/>
            <w:tcBorders>
              <w:bottom w:val="double" w:sz="4" w:space="0" w:color="000000"/>
            </w:tcBorders>
          </w:tcPr>
          <w:p>
            <w:pPr>
              <w:pStyle w:val="TableParagraph"/>
              <w:spacing w:line="213" w:lineRule="exact"/>
              <w:ind w:left="122"/>
              <w:jc w:val="left"/>
              <w:rPr>
                <w:sz w:val="20"/>
              </w:rPr>
            </w:pPr>
            <w:r>
              <w:rPr>
                <w:spacing w:val="-2"/>
                <w:sz w:val="20"/>
              </w:rPr>
              <w:t>Price</w:t>
            </w:r>
          </w:p>
        </w:tc>
        <w:tc>
          <w:tcPr>
            <w:tcW w:w="1235" w:type="dxa"/>
            <w:tcBorders>
              <w:bottom w:val="double" w:sz="4" w:space="0" w:color="000000"/>
            </w:tcBorders>
          </w:tcPr>
          <w:p>
            <w:pPr>
              <w:pStyle w:val="TableParagraph"/>
              <w:spacing w:line="213" w:lineRule="exact"/>
              <w:ind w:left="214"/>
              <w:rPr>
                <w:sz w:val="20"/>
              </w:rPr>
            </w:pPr>
            <w:r>
              <w:rPr>
                <w:spacing w:val="-2"/>
                <w:sz w:val="20"/>
              </w:rPr>
              <w:t>31.93</w:t>
            </w:r>
          </w:p>
        </w:tc>
        <w:tc>
          <w:tcPr>
            <w:tcW w:w="1001" w:type="dxa"/>
            <w:tcBorders>
              <w:bottom w:val="double" w:sz="4" w:space="0" w:color="000000"/>
            </w:tcBorders>
          </w:tcPr>
          <w:p>
            <w:pPr>
              <w:pStyle w:val="TableParagraph"/>
              <w:spacing w:line="213" w:lineRule="exact"/>
              <w:ind w:left="1" w:right="18"/>
              <w:rPr>
                <w:sz w:val="20"/>
              </w:rPr>
            </w:pPr>
            <w:r>
              <w:rPr>
                <w:spacing w:val="-4"/>
                <w:sz w:val="20"/>
              </w:rPr>
              <w:t>4.89</w:t>
            </w:r>
          </w:p>
        </w:tc>
        <w:tc>
          <w:tcPr>
            <w:tcW w:w="1059" w:type="dxa"/>
            <w:tcBorders>
              <w:bottom w:val="double" w:sz="4" w:space="0" w:color="000000"/>
            </w:tcBorders>
          </w:tcPr>
          <w:p>
            <w:pPr>
              <w:pStyle w:val="TableParagraph"/>
              <w:spacing w:line="213" w:lineRule="exact"/>
              <w:ind w:right="1"/>
              <w:rPr>
                <w:sz w:val="20"/>
              </w:rPr>
            </w:pPr>
            <w:r>
              <w:rPr>
                <w:spacing w:val="-2"/>
                <w:sz w:val="20"/>
              </w:rPr>
              <w:t>30.53</w:t>
            </w:r>
          </w:p>
        </w:tc>
        <w:tc>
          <w:tcPr>
            <w:tcW w:w="1021" w:type="dxa"/>
            <w:tcBorders>
              <w:bottom w:val="double" w:sz="4" w:space="0" w:color="000000"/>
            </w:tcBorders>
          </w:tcPr>
          <w:p>
            <w:pPr>
              <w:pStyle w:val="TableParagraph"/>
              <w:spacing w:line="213" w:lineRule="exact"/>
              <w:ind w:left="2"/>
              <w:rPr>
                <w:sz w:val="20"/>
              </w:rPr>
            </w:pPr>
            <w:r>
              <w:rPr>
                <w:spacing w:val="-4"/>
                <w:sz w:val="20"/>
              </w:rPr>
              <w:t>4.67</w:t>
            </w:r>
          </w:p>
        </w:tc>
        <w:tc>
          <w:tcPr>
            <w:tcW w:w="1111" w:type="dxa"/>
            <w:tcBorders>
              <w:bottom w:val="double" w:sz="4" w:space="0" w:color="000000"/>
            </w:tcBorders>
          </w:tcPr>
          <w:p>
            <w:pPr>
              <w:pStyle w:val="TableParagraph"/>
              <w:spacing w:line="213" w:lineRule="exact"/>
              <w:ind w:left="1" w:right="50"/>
              <w:rPr>
                <w:sz w:val="20"/>
              </w:rPr>
            </w:pPr>
            <w:r>
              <w:rPr>
                <w:spacing w:val="-2"/>
                <w:sz w:val="20"/>
              </w:rPr>
              <w:t>27.80</w:t>
            </w:r>
          </w:p>
        </w:tc>
        <w:tc>
          <w:tcPr>
            <w:tcW w:w="1179" w:type="dxa"/>
            <w:tcBorders>
              <w:bottom w:val="double" w:sz="4" w:space="0" w:color="000000"/>
            </w:tcBorders>
          </w:tcPr>
          <w:p>
            <w:pPr>
              <w:pStyle w:val="TableParagraph"/>
              <w:spacing w:line="213" w:lineRule="exact"/>
              <w:ind w:left="339"/>
              <w:jc w:val="left"/>
              <w:rPr>
                <w:sz w:val="20"/>
              </w:rPr>
            </w:pPr>
            <w:r>
              <w:rPr>
                <w:spacing w:val="-4"/>
                <w:sz w:val="20"/>
              </w:rPr>
              <w:t>4.61</w:t>
            </w:r>
          </w:p>
        </w:tc>
        <w:tc>
          <w:tcPr>
            <w:tcW w:w="1615" w:type="dxa"/>
            <w:tcBorders>
              <w:bottom w:val="double" w:sz="4" w:space="0" w:color="000000"/>
            </w:tcBorders>
          </w:tcPr>
          <w:p>
            <w:pPr>
              <w:pStyle w:val="TableParagraph"/>
              <w:spacing w:line="213" w:lineRule="exact"/>
              <w:ind w:right="619"/>
              <w:jc w:val="right"/>
              <w:rPr>
                <w:sz w:val="20"/>
              </w:rPr>
            </w:pPr>
            <w:r>
              <w:rPr>
                <w:spacing w:val="-2"/>
                <w:sz w:val="20"/>
              </w:rPr>
              <w:t>0.053</w:t>
            </w:r>
          </w:p>
        </w:tc>
      </w:tr>
    </w:tbl>
    <w:p>
      <w:pPr>
        <w:pStyle w:val="Heading3"/>
        <w:spacing w:before="9"/>
        <w:ind w:right="4041"/>
        <w:jc w:val="left"/>
      </w:pPr>
      <w:r>
        <w:rPr/>
        <w:t>Note:</w:t>
      </w:r>
      <w:r>
        <w:rPr>
          <w:b w:val="0"/>
          <w:spacing w:val="40"/>
        </w:rPr>
        <w:t> </w:t>
      </w:r>
      <w:r>
        <w:rPr/>
        <w:t>*</w:t>
      </w:r>
      <w:r>
        <w:rPr>
          <w:b w:val="0"/>
          <w:spacing w:val="-6"/>
        </w:rPr>
        <w:t> </w:t>
      </w:r>
      <w:r>
        <w:rPr/>
        <w:t>are</w:t>
      </w:r>
      <w:r>
        <w:rPr>
          <w:b w:val="0"/>
          <w:spacing w:val="-5"/>
        </w:rPr>
        <w:t> </w:t>
      </w:r>
      <w:r>
        <w:rPr/>
        <w:t>statistically</w:t>
      </w:r>
      <w:r>
        <w:rPr>
          <w:b w:val="0"/>
          <w:spacing w:val="-4"/>
        </w:rPr>
        <w:t> </w:t>
      </w:r>
      <w:r>
        <w:rPr/>
        <w:t>significant</w:t>
      </w:r>
      <w:r>
        <w:rPr>
          <w:b w:val="0"/>
          <w:spacing w:val="-4"/>
        </w:rPr>
        <w:t> </w:t>
      </w:r>
      <w:r>
        <w:rPr/>
        <w:t>at</w:t>
      </w:r>
      <w:r>
        <w:rPr>
          <w:b w:val="0"/>
          <w:spacing w:val="-4"/>
        </w:rPr>
        <w:t> </w:t>
      </w:r>
      <w:r>
        <w:rPr/>
        <w:t>10%</w:t>
      </w:r>
      <w:r>
        <w:rPr>
          <w:b w:val="0"/>
          <w:spacing w:val="-5"/>
        </w:rPr>
        <w:t> </w:t>
      </w:r>
      <w:r>
        <w:rPr/>
        <w:t>probability</w:t>
      </w:r>
      <w:r>
        <w:rPr>
          <w:b w:val="0"/>
          <w:spacing w:val="-4"/>
        </w:rPr>
        <w:t> </w:t>
      </w:r>
      <w:r>
        <w:rPr/>
        <w:t>level.</w:t>
      </w:r>
      <w:r>
        <w:rPr>
          <w:b w:val="0"/>
        </w:rPr>
        <w:t> </w:t>
      </w:r>
      <w:r>
        <w:rPr/>
        <w:t>Source:</w:t>
      </w:r>
      <w:r>
        <w:rPr>
          <w:b w:val="0"/>
        </w:rPr>
        <w:t> </w:t>
      </w:r>
      <w:r>
        <w:rPr/>
        <w:t>Own</w:t>
      </w:r>
      <w:r>
        <w:rPr>
          <w:b w:val="0"/>
        </w:rPr>
        <w:t> </w:t>
      </w:r>
      <w:r>
        <w:rPr/>
        <w:t>computation</w:t>
      </w:r>
      <w:r>
        <w:rPr>
          <w:b w:val="0"/>
        </w:rPr>
        <w:t> </w:t>
      </w:r>
      <w:r>
        <w:rPr/>
        <w:t>from</w:t>
      </w:r>
      <w:r>
        <w:rPr>
          <w:b w:val="0"/>
        </w:rPr>
        <w:t> </w:t>
      </w:r>
      <w:r>
        <w:rPr/>
        <w:t>survey</w:t>
      </w:r>
      <w:r>
        <w:rPr>
          <w:b w:val="0"/>
        </w:rPr>
        <w:t> </w:t>
      </w:r>
      <w:r>
        <w:rPr/>
        <w:t>result,</w:t>
      </w:r>
      <w:r>
        <w:rPr>
          <w:b w:val="0"/>
        </w:rPr>
        <w:t> </w:t>
      </w:r>
      <w:r>
        <w:rPr/>
        <w:t>2015</w:t>
      </w:r>
    </w:p>
    <w:p>
      <w:pPr>
        <w:spacing w:before="229"/>
        <w:ind w:left="240" w:right="0" w:firstLine="0"/>
        <w:jc w:val="left"/>
        <w:rPr>
          <w:b/>
          <w:sz w:val="20"/>
        </w:rPr>
      </w:pPr>
      <w:r>
        <w:rPr/>
        <mc:AlternateContent>
          <mc:Choice Requires="wps">
            <w:drawing>
              <wp:anchor distT="0" distB="0" distL="0" distR="0" allowOverlap="1" layoutInCell="1" locked="0" behindDoc="0" simplePos="0" relativeHeight="15741952">
                <wp:simplePos x="0" y="0"/>
                <wp:positionH relativeFrom="page">
                  <wp:posOffset>833627</wp:posOffset>
                </wp:positionH>
                <wp:positionV relativeFrom="paragraph">
                  <wp:posOffset>293332</wp:posOffset>
                </wp:positionV>
                <wp:extent cx="5897880" cy="184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897880" cy="18415"/>
                        </a:xfrm>
                        <a:custGeom>
                          <a:avLst/>
                          <a:gdLst/>
                          <a:ahLst/>
                          <a:cxnLst/>
                          <a:rect l="l" t="t" r="r" b="b"/>
                          <a:pathLst>
                            <a:path w="5897880" h="18415">
                              <a:moveTo>
                                <a:pt x="5897880" y="12192"/>
                              </a:moveTo>
                              <a:lnTo>
                                <a:pt x="5897880" y="12192"/>
                              </a:lnTo>
                              <a:lnTo>
                                <a:pt x="0" y="12192"/>
                              </a:lnTo>
                              <a:lnTo>
                                <a:pt x="0" y="18288"/>
                              </a:lnTo>
                              <a:lnTo>
                                <a:pt x="5897880" y="18288"/>
                              </a:lnTo>
                              <a:lnTo>
                                <a:pt x="5897880" y="12192"/>
                              </a:lnTo>
                              <a:close/>
                            </a:path>
                            <a:path w="5897880" h="18415">
                              <a:moveTo>
                                <a:pt x="5897880" y="0"/>
                              </a:moveTo>
                              <a:lnTo>
                                <a:pt x="5897880" y="0"/>
                              </a:lnTo>
                              <a:lnTo>
                                <a:pt x="0" y="0"/>
                              </a:lnTo>
                              <a:lnTo>
                                <a:pt x="0" y="6096"/>
                              </a:lnTo>
                              <a:lnTo>
                                <a:pt x="5897880" y="6096"/>
                              </a:lnTo>
                              <a:lnTo>
                                <a:pt x="5897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5.639999pt;margin-top:23.097055pt;width:464.4pt;height:1.45pt;mso-position-horizontal-relative:page;mso-position-vertical-relative:paragraph;z-index:15741952" id="docshape34" coordorigin="1313,462" coordsize="9288,29" path="m10601,481l8789,481,8760,481,7116,481,7087,481,5359,481,5330,481,3770,481,3742,481,2681,481,2652,481,1313,481,1313,491,2652,491,2681,491,3742,491,3770,491,5330,491,5359,491,7087,491,7116,491,8760,491,8789,491,10601,491,10601,481xm10601,462l8789,462,8760,462,7116,462,7087,462,5359,462,5330,462,3770,462,3742,462,2681,462,2652,462,1313,462,1313,472,2652,472,2681,472,3742,472,3770,472,5330,472,5359,472,7087,472,7116,472,8760,472,8789,472,10601,472,10601,462xe" filled="true" fillcolor="#000000" stroked="false">
                <v:path arrowok="t"/>
                <v:fill type="solid"/>
                <w10:wrap type="none"/>
              </v:shape>
            </w:pict>
          </mc:Fallback>
        </mc:AlternateContent>
      </w:r>
      <w:r>
        <w:rPr>
          <w:b/>
          <w:sz w:val="20"/>
        </w:rPr>
        <w:t>Table</w:t>
      </w:r>
      <w:r>
        <w:rPr>
          <w:spacing w:val="-8"/>
          <w:sz w:val="20"/>
        </w:rPr>
        <w:t> </w:t>
      </w:r>
      <w:r>
        <w:rPr>
          <w:b/>
          <w:sz w:val="20"/>
        </w:rPr>
        <w:t>9.</w:t>
      </w:r>
      <w:r>
        <w:rPr>
          <w:spacing w:val="-7"/>
          <w:sz w:val="20"/>
        </w:rPr>
        <w:t> </w:t>
      </w:r>
      <w:r>
        <w:rPr>
          <w:b/>
          <w:sz w:val="20"/>
        </w:rPr>
        <w:t>Percentage</w:t>
      </w:r>
      <w:r>
        <w:rPr>
          <w:spacing w:val="-8"/>
          <w:sz w:val="20"/>
        </w:rPr>
        <w:t> </w:t>
      </w:r>
      <w:r>
        <w:rPr>
          <w:b/>
          <w:sz w:val="20"/>
        </w:rPr>
        <w:t>of</w:t>
      </w:r>
      <w:r>
        <w:rPr>
          <w:spacing w:val="-6"/>
          <w:sz w:val="20"/>
        </w:rPr>
        <w:t> </w:t>
      </w:r>
      <w:r>
        <w:rPr>
          <w:b/>
          <w:sz w:val="20"/>
        </w:rPr>
        <w:t>producers</w:t>
      </w:r>
      <w:r>
        <w:rPr>
          <w:spacing w:val="-9"/>
          <w:sz w:val="20"/>
        </w:rPr>
        <w:t> </w:t>
      </w:r>
      <w:r>
        <w:rPr>
          <w:b/>
          <w:sz w:val="20"/>
        </w:rPr>
        <w:t>by</w:t>
      </w:r>
      <w:r>
        <w:rPr>
          <w:spacing w:val="-7"/>
          <w:sz w:val="20"/>
        </w:rPr>
        <w:t> </w:t>
      </w:r>
      <w:r>
        <w:rPr>
          <w:b/>
          <w:sz w:val="20"/>
        </w:rPr>
        <w:t>demographic</w:t>
      </w:r>
      <w:r>
        <w:rPr>
          <w:spacing w:val="-7"/>
          <w:sz w:val="20"/>
        </w:rPr>
        <w:t> </w:t>
      </w:r>
      <w:r>
        <w:rPr>
          <w:b/>
          <w:sz w:val="20"/>
        </w:rPr>
        <w:t>characteristics</w:t>
      </w:r>
      <w:r>
        <w:rPr>
          <w:spacing w:val="-9"/>
          <w:sz w:val="20"/>
        </w:rPr>
        <w:t> </w:t>
      </w:r>
      <w:r>
        <w:rPr>
          <w:b/>
          <w:sz w:val="20"/>
        </w:rPr>
        <w:t>across</w:t>
      </w:r>
      <w:r>
        <w:rPr>
          <w:spacing w:val="-6"/>
          <w:sz w:val="20"/>
        </w:rPr>
        <w:t> </w:t>
      </w:r>
      <w:r>
        <w:rPr>
          <w:b/>
          <w:sz w:val="20"/>
        </w:rPr>
        <w:t>marketing</w:t>
      </w:r>
      <w:r>
        <w:rPr>
          <w:spacing w:val="-7"/>
          <w:sz w:val="20"/>
        </w:rPr>
        <w:t> </w:t>
      </w:r>
      <w:r>
        <w:rPr>
          <w:b/>
          <w:spacing w:val="-2"/>
          <w:sz w:val="20"/>
        </w:rPr>
        <w:t>outlets</w:t>
      </w:r>
    </w:p>
    <w:p>
      <w:pPr>
        <w:spacing w:after="0"/>
        <w:jc w:val="left"/>
        <w:rPr>
          <w:sz w:val="20"/>
        </w:rPr>
        <w:sectPr>
          <w:type w:val="continuous"/>
          <w:pgSz w:w="11900" w:h="16840"/>
          <w:pgMar w:header="846" w:footer="819" w:top="1640" w:bottom="1000" w:left="1180" w:right="1180"/>
        </w:sectPr>
      </w:pPr>
    </w:p>
    <w:p>
      <w:pPr>
        <w:pStyle w:val="BodyText"/>
        <w:spacing w:before="27"/>
        <w:ind w:left="0"/>
        <w:jc w:val="right"/>
      </w:pPr>
      <w:r>
        <w:rPr>
          <w:spacing w:val="-2"/>
        </w:rPr>
        <w:t>Wholesaler</w:t>
      </w:r>
    </w:p>
    <w:p>
      <w:pPr>
        <w:pStyle w:val="BodyText"/>
        <w:spacing w:before="27"/>
        <w:ind w:left="692"/>
        <w:jc w:val="left"/>
      </w:pPr>
      <w:r>
        <w:rPr/>
        <w:br w:type="column"/>
      </w:r>
      <w:r>
        <w:rPr>
          <w:spacing w:val="-2"/>
        </w:rPr>
        <w:t>Cooperative</w:t>
      </w:r>
    </w:p>
    <w:p>
      <w:pPr>
        <w:pStyle w:val="BodyText"/>
        <w:spacing w:before="27"/>
        <w:ind w:left="814"/>
        <w:jc w:val="left"/>
      </w:pPr>
      <w:r>
        <w:rPr/>
        <w:br w:type="column"/>
      </w:r>
      <w:r>
        <w:rPr>
          <w:spacing w:val="-2"/>
        </w:rPr>
        <w:t>Collector</w:t>
      </w:r>
    </w:p>
    <w:p>
      <w:pPr>
        <w:pStyle w:val="BodyText"/>
        <w:spacing w:before="27"/>
        <w:ind w:left="307"/>
        <w:jc w:val="center"/>
      </w:pPr>
      <w:r>
        <w:rPr/>
        <w:br w:type="column"/>
      </w:r>
      <w:r>
        <w:rPr>
          <w:spacing w:val="-2"/>
        </w:rPr>
        <w:t>Total</w:t>
      </w:r>
    </w:p>
    <w:p>
      <w:pPr>
        <w:spacing w:after="0"/>
        <w:jc w:val="center"/>
        <w:sectPr>
          <w:type w:val="continuous"/>
          <w:pgSz w:w="11900" w:h="16840"/>
          <w:pgMar w:header="846" w:footer="819" w:top="1640" w:bottom="1000" w:left="1180" w:right="1180"/>
          <w:cols w:num="4" w:equalWidth="0">
            <w:col w:w="3807" w:space="40"/>
            <w:col w:w="1670" w:space="39"/>
            <w:col w:w="1558" w:space="39"/>
            <w:col w:w="2387"/>
          </w:cols>
        </w:sect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
        <w:gridCol w:w="1268"/>
        <w:gridCol w:w="390"/>
        <w:gridCol w:w="1183"/>
        <w:gridCol w:w="531"/>
        <w:gridCol w:w="1210"/>
        <w:gridCol w:w="483"/>
        <w:gridCol w:w="409"/>
        <w:gridCol w:w="755"/>
        <w:gridCol w:w="569"/>
        <w:gridCol w:w="1323"/>
      </w:tblGrid>
      <w:tr>
        <w:trPr>
          <w:trHeight w:val="227" w:hRule="atLeast"/>
        </w:trPr>
        <w:tc>
          <w:tcPr>
            <w:tcW w:w="1175" w:type="dxa"/>
          </w:tcPr>
          <w:p>
            <w:pPr>
              <w:pStyle w:val="TableParagraph"/>
              <w:spacing w:line="208" w:lineRule="exact"/>
              <w:ind w:left="122"/>
              <w:jc w:val="left"/>
              <w:rPr>
                <w:sz w:val="20"/>
              </w:rPr>
            </w:pPr>
            <w:r>
              <w:rPr>
                <w:spacing w:val="-2"/>
                <w:sz w:val="20"/>
              </w:rPr>
              <w:t>Variables</w:t>
            </w:r>
          </w:p>
        </w:tc>
        <w:tc>
          <w:tcPr>
            <w:tcW w:w="1268" w:type="dxa"/>
          </w:tcPr>
          <w:p>
            <w:pPr>
              <w:pStyle w:val="TableParagraph"/>
              <w:spacing w:line="208" w:lineRule="exact"/>
              <w:ind w:left="337"/>
              <w:jc w:val="left"/>
              <w:rPr>
                <w:sz w:val="20"/>
              </w:rPr>
            </w:pPr>
            <w:r>
              <w:rPr>
                <w:spacing w:val="-2"/>
                <w:sz w:val="20"/>
              </w:rPr>
              <w:t>Items</w:t>
            </w:r>
          </w:p>
        </w:tc>
        <w:tc>
          <w:tcPr>
            <w:tcW w:w="390" w:type="dxa"/>
            <w:tcBorders>
              <w:bottom w:val="single" w:sz="4" w:space="0" w:color="000000"/>
            </w:tcBorders>
          </w:tcPr>
          <w:p>
            <w:pPr>
              <w:pStyle w:val="TableParagraph"/>
              <w:spacing w:line="240" w:lineRule="auto"/>
              <w:jc w:val="left"/>
              <w:rPr>
                <w:sz w:val="16"/>
              </w:rPr>
            </w:pPr>
          </w:p>
        </w:tc>
        <w:tc>
          <w:tcPr>
            <w:tcW w:w="1183" w:type="dxa"/>
            <w:tcBorders>
              <w:bottom w:val="single" w:sz="4" w:space="0" w:color="000000"/>
            </w:tcBorders>
          </w:tcPr>
          <w:p>
            <w:pPr>
              <w:pStyle w:val="TableParagraph"/>
              <w:spacing w:line="208" w:lineRule="exact"/>
              <w:ind w:left="30"/>
              <w:jc w:val="left"/>
              <w:rPr>
                <w:sz w:val="20"/>
              </w:rPr>
            </w:pPr>
            <w:r>
              <w:rPr>
                <w:sz w:val="20"/>
              </w:rPr>
              <w:t>(N=</w:t>
            </w:r>
            <w:r>
              <w:rPr>
                <w:spacing w:val="-2"/>
                <w:sz w:val="20"/>
              </w:rPr>
              <w:t> </w:t>
            </w:r>
            <w:r>
              <w:rPr>
                <w:sz w:val="20"/>
              </w:rPr>
              <w:t>44</w:t>
            </w:r>
            <w:r>
              <w:rPr>
                <w:spacing w:val="49"/>
                <w:sz w:val="20"/>
              </w:rPr>
              <w:t> </w:t>
            </w:r>
            <w:r>
              <w:rPr>
                <w:spacing w:val="-10"/>
                <w:sz w:val="20"/>
              </w:rPr>
              <w:t>)</w:t>
            </w:r>
          </w:p>
        </w:tc>
        <w:tc>
          <w:tcPr>
            <w:tcW w:w="531" w:type="dxa"/>
            <w:tcBorders>
              <w:bottom w:val="single" w:sz="4" w:space="0" w:color="000000"/>
            </w:tcBorders>
          </w:tcPr>
          <w:p>
            <w:pPr>
              <w:pStyle w:val="TableParagraph"/>
              <w:spacing w:line="240" w:lineRule="auto"/>
              <w:jc w:val="left"/>
              <w:rPr>
                <w:sz w:val="16"/>
              </w:rPr>
            </w:pPr>
          </w:p>
        </w:tc>
        <w:tc>
          <w:tcPr>
            <w:tcW w:w="1210" w:type="dxa"/>
            <w:tcBorders>
              <w:bottom w:val="single" w:sz="4" w:space="0" w:color="000000"/>
            </w:tcBorders>
          </w:tcPr>
          <w:p>
            <w:pPr>
              <w:pStyle w:val="TableParagraph"/>
              <w:spacing w:line="208" w:lineRule="exact"/>
              <w:ind w:left="41"/>
              <w:jc w:val="left"/>
              <w:rPr>
                <w:sz w:val="20"/>
              </w:rPr>
            </w:pPr>
            <w:r>
              <w:rPr>
                <w:sz w:val="20"/>
              </w:rPr>
              <w:t>(N=</w:t>
            </w:r>
            <w:r>
              <w:rPr>
                <w:spacing w:val="-4"/>
                <w:sz w:val="20"/>
              </w:rPr>
              <w:t> </w:t>
            </w:r>
            <w:r>
              <w:rPr>
                <w:spacing w:val="-5"/>
                <w:sz w:val="20"/>
              </w:rPr>
              <w:t>43)</w:t>
            </w:r>
          </w:p>
        </w:tc>
        <w:tc>
          <w:tcPr>
            <w:tcW w:w="483" w:type="dxa"/>
            <w:tcBorders>
              <w:bottom w:val="single" w:sz="4" w:space="0" w:color="000000"/>
            </w:tcBorders>
          </w:tcPr>
          <w:p>
            <w:pPr>
              <w:pStyle w:val="TableParagraph"/>
              <w:spacing w:line="240" w:lineRule="auto"/>
              <w:jc w:val="left"/>
              <w:rPr>
                <w:sz w:val="16"/>
              </w:rPr>
            </w:pPr>
          </w:p>
        </w:tc>
        <w:tc>
          <w:tcPr>
            <w:tcW w:w="409" w:type="dxa"/>
            <w:tcBorders>
              <w:bottom w:val="single" w:sz="4" w:space="0" w:color="000000"/>
            </w:tcBorders>
          </w:tcPr>
          <w:p>
            <w:pPr>
              <w:pStyle w:val="TableParagraph"/>
              <w:spacing w:line="208" w:lineRule="exact"/>
              <w:ind w:left="38"/>
              <w:jc w:val="left"/>
              <w:rPr>
                <w:sz w:val="20"/>
              </w:rPr>
            </w:pPr>
            <w:r>
              <w:rPr>
                <w:spacing w:val="-5"/>
                <w:sz w:val="20"/>
              </w:rPr>
              <w:t>(N=</w:t>
            </w:r>
          </w:p>
        </w:tc>
        <w:tc>
          <w:tcPr>
            <w:tcW w:w="755" w:type="dxa"/>
            <w:tcBorders>
              <w:bottom w:val="single" w:sz="4" w:space="0" w:color="000000"/>
            </w:tcBorders>
          </w:tcPr>
          <w:p>
            <w:pPr>
              <w:pStyle w:val="TableParagraph"/>
              <w:spacing w:line="208" w:lineRule="exact"/>
              <w:ind w:left="54"/>
              <w:jc w:val="left"/>
              <w:rPr>
                <w:sz w:val="20"/>
              </w:rPr>
            </w:pPr>
            <w:r>
              <w:rPr>
                <w:spacing w:val="-5"/>
                <w:sz w:val="20"/>
              </w:rPr>
              <w:t>40)</w:t>
            </w:r>
          </w:p>
        </w:tc>
        <w:tc>
          <w:tcPr>
            <w:tcW w:w="569" w:type="dxa"/>
            <w:tcBorders>
              <w:bottom w:val="single" w:sz="4" w:space="0" w:color="000000"/>
            </w:tcBorders>
          </w:tcPr>
          <w:p>
            <w:pPr>
              <w:pStyle w:val="TableParagraph"/>
              <w:spacing w:line="240" w:lineRule="auto"/>
              <w:jc w:val="left"/>
              <w:rPr>
                <w:sz w:val="16"/>
              </w:rPr>
            </w:pPr>
          </w:p>
        </w:tc>
        <w:tc>
          <w:tcPr>
            <w:tcW w:w="1323" w:type="dxa"/>
            <w:tcBorders>
              <w:bottom w:val="single" w:sz="4" w:space="0" w:color="000000"/>
            </w:tcBorders>
          </w:tcPr>
          <w:p>
            <w:pPr>
              <w:pStyle w:val="TableParagraph"/>
              <w:spacing w:line="208" w:lineRule="exact"/>
              <w:ind w:left="35"/>
              <w:jc w:val="left"/>
              <w:rPr>
                <w:sz w:val="20"/>
              </w:rPr>
            </w:pPr>
            <w:r>
              <w:rPr>
                <w:sz w:val="20"/>
              </w:rPr>
              <w:t>(N=</w:t>
            </w:r>
            <w:r>
              <w:rPr>
                <w:spacing w:val="-4"/>
                <w:sz w:val="20"/>
              </w:rPr>
              <w:t> 127)</w:t>
            </w:r>
          </w:p>
        </w:tc>
      </w:tr>
      <w:tr>
        <w:trPr>
          <w:trHeight w:val="229" w:hRule="atLeast"/>
        </w:trPr>
        <w:tc>
          <w:tcPr>
            <w:tcW w:w="1175" w:type="dxa"/>
            <w:tcBorders>
              <w:bottom w:val="double" w:sz="4" w:space="0" w:color="000000"/>
            </w:tcBorders>
          </w:tcPr>
          <w:p>
            <w:pPr>
              <w:pStyle w:val="TableParagraph"/>
              <w:spacing w:line="240" w:lineRule="auto"/>
              <w:jc w:val="left"/>
              <w:rPr>
                <w:sz w:val="16"/>
              </w:rPr>
            </w:pPr>
          </w:p>
        </w:tc>
        <w:tc>
          <w:tcPr>
            <w:tcW w:w="1268" w:type="dxa"/>
            <w:tcBorders>
              <w:bottom w:val="double" w:sz="4" w:space="0" w:color="000000"/>
            </w:tcBorders>
          </w:tcPr>
          <w:p>
            <w:pPr>
              <w:pStyle w:val="TableParagraph"/>
              <w:spacing w:line="240" w:lineRule="auto"/>
              <w:jc w:val="left"/>
              <w:rPr>
                <w:sz w:val="16"/>
              </w:rPr>
            </w:pPr>
          </w:p>
        </w:tc>
        <w:tc>
          <w:tcPr>
            <w:tcW w:w="390" w:type="dxa"/>
            <w:tcBorders>
              <w:top w:val="single" w:sz="4" w:space="0" w:color="000000"/>
              <w:bottom w:val="double" w:sz="4" w:space="0" w:color="000000"/>
            </w:tcBorders>
          </w:tcPr>
          <w:p>
            <w:pPr>
              <w:pStyle w:val="TableParagraph"/>
              <w:ind w:left="132" w:right="4"/>
              <w:rPr>
                <w:b/>
                <w:sz w:val="20"/>
              </w:rPr>
            </w:pPr>
            <w:r>
              <w:rPr>
                <w:b/>
                <w:spacing w:val="-10"/>
                <w:sz w:val="20"/>
              </w:rPr>
              <w:t>N</w:t>
            </w:r>
          </w:p>
        </w:tc>
        <w:tc>
          <w:tcPr>
            <w:tcW w:w="1183" w:type="dxa"/>
            <w:tcBorders>
              <w:top w:val="single" w:sz="4" w:space="0" w:color="000000"/>
              <w:bottom w:val="double" w:sz="4" w:space="0" w:color="000000"/>
            </w:tcBorders>
          </w:tcPr>
          <w:p>
            <w:pPr>
              <w:pStyle w:val="TableParagraph"/>
              <w:ind w:left="152" w:right="1"/>
              <w:rPr>
                <w:b/>
                <w:sz w:val="20"/>
              </w:rPr>
            </w:pPr>
            <w:r>
              <w:rPr>
                <w:b/>
                <w:spacing w:val="-10"/>
                <w:sz w:val="20"/>
              </w:rPr>
              <w:t>%</w:t>
            </w:r>
          </w:p>
        </w:tc>
        <w:tc>
          <w:tcPr>
            <w:tcW w:w="531" w:type="dxa"/>
            <w:tcBorders>
              <w:top w:val="single" w:sz="4" w:space="0" w:color="000000"/>
              <w:bottom w:val="double" w:sz="4" w:space="0" w:color="000000"/>
            </w:tcBorders>
          </w:tcPr>
          <w:p>
            <w:pPr>
              <w:pStyle w:val="TableParagraph"/>
              <w:ind w:right="66"/>
              <w:jc w:val="right"/>
              <w:rPr>
                <w:b/>
                <w:sz w:val="20"/>
              </w:rPr>
            </w:pPr>
            <w:r>
              <w:rPr>
                <w:b/>
                <w:spacing w:val="-10"/>
                <w:sz w:val="20"/>
              </w:rPr>
              <w:t>N</w:t>
            </w:r>
          </w:p>
        </w:tc>
        <w:tc>
          <w:tcPr>
            <w:tcW w:w="1210" w:type="dxa"/>
            <w:tcBorders>
              <w:top w:val="single" w:sz="4" w:space="0" w:color="000000"/>
              <w:bottom w:val="double" w:sz="4" w:space="0" w:color="000000"/>
            </w:tcBorders>
          </w:tcPr>
          <w:p>
            <w:pPr>
              <w:pStyle w:val="TableParagraph"/>
              <w:ind w:right="369"/>
              <w:jc w:val="right"/>
              <w:rPr>
                <w:b/>
                <w:sz w:val="20"/>
              </w:rPr>
            </w:pPr>
            <w:r>
              <w:rPr>
                <w:b/>
                <w:spacing w:val="-10"/>
                <w:sz w:val="20"/>
              </w:rPr>
              <w:t>%</w:t>
            </w:r>
          </w:p>
        </w:tc>
        <w:tc>
          <w:tcPr>
            <w:tcW w:w="483" w:type="dxa"/>
            <w:tcBorders>
              <w:top w:val="single" w:sz="4" w:space="0" w:color="000000"/>
              <w:bottom w:val="double" w:sz="4" w:space="0" w:color="000000"/>
            </w:tcBorders>
          </w:tcPr>
          <w:p>
            <w:pPr>
              <w:pStyle w:val="TableParagraph"/>
              <w:ind w:right="60"/>
              <w:jc w:val="right"/>
              <w:rPr>
                <w:b/>
                <w:sz w:val="20"/>
              </w:rPr>
            </w:pPr>
            <w:r>
              <w:rPr>
                <w:b/>
                <w:spacing w:val="-10"/>
                <w:sz w:val="20"/>
              </w:rPr>
              <w:t>N</w:t>
            </w:r>
          </w:p>
        </w:tc>
        <w:tc>
          <w:tcPr>
            <w:tcW w:w="409" w:type="dxa"/>
            <w:tcBorders>
              <w:top w:val="single" w:sz="4" w:space="0" w:color="000000"/>
              <w:bottom w:val="double" w:sz="4" w:space="0" w:color="000000"/>
            </w:tcBorders>
          </w:tcPr>
          <w:p>
            <w:pPr>
              <w:pStyle w:val="TableParagraph"/>
              <w:spacing w:line="240" w:lineRule="auto"/>
              <w:jc w:val="left"/>
              <w:rPr>
                <w:sz w:val="16"/>
              </w:rPr>
            </w:pPr>
          </w:p>
        </w:tc>
        <w:tc>
          <w:tcPr>
            <w:tcW w:w="755" w:type="dxa"/>
            <w:tcBorders>
              <w:top w:val="single" w:sz="4" w:space="0" w:color="000000"/>
              <w:bottom w:val="double" w:sz="4" w:space="0" w:color="000000"/>
            </w:tcBorders>
          </w:tcPr>
          <w:p>
            <w:pPr>
              <w:pStyle w:val="TableParagraph"/>
              <w:ind w:left="195"/>
              <w:jc w:val="left"/>
              <w:rPr>
                <w:b/>
                <w:sz w:val="20"/>
              </w:rPr>
            </w:pPr>
            <w:r>
              <w:rPr>
                <w:b/>
                <w:spacing w:val="-10"/>
                <w:sz w:val="20"/>
              </w:rPr>
              <w:t>%</w:t>
            </w:r>
          </w:p>
        </w:tc>
        <w:tc>
          <w:tcPr>
            <w:tcW w:w="569" w:type="dxa"/>
            <w:tcBorders>
              <w:top w:val="single" w:sz="4" w:space="0" w:color="000000"/>
              <w:bottom w:val="double" w:sz="4" w:space="0" w:color="000000"/>
            </w:tcBorders>
          </w:tcPr>
          <w:p>
            <w:pPr>
              <w:pStyle w:val="TableParagraph"/>
              <w:ind w:left="319"/>
              <w:jc w:val="left"/>
              <w:rPr>
                <w:b/>
                <w:sz w:val="20"/>
              </w:rPr>
            </w:pPr>
            <w:r>
              <w:rPr>
                <w:b/>
                <w:spacing w:val="-10"/>
                <w:sz w:val="20"/>
              </w:rPr>
              <w:t>N</w:t>
            </w:r>
          </w:p>
        </w:tc>
        <w:tc>
          <w:tcPr>
            <w:tcW w:w="1323" w:type="dxa"/>
            <w:tcBorders>
              <w:top w:val="single" w:sz="4" w:space="0" w:color="000000"/>
              <w:bottom w:val="double" w:sz="4" w:space="0" w:color="000000"/>
            </w:tcBorders>
          </w:tcPr>
          <w:p>
            <w:pPr>
              <w:pStyle w:val="TableParagraph"/>
              <w:ind w:left="161"/>
              <w:rPr>
                <w:b/>
                <w:sz w:val="20"/>
              </w:rPr>
            </w:pPr>
            <w:r>
              <w:rPr>
                <w:b/>
                <w:spacing w:val="-10"/>
                <w:sz w:val="20"/>
              </w:rPr>
              <w:t>%</w:t>
            </w:r>
          </w:p>
        </w:tc>
      </w:tr>
      <w:tr>
        <w:trPr>
          <w:trHeight w:val="228" w:hRule="atLeast"/>
        </w:trPr>
        <w:tc>
          <w:tcPr>
            <w:tcW w:w="1175" w:type="dxa"/>
            <w:tcBorders>
              <w:top w:val="double" w:sz="4" w:space="0" w:color="000000"/>
            </w:tcBorders>
          </w:tcPr>
          <w:p>
            <w:pPr>
              <w:pStyle w:val="TableParagraph"/>
              <w:spacing w:line="209" w:lineRule="exact"/>
              <w:ind w:left="122"/>
              <w:jc w:val="left"/>
              <w:rPr>
                <w:sz w:val="20"/>
              </w:rPr>
            </w:pPr>
            <w:r>
              <w:rPr>
                <w:spacing w:val="-5"/>
                <w:sz w:val="20"/>
              </w:rPr>
              <w:t>Sex</w:t>
            </w:r>
          </w:p>
        </w:tc>
        <w:tc>
          <w:tcPr>
            <w:tcW w:w="1268" w:type="dxa"/>
            <w:tcBorders>
              <w:top w:val="double" w:sz="4" w:space="0" w:color="000000"/>
            </w:tcBorders>
          </w:tcPr>
          <w:p>
            <w:pPr>
              <w:pStyle w:val="TableParagraph"/>
              <w:spacing w:line="209" w:lineRule="exact"/>
              <w:ind w:left="286"/>
              <w:jc w:val="left"/>
              <w:rPr>
                <w:sz w:val="20"/>
              </w:rPr>
            </w:pPr>
            <w:r>
              <w:rPr>
                <w:spacing w:val="-4"/>
                <w:sz w:val="20"/>
              </w:rPr>
              <w:t>Male</w:t>
            </w:r>
          </w:p>
        </w:tc>
        <w:tc>
          <w:tcPr>
            <w:tcW w:w="390" w:type="dxa"/>
            <w:tcBorders>
              <w:top w:val="double" w:sz="4" w:space="0" w:color="000000"/>
            </w:tcBorders>
          </w:tcPr>
          <w:p>
            <w:pPr>
              <w:pStyle w:val="TableParagraph"/>
              <w:spacing w:line="209" w:lineRule="exact"/>
              <w:ind w:left="132"/>
              <w:rPr>
                <w:sz w:val="20"/>
              </w:rPr>
            </w:pPr>
            <w:r>
              <w:rPr>
                <w:spacing w:val="-5"/>
                <w:sz w:val="20"/>
              </w:rPr>
              <w:t>42</w:t>
            </w:r>
          </w:p>
        </w:tc>
        <w:tc>
          <w:tcPr>
            <w:tcW w:w="1183" w:type="dxa"/>
            <w:tcBorders>
              <w:top w:val="double" w:sz="4" w:space="0" w:color="000000"/>
            </w:tcBorders>
          </w:tcPr>
          <w:p>
            <w:pPr>
              <w:pStyle w:val="TableParagraph"/>
              <w:spacing w:line="209" w:lineRule="exact"/>
              <w:ind w:right="288"/>
              <w:jc w:val="right"/>
              <w:rPr>
                <w:sz w:val="20"/>
              </w:rPr>
            </w:pPr>
            <w:r>
              <w:rPr>
                <w:spacing w:val="-2"/>
                <w:sz w:val="20"/>
              </w:rPr>
              <w:t>36.52</w:t>
            </w:r>
          </w:p>
        </w:tc>
        <w:tc>
          <w:tcPr>
            <w:tcW w:w="531" w:type="dxa"/>
            <w:tcBorders>
              <w:top w:val="double" w:sz="4" w:space="0" w:color="000000"/>
            </w:tcBorders>
          </w:tcPr>
          <w:p>
            <w:pPr>
              <w:pStyle w:val="TableParagraph"/>
              <w:spacing w:line="209" w:lineRule="exact"/>
              <w:ind w:right="36"/>
              <w:jc w:val="right"/>
              <w:rPr>
                <w:sz w:val="20"/>
              </w:rPr>
            </w:pPr>
            <w:r>
              <w:rPr>
                <w:spacing w:val="-5"/>
                <w:sz w:val="20"/>
              </w:rPr>
              <w:t>41</w:t>
            </w:r>
          </w:p>
        </w:tc>
        <w:tc>
          <w:tcPr>
            <w:tcW w:w="1210" w:type="dxa"/>
            <w:tcBorders>
              <w:top w:val="double" w:sz="4" w:space="0" w:color="000000"/>
            </w:tcBorders>
          </w:tcPr>
          <w:p>
            <w:pPr>
              <w:pStyle w:val="TableParagraph"/>
              <w:spacing w:line="209" w:lineRule="exact"/>
              <w:ind w:right="243"/>
              <w:jc w:val="right"/>
              <w:rPr>
                <w:sz w:val="20"/>
              </w:rPr>
            </w:pPr>
            <w:r>
              <w:rPr>
                <w:spacing w:val="-2"/>
                <w:sz w:val="20"/>
              </w:rPr>
              <w:t>35.65</w:t>
            </w:r>
          </w:p>
        </w:tc>
        <w:tc>
          <w:tcPr>
            <w:tcW w:w="483" w:type="dxa"/>
            <w:tcBorders>
              <w:top w:val="double" w:sz="4" w:space="0" w:color="000000"/>
            </w:tcBorders>
          </w:tcPr>
          <w:p>
            <w:pPr>
              <w:pStyle w:val="TableParagraph"/>
              <w:spacing w:line="209" w:lineRule="exact"/>
              <w:ind w:right="30"/>
              <w:jc w:val="right"/>
              <w:rPr>
                <w:sz w:val="20"/>
              </w:rPr>
            </w:pPr>
            <w:r>
              <w:rPr>
                <w:spacing w:val="-5"/>
                <w:sz w:val="20"/>
              </w:rPr>
              <w:t>32</w:t>
            </w:r>
          </w:p>
        </w:tc>
        <w:tc>
          <w:tcPr>
            <w:tcW w:w="409" w:type="dxa"/>
            <w:tcBorders>
              <w:top w:val="double" w:sz="4" w:space="0" w:color="000000"/>
            </w:tcBorders>
          </w:tcPr>
          <w:p>
            <w:pPr>
              <w:pStyle w:val="TableParagraph"/>
              <w:spacing w:line="240" w:lineRule="auto"/>
              <w:jc w:val="left"/>
              <w:rPr>
                <w:sz w:val="16"/>
              </w:rPr>
            </w:pPr>
          </w:p>
        </w:tc>
        <w:tc>
          <w:tcPr>
            <w:tcW w:w="755" w:type="dxa"/>
            <w:tcBorders>
              <w:top w:val="double" w:sz="4" w:space="0" w:color="000000"/>
            </w:tcBorders>
          </w:tcPr>
          <w:p>
            <w:pPr>
              <w:pStyle w:val="TableParagraph"/>
              <w:spacing w:line="209" w:lineRule="exact"/>
              <w:ind w:left="68"/>
              <w:jc w:val="left"/>
              <w:rPr>
                <w:sz w:val="20"/>
              </w:rPr>
            </w:pPr>
            <w:r>
              <w:rPr>
                <w:spacing w:val="-2"/>
                <w:sz w:val="20"/>
              </w:rPr>
              <w:t>27.83</w:t>
            </w:r>
          </w:p>
        </w:tc>
        <w:tc>
          <w:tcPr>
            <w:tcW w:w="569" w:type="dxa"/>
            <w:tcBorders>
              <w:top w:val="double" w:sz="4" w:space="0" w:color="000000"/>
            </w:tcBorders>
          </w:tcPr>
          <w:p>
            <w:pPr>
              <w:pStyle w:val="TableParagraph"/>
              <w:spacing w:line="209" w:lineRule="exact"/>
              <w:ind w:left="242"/>
              <w:jc w:val="left"/>
              <w:rPr>
                <w:sz w:val="20"/>
              </w:rPr>
            </w:pPr>
            <w:r>
              <w:rPr>
                <w:spacing w:val="-5"/>
                <w:sz w:val="20"/>
              </w:rPr>
              <w:t>115</w:t>
            </w:r>
          </w:p>
        </w:tc>
        <w:tc>
          <w:tcPr>
            <w:tcW w:w="1323" w:type="dxa"/>
            <w:tcBorders>
              <w:top w:val="double" w:sz="4" w:space="0" w:color="000000"/>
            </w:tcBorders>
          </w:tcPr>
          <w:p>
            <w:pPr>
              <w:pStyle w:val="TableParagraph"/>
              <w:spacing w:line="209" w:lineRule="exact"/>
              <w:ind w:right="352"/>
              <w:jc w:val="right"/>
              <w:rPr>
                <w:sz w:val="20"/>
              </w:rPr>
            </w:pPr>
            <w:r>
              <w:rPr>
                <w:spacing w:val="-2"/>
                <w:sz w:val="20"/>
              </w:rPr>
              <w:t>90.55</w:t>
            </w:r>
          </w:p>
        </w:tc>
      </w:tr>
      <w:tr>
        <w:trPr>
          <w:trHeight w:val="229" w:hRule="atLeast"/>
        </w:trPr>
        <w:tc>
          <w:tcPr>
            <w:tcW w:w="1175" w:type="dxa"/>
          </w:tcPr>
          <w:p>
            <w:pPr>
              <w:pStyle w:val="TableParagraph"/>
              <w:spacing w:line="240" w:lineRule="auto"/>
              <w:jc w:val="left"/>
              <w:rPr>
                <w:sz w:val="16"/>
              </w:rPr>
            </w:pPr>
          </w:p>
        </w:tc>
        <w:tc>
          <w:tcPr>
            <w:tcW w:w="1268" w:type="dxa"/>
          </w:tcPr>
          <w:p>
            <w:pPr>
              <w:pStyle w:val="TableParagraph"/>
              <w:spacing w:line="209" w:lineRule="exact"/>
              <w:ind w:left="286"/>
              <w:jc w:val="left"/>
              <w:rPr>
                <w:sz w:val="20"/>
              </w:rPr>
            </w:pPr>
            <w:r>
              <w:rPr>
                <w:spacing w:val="-2"/>
                <w:sz w:val="20"/>
              </w:rPr>
              <w:t>Female</w:t>
            </w:r>
          </w:p>
        </w:tc>
        <w:tc>
          <w:tcPr>
            <w:tcW w:w="390" w:type="dxa"/>
          </w:tcPr>
          <w:p>
            <w:pPr>
              <w:pStyle w:val="TableParagraph"/>
              <w:spacing w:line="209" w:lineRule="exact"/>
              <w:ind w:left="132" w:right="5"/>
              <w:rPr>
                <w:sz w:val="20"/>
              </w:rPr>
            </w:pPr>
            <w:r>
              <w:rPr>
                <w:spacing w:val="-10"/>
                <w:sz w:val="20"/>
              </w:rPr>
              <w:t>2</w:t>
            </w:r>
          </w:p>
        </w:tc>
        <w:tc>
          <w:tcPr>
            <w:tcW w:w="1183" w:type="dxa"/>
          </w:tcPr>
          <w:p>
            <w:pPr>
              <w:pStyle w:val="TableParagraph"/>
              <w:spacing w:line="209" w:lineRule="exact"/>
              <w:ind w:right="288"/>
              <w:jc w:val="right"/>
              <w:rPr>
                <w:sz w:val="20"/>
              </w:rPr>
            </w:pPr>
            <w:r>
              <w:rPr>
                <w:spacing w:val="-2"/>
                <w:sz w:val="20"/>
              </w:rPr>
              <w:t>16.67</w:t>
            </w:r>
          </w:p>
        </w:tc>
        <w:tc>
          <w:tcPr>
            <w:tcW w:w="531" w:type="dxa"/>
          </w:tcPr>
          <w:p>
            <w:pPr>
              <w:pStyle w:val="TableParagraph"/>
              <w:spacing w:line="209" w:lineRule="exact"/>
              <w:ind w:right="89"/>
              <w:jc w:val="right"/>
              <w:rPr>
                <w:sz w:val="20"/>
              </w:rPr>
            </w:pPr>
            <w:r>
              <w:rPr>
                <w:spacing w:val="-10"/>
                <w:sz w:val="20"/>
              </w:rPr>
              <w:t>2</w:t>
            </w:r>
          </w:p>
        </w:tc>
        <w:tc>
          <w:tcPr>
            <w:tcW w:w="1210" w:type="dxa"/>
          </w:tcPr>
          <w:p>
            <w:pPr>
              <w:pStyle w:val="TableParagraph"/>
              <w:spacing w:line="209" w:lineRule="exact"/>
              <w:ind w:right="243"/>
              <w:jc w:val="right"/>
              <w:rPr>
                <w:sz w:val="20"/>
              </w:rPr>
            </w:pPr>
            <w:r>
              <w:rPr>
                <w:spacing w:val="-2"/>
                <w:sz w:val="20"/>
              </w:rPr>
              <w:t>16.67</w:t>
            </w:r>
          </w:p>
        </w:tc>
        <w:tc>
          <w:tcPr>
            <w:tcW w:w="483" w:type="dxa"/>
          </w:tcPr>
          <w:p>
            <w:pPr>
              <w:pStyle w:val="TableParagraph"/>
              <w:spacing w:line="209" w:lineRule="exact"/>
              <w:ind w:right="83"/>
              <w:jc w:val="right"/>
              <w:rPr>
                <w:sz w:val="20"/>
              </w:rPr>
            </w:pPr>
            <w:r>
              <w:rPr>
                <w:spacing w:val="-10"/>
                <w:sz w:val="20"/>
              </w:rPr>
              <w:t>8</w:t>
            </w:r>
          </w:p>
        </w:tc>
        <w:tc>
          <w:tcPr>
            <w:tcW w:w="409" w:type="dxa"/>
          </w:tcPr>
          <w:p>
            <w:pPr>
              <w:pStyle w:val="TableParagraph"/>
              <w:spacing w:line="240" w:lineRule="auto"/>
              <w:jc w:val="left"/>
              <w:rPr>
                <w:sz w:val="16"/>
              </w:rPr>
            </w:pPr>
          </w:p>
        </w:tc>
        <w:tc>
          <w:tcPr>
            <w:tcW w:w="755" w:type="dxa"/>
          </w:tcPr>
          <w:p>
            <w:pPr>
              <w:pStyle w:val="TableParagraph"/>
              <w:spacing w:line="209" w:lineRule="exact"/>
              <w:ind w:left="68"/>
              <w:jc w:val="left"/>
              <w:rPr>
                <w:sz w:val="20"/>
              </w:rPr>
            </w:pPr>
            <w:r>
              <w:rPr>
                <w:spacing w:val="-2"/>
                <w:sz w:val="20"/>
              </w:rPr>
              <w:t>66.67</w:t>
            </w:r>
          </w:p>
        </w:tc>
        <w:tc>
          <w:tcPr>
            <w:tcW w:w="569" w:type="dxa"/>
          </w:tcPr>
          <w:p>
            <w:pPr>
              <w:pStyle w:val="TableParagraph"/>
              <w:spacing w:line="209" w:lineRule="exact"/>
              <w:ind w:left="292"/>
              <w:jc w:val="left"/>
              <w:rPr>
                <w:sz w:val="20"/>
              </w:rPr>
            </w:pPr>
            <w:r>
              <w:rPr>
                <w:spacing w:val="-5"/>
                <w:sz w:val="20"/>
              </w:rPr>
              <w:t>12</w:t>
            </w:r>
          </w:p>
        </w:tc>
        <w:tc>
          <w:tcPr>
            <w:tcW w:w="1323" w:type="dxa"/>
          </w:tcPr>
          <w:p>
            <w:pPr>
              <w:pStyle w:val="TableParagraph"/>
              <w:spacing w:line="209" w:lineRule="exact"/>
              <w:ind w:right="403"/>
              <w:jc w:val="right"/>
              <w:rPr>
                <w:sz w:val="20"/>
              </w:rPr>
            </w:pPr>
            <w:r>
              <w:rPr>
                <w:spacing w:val="-4"/>
                <w:sz w:val="20"/>
              </w:rPr>
              <w:t>9.45</w:t>
            </w:r>
          </w:p>
        </w:tc>
      </w:tr>
      <w:tr>
        <w:trPr>
          <w:trHeight w:val="230" w:hRule="atLeast"/>
        </w:trPr>
        <w:tc>
          <w:tcPr>
            <w:tcW w:w="1175" w:type="dxa"/>
          </w:tcPr>
          <w:p>
            <w:pPr>
              <w:pStyle w:val="TableParagraph"/>
              <w:ind w:left="122"/>
              <w:jc w:val="left"/>
              <w:rPr>
                <w:sz w:val="20"/>
              </w:rPr>
            </w:pPr>
            <w:r>
              <w:rPr>
                <w:spacing w:val="-2"/>
                <w:sz w:val="20"/>
              </w:rPr>
              <w:t>HEduc</w:t>
            </w:r>
          </w:p>
        </w:tc>
        <w:tc>
          <w:tcPr>
            <w:tcW w:w="1268" w:type="dxa"/>
          </w:tcPr>
          <w:p>
            <w:pPr>
              <w:pStyle w:val="TableParagraph"/>
              <w:ind w:left="286"/>
              <w:jc w:val="left"/>
              <w:rPr>
                <w:sz w:val="20"/>
              </w:rPr>
            </w:pPr>
            <w:r>
              <w:rPr>
                <w:spacing w:val="-2"/>
                <w:sz w:val="20"/>
              </w:rPr>
              <w:t>Literate</w:t>
            </w:r>
          </w:p>
        </w:tc>
        <w:tc>
          <w:tcPr>
            <w:tcW w:w="390" w:type="dxa"/>
          </w:tcPr>
          <w:p>
            <w:pPr>
              <w:pStyle w:val="TableParagraph"/>
              <w:ind w:left="132"/>
              <w:rPr>
                <w:sz w:val="20"/>
              </w:rPr>
            </w:pPr>
            <w:r>
              <w:rPr>
                <w:spacing w:val="-5"/>
                <w:sz w:val="20"/>
              </w:rPr>
              <w:t>35</w:t>
            </w:r>
          </w:p>
        </w:tc>
        <w:tc>
          <w:tcPr>
            <w:tcW w:w="1183" w:type="dxa"/>
          </w:tcPr>
          <w:p>
            <w:pPr>
              <w:pStyle w:val="TableParagraph"/>
              <w:ind w:right="288"/>
              <w:jc w:val="right"/>
              <w:rPr>
                <w:sz w:val="20"/>
              </w:rPr>
            </w:pPr>
            <w:r>
              <w:rPr>
                <w:spacing w:val="-2"/>
                <w:sz w:val="20"/>
              </w:rPr>
              <w:t>35.71</w:t>
            </w:r>
          </w:p>
        </w:tc>
        <w:tc>
          <w:tcPr>
            <w:tcW w:w="531" w:type="dxa"/>
          </w:tcPr>
          <w:p>
            <w:pPr>
              <w:pStyle w:val="TableParagraph"/>
              <w:ind w:right="36"/>
              <w:jc w:val="right"/>
              <w:rPr>
                <w:sz w:val="20"/>
              </w:rPr>
            </w:pPr>
            <w:r>
              <w:rPr>
                <w:spacing w:val="-5"/>
                <w:sz w:val="20"/>
              </w:rPr>
              <w:t>35</w:t>
            </w:r>
          </w:p>
        </w:tc>
        <w:tc>
          <w:tcPr>
            <w:tcW w:w="1210" w:type="dxa"/>
          </w:tcPr>
          <w:p>
            <w:pPr>
              <w:pStyle w:val="TableParagraph"/>
              <w:ind w:right="243"/>
              <w:jc w:val="right"/>
              <w:rPr>
                <w:sz w:val="20"/>
              </w:rPr>
            </w:pPr>
            <w:r>
              <w:rPr>
                <w:spacing w:val="-2"/>
                <w:sz w:val="20"/>
              </w:rPr>
              <w:t>35.71</w:t>
            </w:r>
          </w:p>
        </w:tc>
        <w:tc>
          <w:tcPr>
            <w:tcW w:w="483" w:type="dxa"/>
          </w:tcPr>
          <w:p>
            <w:pPr>
              <w:pStyle w:val="TableParagraph"/>
              <w:ind w:right="30"/>
              <w:jc w:val="right"/>
              <w:rPr>
                <w:sz w:val="20"/>
              </w:rPr>
            </w:pPr>
            <w:r>
              <w:rPr>
                <w:spacing w:val="-5"/>
                <w:sz w:val="20"/>
              </w:rPr>
              <w:t>28</w:t>
            </w:r>
          </w:p>
        </w:tc>
        <w:tc>
          <w:tcPr>
            <w:tcW w:w="409" w:type="dxa"/>
          </w:tcPr>
          <w:p>
            <w:pPr>
              <w:pStyle w:val="TableParagraph"/>
              <w:spacing w:line="240" w:lineRule="auto"/>
              <w:jc w:val="left"/>
              <w:rPr>
                <w:sz w:val="16"/>
              </w:rPr>
            </w:pPr>
          </w:p>
        </w:tc>
        <w:tc>
          <w:tcPr>
            <w:tcW w:w="755" w:type="dxa"/>
          </w:tcPr>
          <w:p>
            <w:pPr>
              <w:pStyle w:val="TableParagraph"/>
              <w:ind w:left="68"/>
              <w:jc w:val="left"/>
              <w:rPr>
                <w:sz w:val="20"/>
              </w:rPr>
            </w:pPr>
            <w:r>
              <w:rPr>
                <w:spacing w:val="-2"/>
                <w:sz w:val="20"/>
              </w:rPr>
              <w:t>28.57</w:t>
            </w:r>
          </w:p>
        </w:tc>
        <w:tc>
          <w:tcPr>
            <w:tcW w:w="569" w:type="dxa"/>
          </w:tcPr>
          <w:p>
            <w:pPr>
              <w:pStyle w:val="TableParagraph"/>
              <w:ind w:left="292"/>
              <w:jc w:val="left"/>
              <w:rPr>
                <w:sz w:val="20"/>
              </w:rPr>
            </w:pPr>
            <w:r>
              <w:rPr>
                <w:spacing w:val="-5"/>
                <w:sz w:val="20"/>
              </w:rPr>
              <w:t>98</w:t>
            </w:r>
          </w:p>
        </w:tc>
        <w:tc>
          <w:tcPr>
            <w:tcW w:w="1323" w:type="dxa"/>
          </w:tcPr>
          <w:p>
            <w:pPr>
              <w:pStyle w:val="TableParagraph"/>
              <w:ind w:right="352"/>
              <w:jc w:val="right"/>
              <w:rPr>
                <w:sz w:val="20"/>
              </w:rPr>
            </w:pPr>
            <w:r>
              <w:rPr>
                <w:spacing w:val="-2"/>
                <w:sz w:val="20"/>
              </w:rPr>
              <w:t>77.17</w:t>
            </w:r>
          </w:p>
        </w:tc>
      </w:tr>
      <w:tr>
        <w:trPr>
          <w:trHeight w:val="230" w:hRule="atLeast"/>
        </w:trPr>
        <w:tc>
          <w:tcPr>
            <w:tcW w:w="1175" w:type="dxa"/>
          </w:tcPr>
          <w:p>
            <w:pPr>
              <w:pStyle w:val="TableParagraph"/>
              <w:spacing w:line="240" w:lineRule="auto"/>
              <w:jc w:val="left"/>
              <w:rPr>
                <w:sz w:val="16"/>
              </w:rPr>
            </w:pPr>
          </w:p>
        </w:tc>
        <w:tc>
          <w:tcPr>
            <w:tcW w:w="1268" w:type="dxa"/>
          </w:tcPr>
          <w:p>
            <w:pPr>
              <w:pStyle w:val="TableParagraph"/>
              <w:ind w:left="286"/>
              <w:jc w:val="left"/>
              <w:rPr>
                <w:sz w:val="20"/>
              </w:rPr>
            </w:pPr>
            <w:r>
              <w:rPr>
                <w:spacing w:val="-2"/>
                <w:sz w:val="20"/>
              </w:rPr>
              <w:t>Illiterate</w:t>
            </w:r>
          </w:p>
        </w:tc>
        <w:tc>
          <w:tcPr>
            <w:tcW w:w="390" w:type="dxa"/>
          </w:tcPr>
          <w:p>
            <w:pPr>
              <w:pStyle w:val="TableParagraph"/>
              <w:ind w:left="132" w:right="5"/>
              <w:rPr>
                <w:sz w:val="20"/>
              </w:rPr>
            </w:pPr>
            <w:r>
              <w:rPr>
                <w:spacing w:val="-10"/>
                <w:sz w:val="20"/>
              </w:rPr>
              <w:t>9</w:t>
            </w:r>
          </w:p>
        </w:tc>
        <w:tc>
          <w:tcPr>
            <w:tcW w:w="1183" w:type="dxa"/>
          </w:tcPr>
          <w:p>
            <w:pPr>
              <w:pStyle w:val="TableParagraph"/>
              <w:ind w:right="288"/>
              <w:jc w:val="right"/>
              <w:rPr>
                <w:sz w:val="20"/>
              </w:rPr>
            </w:pPr>
            <w:r>
              <w:rPr>
                <w:spacing w:val="-2"/>
                <w:sz w:val="20"/>
              </w:rPr>
              <w:t>31.03</w:t>
            </w:r>
          </w:p>
        </w:tc>
        <w:tc>
          <w:tcPr>
            <w:tcW w:w="531" w:type="dxa"/>
          </w:tcPr>
          <w:p>
            <w:pPr>
              <w:pStyle w:val="TableParagraph"/>
              <w:ind w:right="89"/>
              <w:jc w:val="right"/>
              <w:rPr>
                <w:sz w:val="20"/>
              </w:rPr>
            </w:pPr>
            <w:r>
              <w:rPr>
                <w:spacing w:val="-10"/>
                <w:sz w:val="20"/>
              </w:rPr>
              <w:t>8</w:t>
            </w:r>
          </w:p>
        </w:tc>
        <w:tc>
          <w:tcPr>
            <w:tcW w:w="1210" w:type="dxa"/>
          </w:tcPr>
          <w:p>
            <w:pPr>
              <w:pStyle w:val="TableParagraph"/>
              <w:ind w:right="243"/>
              <w:jc w:val="right"/>
              <w:rPr>
                <w:sz w:val="20"/>
              </w:rPr>
            </w:pPr>
            <w:r>
              <w:rPr>
                <w:spacing w:val="-2"/>
                <w:sz w:val="20"/>
              </w:rPr>
              <w:t>27.59</w:t>
            </w:r>
          </w:p>
        </w:tc>
        <w:tc>
          <w:tcPr>
            <w:tcW w:w="483" w:type="dxa"/>
          </w:tcPr>
          <w:p>
            <w:pPr>
              <w:pStyle w:val="TableParagraph"/>
              <w:ind w:right="30"/>
              <w:jc w:val="right"/>
              <w:rPr>
                <w:sz w:val="20"/>
              </w:rPr>
            </w:pPr>
            <w:r>
              <w:rPr>
                <w:spacing w:val="-5"/>
                <w:sz w:val="20"/>
              </w:rPr>
              <w:t>12</w:t>
            </w:r>
          </w:p>
        </w:tc>
        <w:tc>
          <w:tcPr>
            <w:tcW w:w="409" w:type="dxa"/>
          </w:tcPr>
          <w:p>
            <w:pPr>
              <w:pStyle w:val="TableParagraph"/>
              <w:spacing w:line="240" w:lineRule="auto"/>
              <w:jc w:val="left"/>
              <w:rPr>
                <w:sz w:val="16"/>
              </w:rPr>
            </w:pPr>
          </w:p>
        </w:tc>
        <w:tc>
          <w:tcPr>
            <w:tcW w:w="755" w:type="dxa"/>
          </w:tcPr>
          <w:p>
            <w:pPr>
              <w:pStyle w:val="TableParagraph"/>
              <w:ind w:left="68"/>
              <w:jc w:val="left"/>
              <w:rPr>
                <w:sz w:val="20"/>
              </w:rPr>
            </w:pPr>
            <w:r>
              <w:rPr>
                <w:spacing w:val="-2"/>
                <w:sz w:val="20"/>
              </w:rPr>
              <w:t>41.38</w:t>
            </w:r>
          </w:p>
        </w:tc>
        <w:tc>
          <w:tcPr>
            <w:tcW w:w="569" w:type="dxa"/>
          </w:tcPr>
          <w:p>
            <w:pPr>
              <w:pStyle w:val="TableParagraph"/>
              <w:ind w:left="292"/>
              <w:jc w:val="left"/>
              <w:rPr>
                <w:sz w:val="20"/>
              </w:rPr>
            </w:pPr>
            <w:r>
              <w:rPr>
                <w:spacing w:val="-5"/>
                <w:sz w:val="20"/>
              </w:rPr>
              <w:t>29</w:t>
            </w:r>
          </w:p>
        </w:tc>
        <w:tc>
          <w:tcPr>
            <w:tcW w:w="1323" w:type="dxa"/>
          </w:tcPr>
          <w:p>
            <w:pPr>
              <w:pStyle w:val="TableParagraph"/>
              <w:ind w:right="352"/>
              <w:jc w:val="right"/>
              <w:rPr>
                <w:sz w:val="20"/>
              </w:rPr>
            </w:pPr>
            <w:r>
              <w:rPr>
                <w:spacing w:val="-2"/>
                <w:sz w:val="20"/>
              </w:rPr>
              <w:t>22.83</w:t>
            </w:r>
          </w:p>
        </w:tc>
      </w:tr>
      <w:tr>
        <w:trPr>
          <w:trHeight w:val="230" w:hRule="atLeast"/>
        </w:trPr>
        <w:tc>
          <w:tcPr>
            <w:tcW w:w="1175" w:type="dxa"/>
          </w:tcPr>
          <w:p>
            <w:pPr>
              <w:pStyle w:val="TableParagraph"/>
              <w:ind w:left="122"/>
              <w:jc w:val="left"/>
              <w:rPr>
                <w:sz w:val="20"/>
              </w:rPr>
            </w:pPr>
            <w:r>
              <w:rPr>
                <w:spacing w:val="-2"/>
                <w:sz w:val="20"/>
              </w:rPr>
              <w:t>OTran</w:t>
            </w:r>
          </w:p>
        </w:tc>
        <w:tc>
          <w:tcPr>
            <w:tcW w:w="1268" w:type="dxa"/>
          </w:tcPr>
          <w:p>
            <w:pPr>
              <w:pStyle w:val="TableParagraph"/>
              <w:ind w:left="286"/>
              <w:jc w:val="left"/>
              <w:rPr>
                <w:sz w:val="20"/>
              </w:rPr>
            </w:pPr>
            <w:r>
              <w:rPr>
                <w:spacing w:val="-5"/>
                <w:sz w:val="20"/>
              </w:rPr>
              <w:t>Yes</w:t>
            </w:r>
          </w:p>
        </w:tc>
        <w:tc>
          <w:tcPr>
            <w:tcW w:w="390" w:type="dxa"/>
          </w:tcPr>
          <w:p>
            <w:pPr>
              <w:pStyle w:val="TableParagraph"/>
              <w:ind w:left="132"/>
              <w:rPr>
                <w:sz w:val="20"/>
              </w:rPr>
            </w:pPr>
            <w:r>
              <w:rPr>
                <w:spacing w:val="-5"/>
                <w:sz w:val="20"/>
              </w:rPr>
              <w:t>38</w:t>
            </w:r>
          </w:p>
        </w:tc>
        <w:tc>
          <w:tcPr>
            <w:tcW w:w="1183" w:type="dxa"/>
          </w:tcPr>
          <w:p>
            <w:pPr>
              <w:pStyle w:val="TableParagraph"/>
              <w:ind w:right="288"/>
              <w:jc w:val="right"/>
              <w:rPr>
                <w:sz w:val="20"/>
              </w:rPr>
            </w:pPr>
            <w:r>
              <w:rPr>
                <w:spacing w:val="-2"/>
                <w:sz w:val="20"/>
              </w:rPr>
              <w:t>43.69</w:t>
            </w:r>
          </w:p>
        </w:tc>
        <w:tc>
          <w:tcPr>
            <w:tcW w:w="531" w:type="dxa"/>
          </w:tcPr>
          <w:p>
            <w:pPr>
              <w:pStyle w:val="TableParagraph"/>
              <w:ind w:right="36"/>
              <w:jc w:val="right"/>
              <w:rPr>
                <w:sz w:val="20"/>
              </w:rPr>
            </w:pPr>
            <w:r>
              <w:rPr>
                <w:spacing w:val="-5"/>
                <w:sz w:val="20"/>
              </w:rPr>
              <w:t>34</w:t>
            </w:r>
          </w:p>
        </w:tc>
        <w:tc>
          <w:tcPr>
            <w:tcW w:w="1210" w:type="dxa"/>
          </w:tcPr>
          <w:p>
            <w:pPr>
              <w:pStyle w:val="TableParagraph"/>
              <w:ind w:right="243"/>
              <w:jc w:val="right"/>
              <w:rPr>
                <w:sz w:val="20"/>
              </w:rPr>
            </w:pPr>
            <w:r>
              <w:rPr>
                <w:spacing w:val="-2"/>
                <w:sz w:val="20"/>
              </w:rPr>
              <w:t>39.08</w:t>
            </w:r>
          </w:p>
        </w:tc>
        <w:tc>
          <w:tcPr>
            <w:tcW w:w="483" w:type="dxa"/>
          </w:tcPr>
          <w:p>
            <w:pPr>
              <w:pStyle w:val="TableParagraph"/>
              <w:ind w:right="30"/>
              <w:jc w:val="right"/>
              <w:rPr>
                <w:sz w:val="20"/>
              </w:rPr>
            </w:pPr>
            <w:r>
              <w:rPr>
                <w:spacing w:val="-5"/>
                <w:sz w:val="20"/>
              </w:rPr>
              <w:t>15</w:t>
            </w:r>
          </w:p>
        </w:tc>
        <w:tc>
          <w:tcPr>
            <w:tcW w:w="409" w:type="dxa"/>
          </w:tcPr>
          <w:p>
            <w:pPr>
              <w:pStyle w:val="TableParagraph"/>
              <w:spacing w:line="240" w:lineRule="auto"/>
              <w:jc w:val="left"/>
              <w:rPr>
                <w:sz w:val="16"/>
              </w:rPr>
            </w:pPr>
          </w:p>
        </w:tc>
        <w:tc>
          <w:tcPr>
            <w:tcW w:w="755" w:type="dxa"/>
          </w:tcPr>
          <w:p>
            <w:pPr>
              <w:pStyle w:val="TableParagraph"/>
              <w:ind w:left="68"/>
              <w:jc w:val="left"/>
              <w:rPr>
                <w:sz w:val="20"/>
              </w:rPr>
            </w:pPr>
            <w:r>
              <w:rPr>
                <w:spacing w:val="-2"/>
                <w:sz w:val="20"/>
              </w:rPr>
              <w:t>17.24</w:t>
            </w:r>
          </w:p>
        </w:tc>
        <w:tc>
          <w:tcPr>
            <w:tcW w:w="569" w:type="dxa"/>
          </w:tcPr>
          <w:p>
            <w:pPr>
              <w:pStyle w:val="TableParagraph"/>
              <w:ind w:left="292"/>
              <w:jc w:val="left"/>
              <w:rPr>
                <w:sz w:val="20"/>
              </w:rPr>
            </w:pPr>
            <w:r>
              <w:rPr>
                <w:spacing w:val="-5"/>
                <w:sz w:val="20"/>
              </w:rPr>
              <w:t>87</w:t>
            </w:r>
          </w:p>
        </w:tc>
        <w:tc>
          <w:tcPr>
            <w:tcW w:w="1323" w:type="dxa"/>
          </w:tcPr>
          <w:p>
            <w:pPr>
              <w:pStyle w:val="TableParagraph"/>
              <w:ind w:right="352"/>
              <w:jc w:val="right"/>
              <w:rPr>
                <w:sz w:val="20"/>
              </w:rPr>
            </w:pPr>
            <w:r>
              <w:rPr>
                <w:spacing w:val="-2"/>
                <w:sz w:val="20"/>
              </w:rPr>
              <w:t>68.50</w:t>
            </w:r>
          </w:p>
        </w:tc>
      </w:tr>
      <w:tr>
        <w:trPr>
          <w:trHeight w:val="230" w:hRule="atLeast"/>
        </w:trPr>
        <w:tc>
          <w:tcPr>
            <w:tcW w:w="1175" w:type="dxa"/>
          </w:tcPr>
          <w:p>
            <w:pPr>
              <w:pStyle w:val="TableParagraph"/>
              <w:spacing w:line="240" w:lineRule="auto"/>
              <w:jc w:val="left"/>
              <w:rPr>
                <w:sz w:val="16"/>
              </w:rPr>
            </w:pPr>
          </w:p>
        </w:tc>
        <w:tc>
          <w:tcPr>
            <w:tcW w:w="1268" w:type="dxa"/>
          </w:tcPr>
          <w:p>
            <w:pPr>
              <w:pStyle w:val="TableParagraph"/>
              <w:ind w:left="286"/>
              <w:jc w:val="left"/>
              <w:rPr>
                <w:sz w:val="20"/>
              </w:rPr>
            </w:pPr>
            <w:r>
              <w:rPr>
                <w:spacing w:val="-5"/>
                <w:sz w:val="20"/>
              </w:rPr>
              <w:t>No</w:t>
            </w:r>
          </w:p>
        </w:tc>
        <w:tc>
          <w:tcPr>
            <w:tcW w:w="390" w:type="dxa"/>
          </w:tcPr>
          <w:p>
            <w:pPr>
              <w:pStyle w:val="TableParagraph"/>
              <w:ind w:left="132" w:right="5"/>
              <w:rPr>
                <w:sz w:val="20"/>
              </w:rPr>
            </w:pPr>
            <w:r>
              <w:rPr>
                <w:spacing w:val="-10"/>
                <w:sz w:val="20"/>
              </w:rPr>
              <w:t>6</w:t>
            </w:r>
          </w:p>
        </w:tc>
        <w:tc>
          <w:tcPr>
            <w:tcW w:w="1183" w:type="dxa"/>
          </w:tcPr>
          <w:p>
            <w:pPr>
              <w:pStyle w:val="TableParagraph"/>
              <w:ind w:left="152"/>
              <w:rPr>
                <w:sz w:val="20"/>
              </w:rPr>
            </w:pPr>
            <w:r>
              <w:rPr>
                <w:spacing w:val="-5"/>
                <w:sz w:val="20"/>
              </w:rPr>
              <w:t>15</w:t>
            </w:r>
          </w:p>
        </w:tc>
        <w:tc>
          <w:tcPr>
            <w:tcW w:w="531" w:type="dxa"/>
          </w:tcPr>
          <w:p>
            <w:pPr>
              <w:pStyle w:val="TableParagraph"/>
              <w:ind w:right="89"/>
              <w:jc w:val="right"/>
              <w:rPr>
                <w:sz w:val="20"/>
              </w:rPr>
            </w:pPr>
            <w:r>
              <w:rPr>
                <w:spacing w:val="-10"/>
                <w:sz w:val="20"/>
              </w:rPr>
              <w:t>9</w:t>
            </w:r>
          </w:p>
        </w:tc>
        <w:tc>
          <w:tcPr>
            <w:tcW w:w="1210" w:type="dxa"/>
          </w:tcPr>
          <w:p>
            <w:pPr>
              <w:pStyle w:val="TableParagraph"/>
              <w:ind w:left="562"/>
              <w:jc w:val="left"/>
              <w:rPr>
                <w:sz w:val="20"/>
              </w:rPr>
            </w:pPr>
            <w:r>
              <w:rPr>
                <w:spacing w:val="-4"/>
                <w:sz w:val="20"/>
              </w:rPr>
              <w:t>22.5</w:t>
            </w:r>
          </w:p>
        </w:tc>
        <w:tc>
          <w:tcPr>
            <w:tcW w:w="483" w:type="dxa"/>
          </w:tcPr>
          <w:p>
            <w:pPr>
              <w:pStyle w:val="TableParagraph"/>
              <w:ind w:right="30"/>
              <w:jc w:val="right"/>
              <w:rPr>
                <w:sz w:val="20"/>
              </w:rPr>
            </w:pPr>
            <w:r>
              <w:rPr>
                <w:spacing w:val="-5"/>
                <w:sz w:val="20"/>
              </w:rPr>
              <w:t>25</w:t>
            </w:r>
          </w:p>
        </w:tc>
        <w:tc>
          <w:tcPr>
            <w:tcW w:w="409" w:type="dxa"/>
          </w:tcPr>
          <w:p>
            <w:pPr>
              <w:pStyle w:val="TableParagraph"/>
              <w:spacing w:line="240" w:lineRule="auto"/>
              <w:jc w:val="left"/>
              <w:rPr>
                <w:sz w:val="16"/>
              </w:rPr>
            </w:pPr>
          </w:p>
        </w:tc>
        <w:tc>
          <w:tcPr>
            <w:tcW w:w="755" w:type="dxa"/>
          </w:tcPr>
          <w:p>
            <w:pPr>
              <w:pStyle w:val="TableParagraph"/>
              <w:ind w:left="118"/>
              <w:jc w:val="left"/>
              <w:rPr>
                <w:sz w:val="20"/>
              </w:rPr>
            </w:pPr>
            <w:r>
              <w:rPr>
                <w:spacing w:val="-4"/>
                <w:sz w:val="20"/>
              </w:rPr>
              <w:t>62.5</w:t>
            </w:r>
          </w:p>
        </w:tc>
        <w:tc>
          <w:tcPr>
            <w:tcW w:w="569" w:type="dxa"/>
          </w:tcPr>
          <w:p>
            <w:pPr>
              <w:pStyle w:val="TableParagraph"/>
              <w:ind w:left="292"/>
              <w:jc w:val="left"/>
              <w:rPr>
                <w:sz w:val="20"/>
              </w:rPr>
            </w:pPr>
            <w:r>
              <w:rPr>
                <w:spacing w:val="-5"/>
                <w:sz w:val="20"/>
              </w:rPr>
              <w:t>40</w:t>
            </w:r>
          </w:p>
        </w:tc>
        <w:tc>
          <w:tcPr>
            <w:tcW w:w="1323" w:type="dxa"/>
          </w:tcPr>
          <w:p>
            <w:pPr>
              <w:pStyle w:val="TableParagraph"/>
              <w:ind w:right="352"/>
              <w:jc w:val="right"/>
              <w:rPr>
                <w:sz w:val="20"/>
              </w:rPr>
            </w:pPr>
            <w:r>
              <w:rPr>
                <w:spacing w:val="-2"/>
                <w:sz w:val="20"/>
              </w:rPr>
              <w:t>31.50</w:t>
            </w:r>
          </w:p>
        </w:tc>
      </w:tr>
      <w:tr>
        <w:trPr>
          <w:trHeight w:val="229" w:hRule="atLeast"/>
        </w:trPr>
        <w:tc>
          <w:tcPr>
            <w:tcW w:w="1175" w:type="dxa"/>
          </w:tcPr>
          <w:p>
            <w:pPr>
              <w:pStyle w:val="TableParagraph"/>
              <w:spacing w:line="209" w:lineRule="exact"/>
              <w:ind w:left="122"/>
              <w:jc w:val="left"/>
              <w:rPr>
                <w:sz w:val="20"/>
              </w:rPr>
            </w:pPr>
            <w:r>
              <w:rPr>
                <w:spacing w:val="-2"/>
                <w:sz w:val="20"/>
              </w:rPr>
              <w:t>MCoop</w:t>
            </w:r>
          </w:p>
        </w:tc>
        <w:tc>
          <w:tcPr>
            <w:tcW w:w="1268" w:type="dxa"/>
          </w:tcPr>
          <w:p>
            <w:pPr>
              <w:pStyle w:val="TableParagraph"/>
              <w:spacing w:line="209" w:lineRule="exact"/>
              <w:ind w:left="286"/>
              <w:jc w:val="left"/>
              <w:rPr>
                <w:sz w:val="20"/>
              </w:rPr>
            </w:pPr>
            <w:r>
              <w:rPr>
                <w:spacing w:val="-5"/>
                <w:sz w:val="20"/>
              </w:rPr>
              <w:t>Yes</w:t>
            </w:r>
          </w:p>
        </w:tc>
        <w:tc>
          <w:tcPr>
            <w:tcW w:w="390" w:type="dxa"/>
          </w:tcPr>
          <w:p>
            <w:pPr>
              <w:pStyle w:val="TableParagraph"/>
              <w:spacing w:line="209" w:lineRule="exact"/>
              <w:ind w:left="132"/>
              <w:rPr>
                <w:sz w:val="20"/>
              </w:rPr>
            </w:pPr>
            <w:r>
              <w:rPr>
                <w:spacing w:val="-5"/>
                <w:sz w:val="20"/>
              </w:rPr>
              <w:t>26</w:t>
            </w:r>
          </w:p>
        </w:tc>
        <w:tc>
          <w:tcPr>
            <w:tcW w:w="1183" w:type="dxa"/>
          </w:tcPr>
          <w:p>
            <w:pPr>
              <w:pStyle w:val="TableParagraph"/>
              <w:spacing w:line="209" w:lineRule="exact"/>
              <w:ind w:right="288"/>
              <w:jc w:val="right"/>
              <w:rPr>
                <w:sz w:val="20"/>
              </w:rPr>
            </w:pPr>
            <w:r>
              <w:rPr>
                <w:spacing w:val="-2"/>
                <w:sz w:val="20"/>
              </w:rPr>
              <w:t>31.32</w:t>
            </w:r>
          </w:p>
        </w:tc>
        <w:tc>
          <w:tcPr>
            <w:tcW w:w="531" w:type="dxa"/>
          </w:tcPr>
          <w:p>
            <w:pPr>
              <w:pStyle w:val="TableParagraph"/>
              <w:spacing w:line="209" w:lineRule="exact"/>
              <w:ind w:right="36"/>
              <w:jc w:val="right"/>
              <w:rPr>
                <w:sz w:val="20"/>
              </w:rPr>
            </w:pPr>
            <w:r>
              <w:rPr>
                <w:spacing w:val="-5"/>
                <w:sz w:val="20"/>
              </w:rPr>
              <w:t>31</w:t>
            </w:r>
          </w:p>
        </w:tc>
        <w:tc>
          <w:tcPr>
            <w:tcW w:w="1210" w:type="dxa"/>
          </w:tcPr>
          <w:p>
            <w:pPr>
              <w:pStyle w:val="TableParagraph"/>
              <w:spacing w:line="209" w:lineRule="exact"/>
              <w:ind w:right="243"/>
              <w:jc w:val="right"/>
              <w:rPr>
                <w:sz w:val="20"/>
              </w:rPr>
            </w:pPr>
            <w:r>
              <w:rPr>
                <w:spacing w:val="-2"/>
                <w:sz w:val="20"/>
              </w:rPr>
              <w:t>37.35</w:t>
            </w:r>
          </w:p>
        </w:tc>
        <w:tc>
          <w:tcPr>
            <w:tcW w:w="483" w:type="dxa"/>
          </w:tcPr>
          <w:p>
            <w:pPr>
              <w:pStyle w:val="TableParagraph"/>
              <w:spacing w:line="209" w:lineRule="exact"/>
              <w:ind w:right="30"/>
              <w:jc w:val="right"/>
              <w:rPr>
                <w:sz w:val="20"/>
              </w:rPr>
            </w:pPr>
            <w:r>
              <w:rPr>
                <w:spacing w:val="-5"/>
                <w:sz w:val="20"/>
              </w:rPr>
              <w:t>15</w:t>
            </w:r>
          </w:p>
        </w:tc>
        <w:tc>
          <w:tcPr>
            <w:tcW w:w="409" w:type="dxa"/>
          </w:tcPr>
          <w:p>
            <w:pPr>
              <w:pStyle w:val="TableParagraph"/>
              <w:spacing w:line="240" w:lineRule="auto"/>
              <w:jc w:val="left"/>
              <w:rPr>
                <w:sz w:val="16"/>
              </w:rPr>
            </w:pPr>
          </w:p>
        </w:tc>
        <w:tc>
          <w:tcPr>
            <w:tcW w:w="755" w:type="dxa"/>
          </w:tcPr>
          <w:p>
            <w:pPr>
              <w:pStyle w:val="TableParagraph"/>
              <w:spacing w:line="209" w:lineRule="exact"/>
              <w:ind w:left="68"/>
              <w:jc w:val="left"/>
              <w:rPr>
                <w:sz w:val="20"/>
              </w:rPr>
            </w:pPr>
            <w:r>
              <w:rPr>
                <w:spacing w:val="-2"/>
                <w:sz w:val="20"/>
              </w:rPr>
              <w:t>18.07</w:t>
            </w:r>
          </w:p>
        </w:tc>
        <w:tc>
          <w:tcPr>
            <w:tcW w:w="569" w:type="dxa"/>
          </w:tcPr>
          <w:p>
            <w:pPr>
              <w:pStyle w:val="TableParagraph"/>
              <w:spacing w:line="209" w:lineRule="exact"/>
              <w:ind w:left="292"/>
              <w:jc w:val="left"/>
              <w:rPr>
                <w:sz w:val="20"/>
              </w:rPr>
            </w:pPr>
            <w:r>
              <w:rPr>
                <w:spacing w:val="-5"/>
                <w:sz w:val="20"/>
              </w:rPr>
              <w:t>83</w:t>
            </w:r>
          </w:p>
        </w:tc>
        <w:tc>
          <w:tcPr>
            <w:tcW w:w="1323" w:type="dxa"/>
          </w:tcPr>
          <w:p>
            <w:pPr>
              <w:pStyle w:val="TableParagraph"/>
              <w:spacing w:line="209" w:lineRule="exact"/>
              <w:ind w:right="352"/>
              <w:jc w:val="right"/>
              <w:rPr>
                <w:sz w:val="20"/>
              </w:rPr>
            </w:pPr>
            <w:r>
              <w:rPr>
                <w:spacing w:val="-2"/>
                <w:sz w:val="20"/>
              </w:rPr>
              <w:t>65.35</w:t>
            </w:r>
          </w:p>
        </w:tc>
      </w:tr>
      <w:tr>
        <w:trPr>
          <w:trHeight w:val="233" w:hRule="atLeast"/>
        </w:trPr>
        <w:tc>
          <w:tcPr>
            <w:tcW w:w="1175" w:type="dxa"/>
            <w:tcBorders>
              <w:bottom w:val="double" w:sz="4" w:space="0" w:color="000000"/>
            </w:tcBorders>
          </w:tcPr>
          <w:p>
            <w:pPr>
              <w:pStyle w:val="TableParagraph"/>
              <w:spacing w:line="240" w:lineRule="auto"/>
              <w:jc w:val="left"/>
              <w:rPr>
                <w:sz w:val="16"/>
              </w:rPr>
            </w:pPr>
          </w:p>
        </w:tc>
        <w:tc>
          <w:tcPr>
            <w:tcW w:w="1268" w:type="dxa"/>
            <w:tcBorders>
              <w:bottom w:val="double" w:sz="4" w:space="0" w:color="000000"/>
            </w:tcBorders>
          </w:tcPr>
          <w:p>
            <w:pPr>
              <w:pStyle w:val="TableParagraph"/>
              <w:spacing w:line="213" w:lineRule="exact"/>
              <w:ind w:left="286"/>
              <w:jc w:val="left"/>
              <w:rPr>
                <w:sz w:val="20"/>
              </w:rPr>
            </w:pPr>
            <w:r>
              <w:rPr>
                <w:spacing w:val="-5"/>
                <w:sz w:val="20"/>
              </w:rPr>
              <w:t>No</w:t>
            </w:r>
          </w:p>
        </w:tc>
        <w:tc>
          <w:tcPr>
            <w:tcW w:w="390" w:type="dxa"/>
            <w:tcBorders>
              <w:bottom w:val="double" w:sz="4" w:space="0" w:color="000000"/>
            </w:tcBorders>
          </w:tcPr>
          <w:p>
            <w:pPr>
              <w:pStyle w:val="TableParagraph"/>
              <w:spacing w:line="213" w:lineRule="exact"/>
              <w:ind w:left="132"/>
              <w:rPr>
                <w:sz w:val="20"/>
              </w:rPr>
            </w:pPr>
            <w:r>
              <w:rPr>
                <w:spacing w:val="-5"/>
                <w:sz w:val="20"/>
              </w:rPr>
              <w:t>18</w:t>
            </w:r>
          </w:p>
        </w:tc>
        <w:tc>
          <w:tcPr>
            <w:tcW w:w="1183" w:type="dxa"/>
            <w:tcBorders>
              <w:bottom w:val="double" w:sz="4" w:space="0" w:color="000000"/>
            </w:tcBorders>
          </w:tcPr>
          <w:p>
            <w:pPr>
              <w:pStyle w:val="TableParagraph"/>
              <w:spacing w:line="213" w:lineRule="exact"/>
              <w:ind w:right="288"/>
              <w:jc w:val="right"/>
              <w:rPr>
                <w:sz w:val="20"/>
              </w:rPr>
            </w:pPr>
            <w:r>
              <w:rPr>
                <w:spacing w:val="-2"/>
                <w:sz w:val="20"/>
              </w:rPr>
              <w:t>40.90</w:t>
            </w:r>
          </w:p>
        </w:tc>
        <w:tc>
          <w:tcPr>
            <w:tcW w:w="531" w:type="dxa"/>
            <w:tcBorders>
              <w:bottom w:val="double" w:sz="4" w:space="0" w:color="000000"/>
            </w:tcBorders>
          </w:tcPr>
          <w:p>
            <w:pPr>
              <w:pStyle w:val="TableParagraph"/>
              <w:spacing w:line="213" w:lineRule="exact"/>
              <w:ind w:right="36"/>
              <w:jc w:val="right"/>
              <w:rPr>
                <w:sz w:val="20"/>
              </w:rPr>
            </w:pPr>
            <w:r>
              <w:rPr>
                <w:spacing w:val="-5"/>
                <w:sz w:val="20"/>
              </w:rPr>
              <w:t>12</w:t>
            </w:r>
          </w:p>
        </w:tc>
        <w:tc>
          <w:tcPr>
            <w:tcW w:w="1210" w:type="dxa"/>
            <w:tcBorders>
              <w:bottom w:val="double" w:sz="4" w:space="0" w:color="000000"/>
            </w:tcBorders>
          </w:tcPr>
          <w:p>
            <w:pPr>
              <w:pStyle w:val="TableParagraph"/>
              <w:spacing w:line="213" w:lineRule="exact"/>
              <w:ind w:right="243"/>
              <w:jc w:val="right"/>
              <w:rPr>
                <w:sz w:val="20"/>
              </w:rPr>
            </w:pPr>
            <w:r>
              <w:rPr>
                <w:spacing w:val="-2"/>
                <w:sz w:val="20"/>
              </w:rPr>
              <w:t>27.27</w:t>
            </w:r>
          </w:p>
        </w:tc>
        <w:tc>
          <w:tcPr>
            <w:tcW w:w="483" w:type="dxa"/>
            <w:tcBorders>
              <w:bottom w:val="double" w:sz="4" w:space="0" w:color="000000"/>
            </w:tcBorders>
          </w:tcPr>
          <w:p>
            <w:pPr>
              <w:pStyle w:val="TableParagraph"/>
              <w:spacing w:line="213" w:lineRule="exact"/>
              <w:ind w:right="30"/>
              <w:jc w:val="right"/>
              <w:rPr>
                <w:sz w:val="20"/>
              </w:rPr>
            </w:pPr>
            <w:r>
              <w:rPr>
                <w:spacing w:val="-5"/>
                <w:sz w:val="20"/>
              </w:rPr>
              <w:t>25</w:t>
            </w:r>
          </w:p>
        </w:tc>
        <w:tc>
          <w:tcPr>
            <w:tcW w:w="409" w:type="dxa"/>
            <w:tcBorders>
              <w:bottom w:val="double" w:sz="4" w:space="0" w:color="000000"/>
            </w:tcBorders>
          </w:tcPr>
          <w:p>
            <w:pPr>
              <w:pStyle w:val="TableParagraph"/>
              <w:spacing w:line="240" w:lineRule="auto"/>
              <w:jc w:val="left"/>
              <w:rPr>
                <w:sz w:val="16"/>
              </w:rPr>
            </w:pPr>
          </w:p>
        </w:tc>
        <w:tc>
          <w:tcPr>
            <w:tcW w:w="755" w:type="dxa"/>
            <w:tcBorders>
              <w:bottom w:val="double" w:sz="4" w:space="0" w:color="000000"/>
            </w:tcBorders>
          </w:tcPr>
          <w:p>
            <w:pPr>
              <w:pStyle w:val="TableParagraph"/>
              <w:spacing w:line="213" w:lineRule="exact"/>
              <w:ind w:left="68"/>
              <w:jc w:val="left"/>
              <w:rPr>
                <w:sz w:val="20"/>
              </w:rPr>
            </w:pPr>
            <w:r>
              <w:rPr>
                <w:spacing w:val="-2"/>
                <w:sz w:val="20"/>
              </w:rPr>
              <w:t>56.82</w:t>
            </w:r>
          </w:p>
        </w:tc>
        <w:tc>
          <w:tcPr>
            <w:tcW w:w="569" w:type="dxa"/>
            <w:tcBorders>
              <w:bottom w:val="double" w:sz="4" w:space="0" w:color="000000"/>
            </w:tcBorders>
          </w:tcPr>
          <w:p>
            <w:pPr>
              <w:pStyle w:val="TableParagraph"/>
              <w:spacing w:line="213" w:lineRule="exact"/>
              <w:ind w:left="292"/>
              <w:jc w:val="left"/>
              <w:rPr>
                <w:sz w:val="20"/>
              </w:rPr>
            </w:pPr>
            <w:r>
              <w:rPr>
                <w:spacing w:val="-5"/>
                <w:sz w:val="20"/>
              </w:rPr>
              <w:t>44</w:t>
            </w:r>
          </w:p>
        </w:tc>
        <w:tc>
          <w:tcPr>
            <w:tcW w:w="1323" w:type="dxa"/>
            <w:tcBorders>
              <w:bottom w:val="double" w:sz="4" w:space="0" w:color="000000"/>
            </w:tcBorders>
          </w:tcPr>
          <w:p>
            <w:pPr>
              <w:pStyle w:val="TableParagraph"/>
              <w:spacing w:line="213" w:lineRule="exact"/>
              <w:ind w:right="352"/>
              <w:jc w:val="right"/>
              <w:rPr>
                <w:sz w:val="20"/>
              </w:rPr>
            </w:pPr>
            <w:r>
              <w:rPr>
                <w:spacing w:val="-2"/>
                <w:sz w:val="20"/>
              </w:rPr>
              <w:t>34.65</w:t>
            </w:r>
          </w:p>
        </w:tc>
      </w:tr>
    </w:tbl>
    <w:p>
      <w:pPr>
        <w:pStyle w:val="Heading3"/>
        <w:spacing w:before="9"/>
      </w:pPr>
      <w:r>
        <w:rPr/>
        <w:t>Source:</w:t>
      </w:r>
      <w:r>
        <w:rPr>
          <w:b w:val="0"/>
          <w:spacing w:val="-6"/>
        </w:rPr>
        <w:t> </w:t>
      </w:r>
      <w:r>
        <w:rPr/>
        <w:t>Own</w:t>
      </w:r>
      <w:r>
        <w:rPr>
          <w:b w:val="0"/>
          <w:spacing w:val="-6"/>
        </w:rPr>
        <w:t> </w:t>
      </w:r>
      <w:r>
        <w:rPr/>
        <w:t>computation</w:t>
      </w:r>
      <w:r>
        <w:rPr>
          <w:b w:val="0"/>
          <w:spacing w:val="-6"/>
        </w:rPr>
        <w:t> </w:t>
      </w:r>
      <w:r>
        <w:rPr/>
        <w:t>from</w:t>
      </w:r>
      <w:r>
        <w:rPr>
          <w:b w:val="0"/>
          <w:spacing w:val="-11"/>
        </w:rPr>
        <w:t> </w:t>
      </w:r>
      <w:r>
        <w:rPr/>
        <w:t>survey</w:t>
      </w:r>
      <w:r>
        <w:rPr>
          <w:b w:val="0"/>
          <w:spacing w:val="-5"/>
        </w:rPr>
        <w:t> </w:t>
      </w:r>
      <w:r>
        <w:rPr/>
        <w:t>result,</w:t>
      </w:r>
      <w:r>
        <w:rPr>
          <w:b w:val="0"/>
          <w:spacing w:val="-5"/>
        </w:rPr>
        <w:t> </w:t>
      </w:r>
      <w:r>
        <w:rPr>
          <w:spacing w:val="-4"/>
        </w:rPr>
        <w:t>2015</w:t>
      </w:r>
    </w:p>
    <w:p>
      <w:pPr>
        <w:spacing w:before="229"/>
        <w:ind w:left="240" w:right="5230" w:firstLine="0"/>
        <w:jc w:val="both"/>
        <w:rPr>
          <w:b/>
          <w:sz w:val="20"/>
        </w:rPr>
      </w:pPr>
      <w:r>
        <w:rPr>
          <w:b/>
          <w:sz w:val="20"/>
        </w:rPr>
        <w:t>Marketing</w:t>
      </w:r>
      <w:r>
        <w:rPr>
          <w:spacing w:val="-9"/>
          <w:sz w:val="20"/>
        </w:rPr>
        <w:t> </w:t>
      </w:r>
      <w:r>
        <w:rPr>
          <w:b/>
          <w:sz w:val="20"/>
        </w:rPr>
        <w:t>Channels</w:t>
      </w:r>
      <w:r>
        <w:rPr>
          <w:spacing w:val="-11"/>
          <w:sz w:val="20"/>
        </w:rPr>
        <w:t> </w:t>
      </w:r>
      <w:r>
        <w:rPr>
          <w:b/>
          <w:sz w:val="20"/>
        </w:rPr>
        <w:t>and</w:t>
      </w:r>
      <w:r>
        <w:rPr>
          <w:spacing w:val="-10"/>
          <w:sz w:val="20"/>
        </w:rPr>
        <w:t> </w:t>
      </w:r>
      <w:r>
        <w:rPr>
          <w:b/>
          <w:sz w:val="20"/>
        </w:rPr>
        <w:t>Performance</w:t>
      </w:r>
      <w:r>
        <w:rPr>
          <w:spacing w:val="-10"/>
          <w:sz w:val="20"/>
        </w:rPr>
        <w:t> </w:t>
      </w:r>
      <w:r>
        <w:rPr>
          <w:b/>
          <w:sz w:val="20"/>
        </w:rPr>
        <w:t>Analysis</w:t>
      </w:r>
      <w:r>
        <w:rPr>
          <w:sz w:val="20"/>
        </w:rPr>
        <w:t> </w:t>
      </w:r>
      <w:r>
        <w:rPr>
          <w:b/>
          <w:sz w:val="20"/>
        </w:rPr>
        <w:t>Marketing</w:t>
      </w:r>
      <w:r>
        <w:rPr>
          <w:sz w:val="20"/>
        </w:rPr>
        <w:t> </w:t>
      </w:r>
      <w:r>
        <w:rPr>
          <w:b/>
          <w:sz w:val="20"/>
        </w:rPr>
        <w:t>channels</w:t>
      </w:r>
    </w:p>
    <w:p>
      <w:pPr>
        <w:pStyle w:val="BodyText"/>
        <w:ind w:right="223"/>
      </w:pPr>
      <w:r>
        <w:rPr/>
        <w:t>A marketing channel is a business structure of interdependent organizations that reach from the point of product origin to the consumer with the purpose of moving products to their final consumption destination (Kotler and Armstrong, 2003).</w:t>
      </w:r>
      <w:r>
        <w:rPr>
          <w:spacing w:val="-5"/>
        </w:rPr>
        <w:t> </w:t>
      </w:r>
      <w:r>
        <w:rPr/>
        <w:t>The analysis</w:t>
      </w:r>
      <w:r>
        <w:rPr>
          <w:spacing w:val="-1"/>
        </w:rPr>
        <w:t> </w:t>
      </w:r>
      <w:r>
        <w:rPr/>
        <w:t>of marketing</w:t>
      </w:r>
      <w:r>
        <w:rPr>
          <w:spacing w:val="-2"/>
        </w:rPr>
        <w:t> </w:t>
      </w:r>
      <w:r>
        <w:rPr/>
        <w:t>channels</w:t>
      </w:r>
      <w:r>
        <w:rPr>
          <w:spacing w:val="-1"/>
        </w:rPr>
        <w:t> </w:t>
      </w:r>
      <w:r>
        <w:rPr/>
        <w:t>is</w:t>
      </w:r>
      <w:r>
        <w:rPr>
          <w:spacing w:val="-1"/>
        </w:rPr>
        <w:t> </w:t>
      </w:r>
      <w:r>
        <w:rPr/>
        <w:t>intended to provide a systematic knowledge of</w:t>
      </w:r>
      <w:r>
        <w:rPr>
          <w:spacing w:val="-2"/>
        </w:rPr>
        <w:t> </w:t>
      </w:r>
      <w:r>
        <w:rPr/>
        <w:t>the flow of the goods and services from their origin (producer) to the final destination (consumer).</w:t>
      </w:r>
    </w:p>
    <w:p>
      <w:pPr>
        <w:pStyle w:val="BodyText"/>
        <w:ind w:right="226" w:firstLine="720"/>
      </w:pPr>
      <w:r>
        <w:rPr/>
        <w:t>The</w:t>
      </w:r>
      <w:r>
        <w:rPr>
          <w:spacing w:val="-3"/>
        </w:rPr>
        <w:t> </w:t>
      </w:r>
      <w:r>
        <w:rPr/>
        <w:t>chain</w:t>
      </w:r>
      <w:r>
        <w:rPr>
          <w:spacing w:val="-2"/>
        </w:rPr>
        <w:t> </w:t>
      </w:r>
      <w:r>
        <w:rPr/>
        <w:t>connecting</w:t>
      </w:r>
      <w:r>
        <w:rPr>
          <w:spacing w:val="-3"/>
        </w:rPr>
        <w:t> </w:t>
      </w:r>
      <w:r>
        <w:rPr/>
        <w:t>both</w:t>
      </w:r>
      <w:r>
        <w:rPr>
          <w:spacing w:val="-3"/>
        </w:rPr>
        <w:t> </w:t>
      </w:r>
      <w:r>
        <w:rPr/>
        <w:t>producers</w:t>
      </w:r>
      <w:r>
        <w:rPr>
          <w:spacing w:val="-3"/>
        </w:rPr>
        <w:t> </w:t>
      </w:r>
      <w:r>
        <w:rPr/>
        <w:t>and</w:t>
      </w:r>
      <w:r>
        <w:rPr>
          <w:spacing w:val="-2"/>
        </w:rPr>
        <w:t> </w:t>
      </w:r>
      <w:r>
        <w:rPr/>
        <w:t>exporters</w:t>
      </w:r>
      <w:r>
        <w:rPr>
          <w:spacing w:val="-3"/>
        </w:rPr>
        <w:t> </w:t>
      </w:r>
      <w:r>
        <w:rPr/>
        <w:t>found</w:t>
      </w:r>
      <w:r>
        <w:rPr>
          <w:spacing w:val="-2"/>
        </w:rPr>
        <w:t> </w:t>
      </w:r>
      <w:r>
        <w:rPr/>
        <w:t>long</w:t>
      </w:r>
      <w:r>
        <w:rPr>
          <w:spacing w:val="-2"/>
        </w:rPr>
        <w:t> </w:t>
      </w:r>
      <w:r>
        <w:rPr/>
        <w:t>and</w:t>
      </w:r>
      <w:r>
        <w:rPr>
          <w:spacing w:val="-2"/>
        </w:rPr>
        <w:t> </w:t>
      </w:r>
      <w:r>
        <w:rPr/>
        <w:t>complex. Sesame market</w:t>
      </w:r>
      <w:r>
        <w:rPr>
          <w:spacing w:val="-3"/>
        </w:rPr>
        <w:t> </w:t>
      </w:r>
      <w:r>
        <w:rPr/>
        <w:t>is</w:t>
      </w:r>
      <w:r>
        <w:rPr>
          <w:spacing w:val="-3"/>
        </w:rPr>
        <w:t> </w:t>
      </w:r>
      <w:r>
        <w:rPr/>
        <w:t>operated freely. Government institutions except check point fees did not exercise any authority and control. It has been free of any interventions. This helped the involvement of too much actors during harvest and discouraged licensed traders. The basic and important sesame marketing channels identified during the study are diverse and</w:t>
      </w:r>
      <w:r>
        <w:rPr>
          <w:spacing w:val="40"/>
        </w:rPr>
        <w:t> </w:t>
      </w:r>
      <w:r>
        <w:rPr/>
        <w:t>a little bit different from the chains of other commodities.</w:t>
      </w:r>
    </w:p>
    <w:p>
      <w:pPr>
        <w:pStyle w:val="BodyText"/>
        <w:ind w:right="223" w:firstLine="720"/>
      </w:pPr>
      <w:r>
        <w:rPr/>
        <w:t>The initial links for sesame marketing channels are producers and the final destinations in country are exporters. In between lots of intermediaries existed which play</w:t>
      </w:r>
      <w:r>
        <w:rPr>
          <w:spacing w:val="-2"/>
        </w:rPr>
        <w:t> </w:t>
      </w:r>
      <w:r>
        <w:rPr/>
        <w:t>significant roles for the movement of the product to its final destination. The magnitude of these channel participants measured based on 2014/15 business transaction. During the 2015 production season the total sesame production in the Woreda was estimated to be 12520 quintals. As</w:t>
      </w:r>
      <w:r>
        <w:rPr>
          <w:spacing w:val="-1"/>
        </w:rPr>
        <w:t> </w:t>
      </w:r>
      <w:r>
        <w:rPr/>
        <w:t>per the findings</w:t>
      </w:r>
      <w:r>
        <w:rPr>
          <w:spacing w:val="-1"/>
        </w:rPr>
        <w:t> </w:t>
      </w:r>
      <w:r>
        <w:rPr/>
        <w:t>of</w:t>
      </w:r>
      <w:r>
        <w:rPr>
          <w:spacing w:val="-2"/>
        </w:rPr>
        <w:t> </w:t>
      </w:r>
      <w:r>
        <w:rPr/>
        <w:t>the study, the marketed surplus</w:t>
      </w:r>
      <w:r>
        <w:rPr>
          <w:spacing w:val="-1"/>
        </w:rPr>
        <w:t> </w:t>
      </w:r>
      <w:r>
        <w:rPr/>
        <w:t>of sesame which would flow</w:t>
      </w:r>
      <w:r>
        <w:rPr>
          <w:spacing w:val="-3"/>
        </w:rPr>
        <w:t> </w:t>
      </w:r>
      <w:r>
        <w:rPr/>
        <w:t>to the market through channel members was estimated 10521 quintals. Hence, the total Woreda marketed surplus of sesame seeds flow at each channel member was estimated by multiplying whole marketed surplus by their respective share in the channel. The shares are quantified based on the reports from the survey participants.</w:t>
      </w:r>
    </w:p>
    <w:p>
      <w:pPr>
        <w:spacing w:after="0"/>
        <w:sectPr>
          <w:type w:val="continuous"/>
          <w:pgSz w:w="11900" w:h="16840"/>
          <w:pgMar w:header="846" w:footer="819" w:top="1640" w:bottom="1000" w:left="1180" w:right="1180"/>
        </w:sectPr>
      </w:pPr>
    </w:p>
    <w:p>
      <w:pPr>
        <w:pStyle w:val="Heading3"/>
        <w:spacing w:before="103"/>
        <w:jc w:val="left"/>
      </w:pPr>
      <w:r>
        <w:rPr/>
        <w:t>Sesame</w:t>
      </w:r>
      <w:r>
        <w:rPr>
          <w:b w:val="0"/>
          <w:spacing w:val="-7"/>
        </w:rPr>
        <w:t> </w:t>
      </w:r>
      <w:r>
        <w:rPr/>
        <w:t>marketing</w:t>
      </w:r>
      <w:r>
        <w:rPr>
          <w:b w:val="0"/>
          <w:spacing w:val="-6"/>
        </w:rPr>
        <w:t> </w:t>
      </w:r>
      <w:r>
        <w:rPr/>
        <w:t>channel</w:t>
      </w:r>
      <w:r>
        <w:rPr>
          <w:b w:val="0"/>
          <w:spacing w:val="-7"/>
        </w:rPr>
        <w:t> </w:t>
      </w:r>
      <w:r>
        <w:rPr/>
        <w:t>in</w:t>
      </w:r>
      <w:r>
        <w:rPr>
          <w:b w:val="0"/>
          <w:spacing w:val="-7"/>
        </w:rPr>
        <w:t> </w:t>
      </w:r>
      <w:r>
        <w:rPr/>
        <w:t>Gimbi</w:t>
      </w:r>
      <w:r>
        <w:rPr>
          <w:b w:val="0"/>
          <w:spacing w:val="-6"/>
        </w:rPr>
        <w:t> </w:t>
      </w:r>
      <w:r>
        <w:rPr>
          <w:spacing w:val="-2"/>
        </w:rPr>
        <w:t>Woreda</w:t>
      </w:r>
    </w:p>
    <w:p>
      <w:pPr>
        <w:pStyle w:val="BodyText"/>
        <w:ind w:left="236"/>
        <w:jc w:val="left"/>
      </w:pPr>
      <w:r>
        <w:rPr/>
        <w:drawing>
          <wp:inline distT="0" distB="0" distL="0" distR="0">
            <wp:extent cx="5721859" cy="458114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5721859" cy="4581144"/>
                    </a:xfrm>
                    <a:prstGeom prst="rect">
                      <a:avLst/>
                    </a:prstGeom>
                  </pic:spPr>
                </pic:pic>
              </a:graphicData>
            </a:graphic>
          </wp:inline>
        </w:drawing>
      </w:r>
      <w:r>
        <w:rPr/>
      </w:r>
    </w:p>
    <w:p>
      <w:pPr>
        <w:pStyle w:val="BodyText"/>
        <w:spacing w:before="43"/>
        <w:ind w:left="1342"/>
        <w:jc w:val="left"/>
      </w:pPr>
      <w:r>
        <w:rPr>
          <w:color w:val="355E91"/>
        </w:rPr>
        <w:t>Figure:</w:t>
      </w:r>
      <w:r>
        <w:rPr>
          <w:color w:val="355E91"/>
          <w:spacing w:val="-8"/>
        </w:rPr>
        <w:t> </w:t>
      </w:r>
      <w:r>
        <w:rPr>
          <w:color w:val="355E91"/>
        </w:rPr>
        <w:t>3</w:t>
      </w:r>
      <w:r>
        <w:rPr>
          <w:color w:val="355E91"/>
          <w:spacing w:val="-7"/>
        </w:rPr>
        <w:t> </w:t>
      </w:r>
      <w:r>
        <w:rPr>
          <w:color w:val="355E91"/>
        </w:rPr>
        <w:t>Sesame</w:t>
      </w:r>
      <w:r>
        <w:rPr>
          <w:color w:val="355E91"/>
          <w:spacing w:val="-7"/>
        </w:rPr>
        <w:t> </w:t>
      </w:r>
      <w:r>
        <w:rPr>
          <w:color w:val="355E91"/>
        </w:rPr>
        <w:t>Market</w:t>
      </w:r>
      <w:r>
        <w:rPr>
          <w:color w:val="355E91"/>
          <w:spacing w:val="-7"/>
        </w:rPr>
        <w:t> </w:t>
      </w:r>
      <w:r>
        <w:rPr>
          <w:color w:val="355E91"/>
        </w:rPr>
        <w:t>Channels,</w:t>
      </w:r>
      <w:r>
        <w:rPr>
          <w:color w:val="355E91"/>
          <w:spacing w:val="-7"/>
        </w:rPr>
        <w:t> </w:t>
      </w:r>
      <w:r>
        <w:rPr>
          <w:color w:val="355E91"/>
          <w:spacing w:val="-4"/>
        </w:rPr>
        <w:t>2015</w:t>
      </w:r>
    </w:p>
    <w:p>
      <w:pPr>
        <w:pStyle w:val="Heading3"/>
        <w:spacing w:before="6"/>
        <w:ind w:left="1594"/>
        <w:jc w:val="left"/>
      </w:pPr>
      <w:r>
        <w:rPr/>
        <w:t>Source:</w:t>
      </w:r>
      <w:r>
        <w:rPr>
          <w:b w:val="0"/>
          <w:spacing w:val="-10"/>
        </w:rPr>
        <w:t> </w:t>
      </w:r>
      <w:r>
        <w:rPr/>
        <w:t>Survey</w:t>
      </w:r>
      <w:r>
        <w:rPr>
          <w:b w:val="0"/>
          <w:spacing w:val="-7"/>
        </w:rPr>
        <w:t> </w:t>
      </w:r>
      <w:r>
        <w:rPr/>
        <w:t>result,</w:t>
      </w:r>
      <w:r>
        <w:rPr>
          <w:b w:val="0"/>
          <w:spacing w:val="-6"/>
        </w:rPr>
        <w:t> </w:t>
      </w:r>
      <w:r>
        <w:rPr>
          <w:spacing w:val="-4"/>
        </w:rPr>
        <w:t>2015</w:t>
      </w:r>
    </w:p>
    <w:p>
      <w:pPr>
        <w:spacing w:before="0"/>
        <w:ind w:left="240" w:right="0" w:firstLine="0"/>
        <w:jc w:val="left"/>
        <w:rPr>
          <w:b/>
          <w:sz w:val="20"/>
        </w:rPr>
      </w:pPr>
      <w:r>
        <w:rPr>
          <w:b/>
          <w:sz w:val="20"/>
        </w:rPr>
        <w:t>The</w:t>
      </w:r>
      <w:r>
        <w:rPr>
          <w:spacing w:val="-6"/>
          <w:sz w:val="20"/>
        </w:rPr>
        <w:t> </w:t>
      </w:r>
      <w:r>
        <w:rPr>
          <w:b/>
          <w:sz w:val="20"/>
        </w:rPr>
        <w:t>identified</w:t>
      </w:r>
      <w:r>
        <w:rPr>
          <w:spacing w:val="-5"/>
          <w:sz w:val="20"/>
        </w:rPr>
        <w:t> </w:t>
      </w:r>
      <w:r>
        <w:rPr>
          <w:b/>
          <w:sz w:val="20"/>
        </w:rPr>
        <w:t>market</w:t>
      </w:r>
      <w:r>
        <w:rPr>
          <w:spacing w:val="-5"/>
          <w:sz w:val="20"/>
        </w:rPr>
        <w:t> </w:t>
      </w:r>
      <w:r>
        <w:rPr>
          <w:b/>
          <w:sz w:val="20"/>
        </w:rPr>
        <w:t>channels</w:t>
      </w:r>
      <w:r>
        <w:rPr>
          <w:spacing w:val="-6"/>
          <w:sz w:val="20"/>
        </w:rPr>
        <w:t> </w:t>
      </w:r>
      <w:r>
        <w:rPr>
          <w:b/>
          <w:sz w:val="20"/>
        </w:rPr>
        <w:t>depicted</w:t>
      </w:r>
      <w:r>
        <w:rPr>
          <w:spacing w:val="-6"/>
          <w:sz w:val="20"/>
        </w:rPr>
        <w:t> </w:t>
      </w:r>
      <w:r>
        <w:rPr>
          <w:b/>
          <w:sz w:val="20"/>
        </w:rPr>
        <w:t>in</w:t>
      </w:r>
      <w:r>
        <w:rPr>
          <w:spacing w:val="-6"/>
          <w:sz w:val="20"/>
        </w:rPr>
        <w:t> </w:t>
      </w:r>
      <w:r>
        <w:rPr>
          <w:b/>
          <w:sz w:val="20"/>
        </w:rPr>
        <w:t>above</w:t>
      </w:r>
      <w:r>
        <w:rPr>
          <w:spacing w:val="-6"/>
          <w:sz w:val="20"/>
        </w:rPr>
        <w:t> </w:t>
      </w:r>
      <w:r>
        <w:rPr>
          <w:b/>
          <w:sz w:val="20"/>
        </w:rPr>
        <w:t>figure</w:t>
      </w:r>
      <w:r>
        <w:rPr>
          <w:spacing w:val="-8"/>
          <w:sz w:val="20"/>
        </w:rPr>
        <w:t> </w:t>
      </w:r>
      <w:r>
        <w:rPr>
          <w:b/>
          <w:sz w:val="20"/>
        </w:rPr>
        <w:t>3</w:t>
      </w:r>
      <w:r>
        <w:rPr>
          <w:spacing w:val="-5"/>
          <w:sz w:val="20"/>
        </w:rPr>
        <w:t> </w:t>
      </w:r>
      <w:r>
        <w:rPr>
          <w:b/>
          <w:spacing w:val="-4"/>
          <w:sz w:val="20"/>
        </w:rPr>
        <w:t>are:</w:t>
      </w:r>
    </w:p>
    <w:p>
      <w:pPr>
        <w:pStyle w:val="BodyText"/>
        <w:ind w:left="236"/>
        <w:jc w:val="left"/>
      </w:pPr>
      <w:r>
        <w:rPr/>
        <w:drawing>
          <wp:inline distT="0" distB="0" distL="0" distR="0">
            <wp:extent cx="5769206" cy="243230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8" cstate="print"/>
                    <a:stretch>
                      <a:fillRect/>
                    </a:stretch>
                  </pic:blipFill>
                  <pic:spPr>
                    <a:xfrm>
                      <a:off x="0" y="0"/>
                      <a:ext cx="5769206" cy="2432304"/>
                    </a:xfrm>
                    <a:prstGeom prst="rect">
                      <a:avLst/>
                    </a:prstGeom>
                  </pic:spPr>
                </pic:pic>
              </a:graphicData>
            </a:graphic>
          </wp:inline>
        </w:drawing>
      </w:r>
      <w:r>
        <w:rPr/>
      </w:r>
    </w:p>
    <w:p>
      <w:pPr>
        <w:pStyle w:val="BodyText"/>
        <w:ind w:firstLine="720"/>
        <w:jc w:val="left"/>
      </w:pPr>
      <w:r>
        <w:rPr/>
        <w:t>The</w:t>
      </w:r>
      <w:r>
        <w:rPr>
          <w:spacing w:val="40"/>
        </w:rPr>
        <w:t> </w:t>
      </w:r>
      <w:r>
        <w:rPr/>
        <w:t>most</w:t>
      </w:r>
      <w:r>
        <w:rPr>
          <w:spacing w:val="39"/>
        </w:rPr>
        <w:t> </w:t>
      </w:r>
      <w:r>
        <w:rPr/>
        <w:t>important</w:t>
      </w:r>
      <w:r>
        <w:rPr>
          <w:spacing w:val="39"/>
        </w:rPr>
        <w:t> </w:t>
      </w:r>
      <w:r>
        <w:rPr/>
        <w:t>channels</w:t>
      </w:r>
      <w:r>
        <w:rPr>
          <w:spacing w:val="40"/>
        </w:rPr>
        <w:t> </w:t>
      </w:r>
      <w:r>
        <w:rPr/>
        <w:t>in</w:t>
      </w:r>
      <w:r>
        <w:rPr>
          <w:spacing w:val="38"/>
        </w:rPr>
        <w:t> </w:t>
      </w:r>
      <w:r>
        <w:rPr/>
        <w:t>the</w:t>
      </w:r>
      <w:r>
        <w:rPr>
          <w:spacing w:val="40"/>
        </w:rPr>
        <w:t> </w:t>
      </w:r>
      <w:r>
        <w:rPr/>
        <w:t>sesame</w:t>
      </w:r>
      <w:r>
        <w:rPr>
          <w:spacing w:val="40"/>
        </w:rPr>
        <w:t> </w:t>
      </w:r>
      <w:r>
        <w:rPr/>
        <w:t>marketing</w:t>
      </w:r>
      <w:r>
        <w:rPr>
          <w:spacing w:val="38"/>
        </w:rPr>
        <w:t> </w:t>
      </w:r>
      <w:r>
        <w:rPr/>
        <w:t>chain</w:t>
      </w:r>
      <w:r>
        <w:rPr>
          <w:spacing w:val="38"/>
        </w:rPr>
        <w:t> </w:t>
      </w:r>
      <w:r>
        <w:rPr/>
        <w:t>are</w:t>
      </w:r>
      <w:r>
        <w:rPr>
          <w:spacing w:val="40"/>
        </w:rPr>
        <w:t> </w:t>
      </w:r>
      <w:r>
        <w:rPr/>
        <w:t>those</w:t>
      </w:r>
      <w:r>
        <w:rPr>
          <w:spacing w:val="40"/>
        </w:rPr>
        <w:t> </w:t>
      </w:r>
      <w:r>
        <w:rPr/>
        <w:t>that</w:t>
      </w:r>
      <w:r>
        <w:rPr>
          <w:spacing w:val="40"/>
        </w:rPr>
        <w:t> </w:t>
      </w:r>
      <w:r>
        <w:rPr/>
        <w:t>move</w:t>
      </w:r>
      <w:r>
        <w:rPr>
          <w:spacing w:val="40"/>
        </w:rPr>
        <w:t> </w:t>
      </w:r>
      <w:r>
        <w:rPr/>
        <w:t>from</w:t>
      </w:r>
      <w:r>
        <w:rPr>
          <w:spacing w:val="38"/>
        </w:rPr>
        <w:t> </w:t>
      </w:r>
      <w:r>
        <w:rPr/>
        <w:t>farmers</w:t>
      </w:r>
      <w:r>
        <w:rPr>
          <w:spacing w:val="38"/>
        </w:rPr>
        <w:t> </w:t>
      </w:r>
      <w:r>
        <w:rPr/>
        <w:t>to assemblers, wholesalers and through primary cooperatives.</w:t>
      </w:r>
    </w:p>
    <w:p>
      <w:pPr>
        <w:pStyle w:val="Heading3"/>
        <w:spacing w:line="228" w:lineRule="exact" w:before="221"/>
      </w:pPr>
      <w:r>
        <w:rPr/>
        <w:t>Performance</w:t>
      </w:r>
      <w:r>
        <w:rPr>
          <w:b w:val="0"/>
          <w:spacing w:val="-8"/>
        </w:rPr>
        <w:t> </w:t>
      </w:r>
      <w:r>
        <w:rPr/>
        <w:t>of</w:t>
      </w:r>
      <w:r>
        <w:rPr>
          <w:b w:val="0"/>
          <w:spacing w:val="-6"/>
        </w:rPr>
        <w:t> </w:t>
      </w:r>
      <w:r>
        <w:rPr/>
        <w:t>sesame</w:t>
      </w:r>
      <w:r>
        <w:rPr>
          <w:b w:val="0"/>
          <w:spacing w:val="-5"/>
        </w:rPr>
        <w:t> </w:t>
      </w:r>
      <w:r>
        <w:rPr>
          <w:spacing w:val="-2"/>
        </w:rPr>
        <w:t>market</w:t>
      </w:r>
    </w:p>
    <w:p>
      <w:pPr>
        <w:pStyle w:val="BodyText"/>
        <w:ind w:right="226"/>
      </w:pPr>
      <w:r>
        <w:rPr/>
        <w:t>The performance of sesame market was evaluated by considering associated costs, returns and marketing margins. The methods employed for analysis of performance were channel comparison and marketing margin. The</w:t>
      </w:r>
      <w:r>
        <w:rPr>
          <w:spacing w:val="15"/>
        </w:rPr>
        <w:t> </w:t>
      </w:r>
      <w:r>
        <w:rPr/>
        <w:t>analysis</w:t>
      </w:r>
      <w:r>
        <w:rPr>
          <w:spacing w:val="14"/>
        </w:rPr>
        <w:t> </w:t>
      </w:r>
      <w:r>
        <w:rPr/>
        <w:t>of</w:t>
      </w:r>
      <w:r>
        <w:rPr>
          <w:spacing w:val="16"/>
        </w:rPr>
        <w:t> </w:t>
      </w:r>
      <w:r>
        <w:rPr/>
        <w:t>marketing</w:t>
      </w:r>
      <w:r>
        <w:rPr>
          <w:spacing w:val="14"/>
        </w:rPr>
        <w:t> </w:t>
      </w:r>
      <w:r>
        <w:rPr/>
        <w:t>channels</w:t>
      </w:r>
      <w:r>
        <w:rPr>
          <w:spacing w:val="16"/>
        </w:rPr>
        <w:t> </w:t>
      </w:r>
      <w:r>
        <w:rPr/>
        <w:t>was</w:t>
      </w:r>
      <w:r>
        <w:rPr>
          <w:spacing w:val="14"/>
        </w:rPr>
        <w:t> </w:t>
      </w:r>
      <w:r>
        <w:rPr/>
        <w:t>intended</w:t>
      </w:r>
      <w:r>
        <w:rPr>
          <w:spacing w:val="16"/>
        </w:rPr>
        <w:t> </w:t>
      </w:r>
      <w:r>
        <w:rPr/>
        <w:t>to</w:t>
      </w:r>
      <w:r>
        <w:rPr>
          <w:spacing w:val="16"/>
        </w:rPr>
        <w:t> </w:t>
      </w:r>
      <w:r>
        <w:rPr/>
        <w:t>provide</w:t>
      </w:r>
      <w:r>
        <w:rPr>
          <w:spacing w:val="15"/>
        </w:rPr>
        <w:t> </w:t>
      </w:r>
      <w:r>
        <w:rPr/>
        <w:t>a</w:t>
      </w:r>
      <w:r>
        <w:rPr>
          <w:spacing w:val="15"/>
        </w:rPr>
        <w:t> </w:t>
      </w:r>
      <w:r>
        <w:rPr/>
        <w:t>systematic</w:t>
      </w:r>
      <w:r>
        <w:rPr>
          <w:spacing w:val="18"/>
        </w:rPr>
        <w:t> </w:t>
      </w:r>
      <w:r>
        <w:rPr/>
        <w:t>knowledge</w:t>
      </w:r>
      <w:r>
        <w:rPr>
          <w:spacing w:val="15"/>
        </w:rPr>
        <w:t> </w:t>
      </w:r>
      <w:r>
        <w:rPr/>
        <w:t>of</w:t>
      </w:r>
      <w:r>
        <w:rPr>
          <w:spacing w:val="16"/>
        </w:rPr>
        <w:t> </w:t>
      </w:r>
      <w:r>
        <w:rPr/>
        <w:t>the</w:t>
      </w:r>
      <w:r>
        <w:rPr>
          <w:spacing w:val="18"/>
        </w:rPr>
        <w:t> </w:t>
      </w:r>
      <w:r>
        <w:rPr/>
        <w:t>flow</w:t>
      </w:r>
      <w:r>
        <w:rPr>
          <w:spacing w:val="13"/>
        </w:rPr>
        <w:t> </w:t>
      </w:r>
      <w:r>
        <w:rPr/>
        <w:t>of</w:t>
      </w:r>
      <w:r>
        <w:rPr>
          <w:spacing w:val="16"/>
        </w:rPr>
        <w:t> </w:t>
      </w:r>
      <w:r>
        <w:rPr/>
        <w:t>goods</w:t>
      </w:r>
      <w:r>
        <w:rPr>
          <w:spacing w:val="14"/>
        </w:rPr>
        <w:t> </w:t>
      </w:r>
      <w:r>
        <w:rPr/>
        <w:t>and</w:t>
      </w:r>
    </w:p>
    <w:p>
      <w:pPr>
        <w:spacing w:after="0"/>
        <w:sectPr>
          <w:pgSz w:w="11900" w:h="16840"/>
          <w:pgMar w:header="846" w:footer="819" w:top="1640" w:bottom="1000" w:left="1180" w:right="1180"/>
        </w:sectPr>
      </w:pPr>
    </w:p>
    <w:p>
      <w:pPr>
        <w:pStyle w:val="BodyText"/>
        <w:spacing w:before="98"/>
        <w:ind w:right="226"/>
      </w:pPr>
      <w:r>
        <w:rPr/>
        <w:t>services from its origin of production to final destination (ultimate consumers). The estimated volume of production of sesame was about 12520 quintals, from which about 10521 qts of sesame were sold.</w:t>
      </w:r>
    </w:p>
    <w:p>
      <w:pPr>
        <w:pStyle w:val="BodyText"/>
        <w:ind w:right="223" w:firstLine="720"/>
      </w:pPr>
      <w:r>
        <w:rPr/>
        <w:t>The</w:t>
      </w:r>
      <w:r>
        <w:rPr>
          <w:spacing w:val="-2"/>
        </w:rPr>
        <w:t> </w:t>
      </w:r>
      <w:r>
        <w:rPr/>
        <w:t>distribution</w:t>
      </w:r>
      <w:r>
        <w:rPr>
          <w:spacing w:val="-3"/>
        </w:rPr>
        <w:t> </w:t>
      </w:r>
      <w:r>
        <w:rPr/>
        <w:t>of</w:t>
      </w:r>
      <w:r>
        <w:rPr>
          <w:spacing w:val="-4"/>
        </w:rPr>
        <w:t> </w:t>
      </w:r>
      <w:r>
        <w:rPr/>
        <w:t>costs</w:t>
      </w:r>
      <w:r>
        <w:rPr>
          <w:spacing w:val="-3"/>
        </w:rPr>
        <w:t> </w:t>
      </w:r>
      <w:r>
        <w:rPr/>
        <w:t>and gross</w:t>
      </w:r>
      <w:r>
        <w:rPr>
          <w:spacing w:val="-3"/>
        </w:rPr>
        <w:t> </w:t>
      </w:r>
      <w:r>
        <w:rPr/>
        <w:t>income</w:t>
      </w:r>
      <w:r>
        <w:rPr>
          <w:spacing w:val="-2"/>
        </w:rPr>
        <w:t> </w:t>
      </w:r>
      <w:r>
        <w:rPr/>
        <w:t>at</w:t>
      </w:r>
      <w:r>
        <w:rPr>
          <w:spacing w:val="-2"/>
        </w:rPr>
        <w:t> </w:t>
      </w:r>
      <w:r>
        <w:rPr/>
        <w:t>different levels is</w:t>
      </w:r>
      <w:r>
        <w:rPr>
          <w:spacing w:val="-3"/>
        </w:rPr>
        <w:t> </w:t>
      </w:r>
      <w:r>
        <w:rPr/>
        <w:t>important</w:t>
      </w:r>
      <w:r>
        <w:rPr>
          <w:spacing w:val="-2"/>
        </w:rPr>
        <w:t> </w:t>
      </w:r>
      <w:r>
        <w:rPr/>
        <w:t>in</w:t>
      </w:r>
      <w:r>
        <w:rPr>
          <w:spacing w:val="-3"/>
        </w:rPr>
        <w:t> </w:t>
      </w:r>
      <w:r>
        <w:rPr/>
        <w:t>the</w:t>
      </w:r>
      <w:r>
        <w:rPr>
          <w:spacing w:val="-2"/>
        </w:rPr>
        <w:t> </w:t>
      </w:r>
      <w:r>
        <w:rPr/>
        <w:t>business</w:t>
      </w:r>
      <w:r>
        <w:rPr>
          <w:spacing w:val="-3"/>
        </w:rPr>
        <w:t> </w:t>
      </w:r>
      <w:r>
        <w:rPr/>
        <w:t>of</w:t>
      </w:r>
      <w:r>
        <w:rPr>
          <w:spacing w:val="-4"/>
        </w:rPr>
        <w:t> </w:t>
      </w:r>
      <w:r>
        <w:rPr/>
        <w:t>sesame.</w:t>
      </w:r>
      <w:r>
        <w:rPr>
          <w:spacing w:val="-1"/>
        </w:rPr>
        <w:t> </w:t>
      </w:r>
      <w:r>
        <w:rPr/>
        <w:t>The marketing cost of the sesame mainly involves the cost of pre-harvest and post-harvest activities incurred before reaching the consumer. This includes cost of Land clearing and preparation, Plowing, Inputs/seed, chemicals, fertilizer/, Seeding, Weeding, Harvesting, Threshing, Transport from farm to home, Packing materials, loading and Unloading and tax costs. Generally, these components constitute a large share in the total margin between</w:t>
      </w:r>
      <w:r>
        <w:rPr>
          <w:spacing w:val="40"/>
        </w:rPr>
        <w:t> </w:t>
      </w:r>
      <w:r>
        <w:rPr/>
        <w:t>the final retailer price and the cost of production. The margin calculation is done to show the distribution throughout the various actors as sesame move from production to collectors, wholesalers, retail markets, and finally to consumers.</w:t>
      </w:r>
    </w:p>
    <w:p>
      <w:pPr>
        <w:pStyle w:val="BodyText"/>
        <w:ind w:right="223" w:firstLine="720"/>
      </w:pPr>
      <w:r>
        <w:rPr/>
        <w:t>Marketing margin can be used to measure the share of the final selling price that is captured by a particular agent in the value chain. The relative size of various market participants’</w:t>
      </w:r>
      <w:r>
        <w:rPr>
          <w:spacing w:val="-2"/>
        </w:rPr>
        <w:t> </w:t>
      </w:r>
      <w:r>
        <w:rPr/>
        <w:t>gross margins can indicate where in the marketing chain value is added and/or profits are made. In order to calculate the marketing margin of an agent, the average price of sesame for that particular agent was taken. For instance, the buying price of consumers was obtained by taking the average purchasing price of final price. In order to measure the market share of each agent, the marketing channel where all agents have participated was selected. Marketing margins, associated costs and benefit share of value chain actors and marketing margins through different main channels was presented bellow.</w:t>
      </w:r>
    </w:p>
    <w:p>
      <w:pPr>
        <w:pStyle w:val="BodyText"/>
        <w:spacing w:before="6"/>
        <w:ind w:left="0"/>
        <w:jc w:val="left"/>
      </w:pPr>
    </w:p>
    <w:p>
      <w:pPr>
        <w:pStyle w:val="Heading3"/>
        <w:spacing w:line="227" w:lineRule="exact"/>
        <w:jc w:val="left"/>
      </w:pPr>
      <w:r>
        <w:rPr/>
        <w:t>Marketing</w:t>
      </w:r>
      <w:r>
        <w:rPr>
          <w:b w:val="0"/>
          <w:spacing w:val="-9"/>
        </w:rPr>
        <w:t> </w:t>
      </w:r>
      <w:r>
        <w:rPr>
          <w:spacing w:val="-2"/>
        </w:rPr>
        <w:t>margins</w:t>
      </w:r>
    </w:p>
    <w:p>
      <w:pPr>
        <w:pStyle w:val="BodyText"/>
        <w:jc w:val="left"/>
      </w:pPr>
      <w:r>
        <w:rPr/>
        <w:t>Based</w:t>
      </w:r>
      <w:r>
        <w:rPr>
          <w:spacing w:val="40"/>
        </w:rPr>
        <w:t> </w:t>
      </w:r>
      <w:r>
        <w:rPr/>
        <w:t>on</w:t>
      </w:r>
      <w:r>
        <w:rPr>
          <w:spacing w:val="38"/>
        </w:rPr>
        <w:t> </w:t>
      </w:r>
      <w:r>
        <w:rPr/>
        <w:t>the</w:t>
      </w:r>
      <w:r>
        <w:rPr>
          <w:spacing w:val="40"/>
        </w:rPr>
        <w:t> </w:t>
      </w:r>
      <w:r>
        <w:rPr/>
        <w:t>reported</w:t>
      </w:r>
      <w:r>
        <w:rPr>
          <w:spacing w:val="40"/>
        </w:rPr>
        <w:t> </w:t>
      </w:r>
      <w:r>
        <w:rPr/>
        <w:t>prices</w:t>
      </w:r>
      <w:r>
        <w:rPr>
          <w:spacing w:val="38"/>
        </w:rPr>
        <w:t> </w:t>
      </w:r>
      <w:r>
        <w:rPr/>
        <w:t>by</w:t>
      </w:r>
      <w:r>
        <w:rPr>
          <w:spacing w:val="35"/>
        </w:rPr>
        <w:t> </w:t>
      </w:r>
      <w:r>
        <w:rPr/>
        <w:t>the</w:t>
      </w:r>
      <w:r>
        <w:rPr>
          <w:spacing w:val="39"/>
        </w:rPr>
        <w:t> </w:t>
      </w:r>
      <w:r>
        <w:rPr/>
        <w:t>different</w:t>
      </w:r>
      <w:r>
        <w:rPr>
          <w:spacing w:val="40"/>
        </w:rPr>
        <w:t> </w:t>
      </w:r>
      <w:r>
        <w:rPr/>
        <w:t>market</w:t>
      </w:r>
      <w:r>
        <w:rPr>
          <w:spacing w:val="39"/>
        </w:rPr>
        <w:t> </w:t>
      </w:r>
      <w:r>
        <w:rPr/>
        <w:t>participants,</w:t>
      </w:r>
      <w:r>
        <w:rPr>
          <w:spacing w:val="40"/>
        </w:rPr>
        <w:t> </w:t>
      </w:r>
      <w:r>
        <w:rPr/>
        <w:t>summarized</w:t>
      </w:r>
      <w:r>
        <w:rPr>
          <w:spacing w:val="40"/>
        </w:rPr>
        <w:t> </w:t>
      </w:r>
      <w:r>
        <w:rPr/>
        <w:t>in</w:t>
      </w:r>
      <w:r>
        <w:rPr>
          <w:spacing w:val="38"/>
        </w:rPr>
        <w:t> </w:t>
      </w:r>
      <w:r>
        <w:rPr>
          <w:b/>
        </w:rPr>
        <w:t>(Table</w:t>
      </w:r>
      <w:r>
        <w:rPr>
          <w:spacing w:val="40"/>
        </w:rPr>
        <w:t> </w:t>
      </w:r>
      <w:r>
        <w:rPr>
          <w:b/>
        </w:rPr>
        <w:t>14</w:t>
      </w:r>
      <w:r>
        <w:rPr/>
        <w:t>),</w:t>
      </w:r>
      <w:r>
        <w:rPr>
          <w:spacing w:val="39"/>
        </w:rPr>
        <w:t> </w:t>
      </w:r>
      <w:r>
        <w:rPr/>
        <w:t>the</w:t>
      </w:r>
      <w:r>
        <w:rPr>
          <w:spacing w:val="39"/>
        </w:rPr>
        <w:t> </w:t>
      </w:r>
      <w:r>
        <w:rPr/>
        <w:t>different indicators of marketing margins for sesame is calculated and the estimates are:</w:t>
      </w:r>
    </w:p>
    <w:p>
      <w:pPr>
        <w:spacing w:before="2"/>
        <w:ind w:left="240" w:right="4716" w:firstLine="0"/>
        <w:jc w:val="left"/>
        <w:rPr>
          <w:b/>
          <w:sz w:val="20"/>
        </w:rPr>
      </w:pPr>
      <w:r>
        <w:rPr>
          <w:b/>
          <w:sz w:val="20"/>
        </w:rPr>
        <w:t>TGMM</w:t>
      </w:r>
      <w:r>
        <w:rPr>
          <w:spacing w:val="-9"/>
          <w:sz w:val="20"/>
        </w:rPr>
        <w:t> </w:t>
      </w:r>
      <w:r>
        <w:rPr>
          <w:b/>
          <w:sz w:val="20"/>
        </w:rPr>
        <w:t>(complete</w:t>
      </w:r>
      <w:r>
        <w:rPr>
          <w:spacing w:val="-10"/>
          <w:sz w:val="20"/>
        </w:rPr>
        <w:t> </w:t>
      </w:r>
      <w:r>
        <w:rPr>
          <w:b/>
          <w:sz w:val="20"/>
        </w:rPr>
        <w:t>distribution</w:t>
      </w:r>
      <w:r>
        <w:rPr>
          <w:spacing w:val="-10"/>
          <w:sz w:val="20"/>
        </w:rPr>
        <w:t> </w:t>
      </w:r>
      <w:r>
        <w:rPr>
          <w:b/>
          <w:sz w:val="20"/>
        </w:rPr>
        <w:t>channel)</w:t>
      </w:r>
      <w:r>
        <w:rPr>
          <w:spacing w:val="-9"/>
          <w:sz w:val="20"/>
        </w:rPr>
        <w:t> </w:t>
      </w:r>
      <w:r>
        <w:rPr>
          <w:b/>
          <w:sz w:val="20"/>
        </w:rPr>
        <w:t>=7.14%</w:t>
      </w:r>
      <w:r>
        <w:rPr>
          <w:sz w:val="20"/>
        </w:rPr>
        <w:t> </w:t>
      </w:r>
      <w:r>
        <w:rPr>
          <w:b/>
          <w:sz w:val="20"/>
        </w:rPr>
        <w:t>GMM</w:t>
      </w:r>
      <w:r>
        <w:rPr>
          <w:sz w:val="20"/>
        </w:rPr>
        <w:t> </w:t>
      </w:r>
      <w:r>
        <w:rPr>
          <w:b/>
          <w:sz w:val="20"/>
        </w:rPr>
        <w:t>(wholesalers)</w:t>
      </w:r>
      <w:r>
        <w:rPr>
          <w:sz w:val="20"/>
        </w:rPr>
        <w:t> </w:t>
      </w:r>
      <w:r>
        <w:rPr>
          <w:b/>
          <w:sz w:val="20"/>
        </w:rPr>
        <w:t>=</w:t>
      </w:r>
      <w:r>
        <w:rPr>
          <w:sz w:val="20"/>
        </w:rPr>
        <w:t> </w:t>
      </w:r>
      <w:r>
        <w:rPr>
          <w:b/>
          <w:sz w:val="20"/>
        </w:rPr>
        <w:t>13.69%</w:t>
      </w:r>
    </w:p>
    <w:p>
      <w:pPr>
        <w:spacing w:line="229" w:lineRule="exact" w:before="1"/>
        <w:ind w:left="240" w:right="0" w:firstLine="0"/>
        <w:jc w:val="left"/>
        <w:rPr>
          <w:b/>
          <w:sz w:val="20"/>
        </w:rPr>
      </w:pPr>
      <w:r>
        <w:rPr>
          <w:b/>
          <w:sz w:val="20"/>
        </w:rPr>
        <w:t>GMM</w:t>
      </w:r>
      <w:r>
        <w:rPr>
          <w:spacing w:val="-3"/>
          <w:sz w:val="20"/>
        </w:rPr>
        <w:t> </w:t>
      </w:r>
      <w:r>
        <w:rPr>
          <w:b/>
          <w:sz w:val="20"/>
        </w:rPr>
        <w:t>(exporters)</w:t>
      </w:r>
      <w:r>
        <w:rPr>
          <w:spacing w:val="-6"/>
          <w:sz w:val="20"/>
        </w:rPr>
        <w:t> </w:t>
      </w:r>
      <w:r>
        <w:rPr>
          <w:b/>
          <w:sz w:val="20"/>
        </w:rPr>
        <w:t>=</w:t>
      </w:r>
      <w:r>
        <w:rPr>
          <w:spacing w:val="-7"/>
          <w:sz w:val="20"/>
        </w:rPr>
        <w:t> </w:t>
      </w:r>
      <w:r>
        <w:rPr>
          <w:b/>
          <w:spacing w:val="-2"/>
          <w:sz w:val="20"/>
        </w:rPr>
        <w:t>17.41%</w:t>
      </w:r>
    </w:p>
    <w:p>
      <w:pPr>
        <w:spacing w:before="0" w:after="17"/>
        <w:ind w:left="240" w:right="4041" w:firstLine="0"/>
        <w:jc w:val="left"/>
        <w:rPr>
          <w:b/>
          <w:sz w:val="20"/>
        </w:rPr>
      </w:pPr>
      <w:r>
        <w:rPr>
          <w:b/>
          <w:sz w:val="20"/>
        </w:rPr>
        <w:t>GMMp</w:t>
      </w:r>
      <w:r>
        <w:rPr>
          <w:spacing w:val="-5"/>
          <w:sz w:val="20"/>
        </w:rPr>
        <w:t> </w:t>
      </w:r>
      <w:r>
        <w:rPr>
          <w:b/>
          <w:sz w:val="20"/>
        </w:rPr>
        <w:t>(producers</w:t>
      </w:r>
      <w:r>
        <w:rPr>
          <w:spacing w:val="-5"/>
          <w:sz w:val="20"/>
        </w:rPr>
        <w:t> </w:t>
      </w:r>
      <w:r>
        <w:rPr>
          <w:b/>
          <w:sz w:val="20"/>
        </w:rPr>
        <w:t>participation)</w:t>
      </w:r>
      <w:r>
        <w:rPr>
          <w:spacing w:val="-4"/>
          <w:sz w:val="20"/>
        </w:rPr>
        <w:t> </w:t>
      </w:r>
      <w:r>
        <w:rPr>
          <w:b/>
          <w:sz w:val="20"/>
        </w:rPr>
        <w:t>=</w:t>
      </w:r>
      <w:r>
        <w:rPr>
          <w:spacing w:val="-5"/>
          <w:sz w:val="20"/>
        </w:rPr>
        <w:t> </w:t>
      </w:r>
      <w:r>
        <w:rPr>
          <w:b/>
          <w:sz w:val="20"/>
        </w:rPr>
        <w:t>100%</w:t>
      </w:r>
      <w:r>
        <w:rPr>
          <w:spacing w:val="-5"/>
          <w:sz w:val="20"/>
        </w:rPr>
        <w:t> </w:t>
      </w:r>
      <w:r>
        <w:rPr>
          <w:b/>
          <w:sz w:val="20"/>
        </w:rPr>
        <w:t>-</w:t>
      </w:r>
      <w:r>
        <w:rPr>
          <w:spacing w:val="-6"/>
          <w:sz w:val="20"/>
        </w:rPr>
        <w:t> </w:t>
      </w:r>
      <w:r>
        <w:rPr>
          <w:b/>
          <w:sz w:val="20"/>
        </w:rPr>
        <w:t>7.14%</w:t>
      </w:r>
      <w:r>
        <w:rPr>
          <w:spacing w:val="-5"/>
          <w:sz w:val="20"/>
        </w:rPr>
        <w:t> </w:t>
      </w:r>
      <w:r>
        <w:rPr>
          <w:b/>
          <w:sz w:val="20"/>
        </w:rPr>
        <w:t>=</w:t>
      </w:r>
      <w:r>
        <w:rPr>
          <w:spacing w:val="-5"/>
          <w:sz w:val="20"/>
        </w:rPr>
        <w:t> </w:t>
      </w:r>
      <w:r>
        <w:rPr>
          <w:b/>
          <w:sz w:val="20"/>
        </w:rPr>
        <w:t>92.85%,</w:t>
      </w:r>
      <w:r>
        <w:rPr>
          <w:sz w:val="20"/>
        </w:rPr>
        <w:t> </w:t>
      </w:r>
      <w:r>
        <w:rPr>
          <w:b/>
          <w:sz w:val="20"/>
        </w:rPr>
        <w:t>Table</w:t>
      </w:r>
      <w:r>
        <w:rPr>
          <w:sz w:val="20"/>
        </w:rPr>
        <w:t> </w:t>
      </w:r>
      <w:r>
        <w:rPr>
          <w:b/>
          <w:sz w:val="20"/>
        </w:rPr>
        <w:t>14.Price</w:t>
      </w:r>
      <w:r>
        <w:rPr>
          <w:sz w:val="20"/>
        </w:rPr>
        <w:t> </w:t>
      </w:r>
      <w:r>
        <w:rPr>
          <w:b/>
          <w:sz w:val="20"/>
        </w:rPr>
        <w:t>of</w:t>
      </w:r>
      <w:r>
        <w:rPr>
          <w:sz w:val="20"/>
        </w:rPr>
        <w:t> </w:t>
      </w:r>
      <w:r>
        <w:rPr>
          <w:b/>
          <w:sz w:val="20"/>
        </w:rPr>
        <w:t>sesame</w:t>
      </w:r>
      <w:r>
        <w:rPr>
          <w:sz w:val="20"/>
        </w:rPr>
        <w:t> </w:t>
      </w:r>
      <w:r>
        <w:rPr>
          <w:b/>
          <w:sz w:val="20"/>
        </w:rPr>
        <w:t>at</w:t>
      </w:r>
      <w:r>
        <w:rPr>
          <w:sz w:val="20"/>
        </w:rPr>
        <w:t> </w:t>
      </w:r>
      <w:r>
        <w:rPr>
          <w:b/>
          <w:sz w:val="20"/>
        </w:rPr>
        <w:t>different</w:t>
      </w:r>
      <w:r>
        <w:rPr>
          <w:sz w:val="20"/>
        </w:rPr>
        <w:t> </w:t>
      </w:r>
      <w:r>
        <w:rPr>
          <w:b/>
          <w:sz w:val="20"/>
        </w:rPr>
        <w:t>market</w:t>
      </w:r>
      <w:r>
        <w:rPr>
          <w:sz w:val="20"/>
        </w:rPr>
        <w:t> </w:t>
      </w:r>
      <w:r>
        <w:rPr>
          <w:b/>
          <w:sz w:val="20"/>
        </w:rPr>
        <w:t>level,</w:t>
      </w:r>
      <w:r>
        <w:rPr>
          <w:sz w:val="20"/>
        </w:rPr>
        <w:t> </w:t>
      </w:r>
      <w:r>
        <w:rPr>
          <w:b/>
          <w:sz w:val="20"/>
        </w:rPr>
        <w:t>2005</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1"/>
        <w:gridCol w:w="1980"/>
        <w:gridCol w:w="2094"/>
        <w:gridCol w:w="2455"/>
      </w:tblGrid>
      <w:tr>
        <w:trPr>
          <w:trHeight w:val="459" w:hRule="atLeast"/>
        </w:trPr>
        <w:tc>
          <w:tcPr>
            <w:tcW w:w="2771" w:type="dxa"/>
            <w:tcBorders>
              <w:top w:val="double" w:sz="4" w:space="0" w:color="000000"/>
              <w:bottom w:val="double" w:sz="4" w:space="0" w:color="000000"/>
            </w:tcBorders>
          </w:tcPr>
          <w:p>
            <w:pPr>
              <w:pStyle w:val="TableParagraph"/>
              <w:spacing w:line="224" w:lineRule="exact"/>
              <w:ind w:left="122"/>
              <w:jc w:val="left"/>
              <w:rPr>
                <w:sz w:val="20"/>
              </w:rPr>
            </w:pPr>
            <w:r>
              <w:rPr>
                <w:sz w:val="20"/>
              </w:rPr>
              <w:t>Marketing</w:t>
            </w:r>
            <w:r>
              <w:rPr>
                <w:spacing w:val="-11"/>
                <w:sz w:val="20"/>
              </w:rPr>
              <w:t> </w:t>
            </w:r>
            <w:r>
              <w:rPr>
                <w:spacing w:val="-2"/>
                <w:sz w:val="20"/>
              </w:rPr>
              <w:t>Channel</w:t>
            </w:r>
          </w:p>
          <w:p>
            <w:pPr>
              <w:pStyle w:val="TableParagraph"/>
              <w:spacing w:line="216" w:lineRule="exact"/>
              <w:ind w:left="122"/>
              <w:jc w:val="left"/>
              <w:rPr>
                <w:sz w:val="20"/>
              </w:rPr>
            </w:pPr>
            <w:r>
              <w:rPr>
                <w:spacing w:val="-2"/>
                <w:sz w:val="20"/>
              </w:rPr>
              <w:t>Participant</w:t>
            </w:r>
          </w:p>
        </w:tc>
        <w:tc>
          <w:tcPr>
            <w:tcW w:w="1980" w:type="dxa"/>
            <w:tcBorders>
              <w:top w:val="double" w:sz="4" w:space="0" w:color="000000"/>
              <w:bottom w:val="double" w:sz="4" w:space="0" w:color="000000"/>
            </w:tcBorders>
          </w:tcPr>
          <w:p>
            <w:pPr>
              <w:pStyle w:val="TableParagraph"/>
              <w:spacing w:line="224" w:lineRule="exact"/>
              <w:ind w:right="508"/>
              <w:rPr>
                <w:sz w:val="20"/>
              </w:rPr>
            </w:pPr>
            <w:r>
              <w:rPr>
                <w:spacing w:val="-2"/>
                <w:sz w:val="20"/>
              </w:rPr>
              <w:t>Selling</w:t>
            </w:r>
          </w:p>
          <w:p>
            <w:pPr>
              <w:pStyle w:val="TableParagraph"/>
              <w:spacing w:line="216" w:lineRule="exact"/>
              <w:ind w:left="6" w:right="508"/>
              <w:rPr>
                <w:sz w:val="20"/>
              </w:rPr>
            </w:pPr>
            <w:r>
              <w:rPr>
                <w:spacing w:val="-2"/>
                <w:sz w:val="20"/>
              </w:rPr>
              <w:t>Price(birr/qt</w:t>
            </w:r>
          </w:p>
        </w:tc>
        <w:tc>
          <w:tcPr>
            <w:tcW w:w="2094" w:type="dxa"/>
            <w:tcBorders>
              <w:top w:val="double" w:sz="4" w:space="0" w:color="000000"/>
              <w:bottom w:val="double" w:sz="4" w:space="0" w:color="000000"/>
            </w:tcBorders>
          </w:tcPr>
          <w:p>
            <w:pPr>
              <w:pStyle w:val="TableParagraph"/>
              <w:spacing w:line="225" w:lineRule="exact"/>
              <w:ind w:left="54" w:right="4"/>
              <w:rPr>
                <w:sz w:val="20"/>
              </w:rPr>
            </w:pPr>
            <w:r>
              <w:rPr>
                <w:sz w:val="20"/>
              </w:rPr>
              <w:t>%</w:t>
            </w:r>
            <w:r>
              <w:rPr>
                <w:spacing w:val="-2"/>
                <w:sz w:val="20"/>
              </w:rPr>
              <w:t> share</w:t>
            </w:r>
          </w:p>
        </w:tc>
        <w:tc>
          <w:tcPr>
            <w:tcW w:w="2455" w:type="dxa"/>
            <w:tcBorders>
              <w:top w:val="double" w:sz="4" w:space="0" w:color="000000"/>
              <w:bottom w:val="double" w:sz="4" w:space="0" w:color="000000"/>
            </w:tcBorders>
          </w:tcPr>
          <w:p>
            <w:pPr>
              <w:pStyle w:val="TableParagraph"/>
              <w:spacing w:line="224" w:lineRule="exact"/>
              <w:ind w:left="707"/>
              <w:jc w:val="left"/>
              <w:rPr>
                <w:sz w:val="20"/>
              </w:rPr>
            </w:pPr>
            <w:r>
              <w:rPr>
                <w:sz w:val="20"/>
              </w:rPr>
              <w:t>Net</w:t>
            </w:r>
            <w:r>
              <w:rPr>
                <w:spacing w:val="-3"/>
                <w:sz w:val="20"/>
              </w:rPr>
              <w:t> </w:t>
            </w:r>
            <w:r>
              <w:rPr>
                <w:spacing w:val="-2"/>
                <w:sz w:val="20"/>
              </w:rPr>
              <w:t>Marketing</w:t>
            </w:r>
          </w:p>
          <w:p>
            <w:pPr>
              <w:pStyle w:val="TableParagraph"/>
              <w:spacing w:line="216" w:lineRule="exact"/>
              <w:ind w:left="813"/>
              <w:jc w:val="left"/>
              <w:rPr>
                <w:sz w:val="20"/>
              </w:rPr>
            </w:pPr>
            <w:r>
              <w:rPr>
                <w:sz w:val="20"/>
              </w:rPr>
              <w:t>Margin</w:t>
            </w:r>
            <w:r>
              <w:rPr>
                <w:spacing w:val="-10"/>
                <w:sz w:val="20"/>
              </w:rPr>
              <w:t> </w:t>
            </w:r>
            <w:r>
              <w:rPr>
                <w:spacing w:val="-5"/>
                <w:sz w:val="20"/>
              </w:rPr>
              <w:t>in%</w:t>
            </w:r>
          </w:p>
        </w:tc>
      </w:tr>
      <w:tr>
        <w:trPr>
          <w:trHeight w:val="229" w:hRule="atLeast"/>
        </w:trPr>
        <w:tc>
          <w:tcPr>
            <w:tcW w:w="2771" w:type="dxa"/>
            <w:tcBorders>
              <w:top w:val="double" w:sz="4" w:space="0" w:color="000000"/>
            </w:tcBorders>
          </w:tcPr>
          <w:p>
            <w:pPr>
              <w:pStyle w:val="TableParagraph"/>
              <w:ind w:left="122"/>
              <w:jc w:val="left"/>
              <w:rPr>
                <w:sz w:val="20"/>
              </w:rPr>
            </w:pPr>
            <w:r>
              <w:rPr>
                <w:spacing w:val="-2"/>
                <w:sz w:val="20"/>
              </w:rPr>
              <w:t>Producer</w:t>
            </w:r>
          </w:p>
        </w:tc>
        <w:tc>
          <w:tcPr>
            <w:tcW w:w="1980" w:type="dxa"/>
            <w:tcBorders>
              <w:top w:val="double" w:sz="4" w:space="0" w:color="000000"/>
            </w:tcBorders>
          </w:tcPr>
          <w:p>
            <w:pPr>
              <w:pStyle w:val="TableParagraph"/>
              <w:ind w:left="5" w:right="508"/>
              <w:rPr>
                <w:sz w:val="20"/>
              </w:rPr>
            </w:pPr>
            <w:r>
              <w:rPr>
                <w:spacing w:val="-4"/>
                <w:sz w:val="20"/>
              </w:rPr>
              <w:t>3100</w:t>
            </w:r>
          </w:p>
        </w:tc>
        <w:tc>
          <w:tcPr>
            <w:tcW w:w="2094" w:type="dxa"/>
            <w:tcBorders>
              <w:top w:val="double" w:sz="4" w:space="0" w:color="000000"/>
            </w:tcBorders>
          </w:tcPr>
          <w:p>
            <w:pPr>
              <w:pStyle w:val="TableParagraph"/>
              <w:ind w:left="54"/>
              <w:rPr>
                <w:sz w:val="20"/>
              </w:rPr>
            </w:pPr>
            <w:r>
              <w:rPr>
                <w:spacing w:val="-2"/>
                <w:sz w:val="20"/>
              </w:rPr>
              <w:t>92.85</w:t>
            </w:r>
          </w:p>
        </w:tc>
        <w:tc>
          <w:tcPr>
            <w:tcW w:w="2455" w:type="dxa"/>
            <w:tcBorders>
              <w:top w:val="double" w:sz="4" w:space="0" w:color="000000"/>
            </w:tcBorders>
          </w:tcPr>
          <w:p>
            <w:pPr>
              <w:pStyle w:val="TableParagraph"/>
              <w:ind w:left="132"/>
              <w:rPr>
                <w:sz w:val="20"/>
              </w:rPr>
            </w:pPr>
            <w:r>
              <w:rPr>
                <w:spacing w:val="-2"/>
                <w:sz w:val="20"/>
              </w:rPr>
              <w:t>66.72</w:t>
            </w:r>
          </w:p>
        </w:tc>
      </w:tr>
      <w:tr>
        <w:trPr>
          <w:trHeight w:val="229" w:hRule="atLeast"/>
        </w:trPr>
        <w:tc>
          <w:tcPr>
            <w:tcW w:w="2771" w:type="dxa"/>
          </w:tcPr>
          <w:p>
            <w:pPr>
              <w:pStyle w:val="TableParagraph"/>
              <w:spacing w:line="209" w:lineRule="exact"/>
              <w:ind w:left="122"/>
              <w:jc w:val="left"/>
              <w:rPr>
                <w:sz w:val="20"/>
              </w:rPr>
            </w:pPr>
            <w:r>
              <w:rPr>
                <w:spacing w:val="-2"/>
                <w:sz w:val="20"/>
              </w:rPr>
              <w:t>Wholesaler</w:t>
            </w:r>
          </w:p>
        </w:tc>
        <w:tc>
          <w:tcPr>
            <w:tcW w:w="1980" w:type="dxa"/>
          </w:tcPr>
          <w:p>
            <w:pPr>
              <w:pStyle w:val="TableParagraph"/>
              <w:spacing w:line="209" w:lineRule="exact"/>
              <w:ind w:left="5" w:right="508"/>
              <w:rPr>
                <w:sz w:val="20"/>
              </w:rPr>
            </w:pPr>
            <w:r>
              <w:rPr>
                <w:spacing w:val="-4"/>
                <w:sz w:val="20"/>
              </w:rPr>
              <w:t>3205</w:t>
            </w:r>
          </w:p>
        </w:tc>
        <w:tc>
          <w:tcPr>
            <w:tcW w:w="2094" w:type="dxa"/>
          </w:tcPr>
          <w:p>
            <w:pPr>
              <w:pStyle w:val="TableParagraph"/>
              <w:spacing w:line="209" w:lineRule="exact"/>
              <w:ind w:left="54"/>
              <w:rPr>
                <w:sz w:val="20"/>
              </w:rPr>
            </w:pPr>
            <w:r>
              <w:rPr>
                <w:spacing w:val="-4"/>
                <w:sz w:val="20"/>
              </w:rPr>
              <w:t>3.14</w:t>
            </w:r>
          </w:p>
        </w:tc>
        <w:tc>
          <w:tcPr>
            <w:tcW w:w="2455" w:type="dxa"/>
          </w:tcPr>
          <w:p>
            <w:pPr>
              <w:pStyle w:val="TableParagraph"/>
              <w:spacing w:line="209" w:lineRule="exact"/>
              <w:ind w:left="132"/>
              <w:rPr>
                <w:sz w:val="20"/>
              </w:rPr>
            </w:pPr>
            <w:r>
              <w:rPr>
                <w:spacing w:val="-4"/>
                <w:sz w:val="20"/>
              </w:rPr>
              <w:t>0.38</w:t>
            </w:r>
          </w:p>
        </w:tc>
      </w:tr>
      <w:tr>
        <w:trPr>
          <w:trHeight w:val="233" w:hRule="atLeast"/>
        </w:trPr>
        <w:tc>
          <w:tcPr>
            <w:tcW w:w="2771" w:type="dxa"/>
            <w:tcBorders>
              <w:bottom w:val="double" w:sz="4" w:space="0" w:color="000000"/>
            </w:tcBorders>
          </w:tcPr>
          <w:p>
            <w:pPr>
              <w:pStyle w:val="TableParagraph"/>
              <w:spacing w:line="213" w:lineRule="exact"/>
              <w:ind w:left="122"/>
              <w:jc w:val="left"/>
              <w:rPr>
                <w:sz w:val="20"/>
              </w:rPr>
            </w:pPr>
            <w:r>
              <w:rPr>
                <w:spacing w:val="-2"/>
                <w:sz w:val="20"/>
              </w:rPr>
              <w:t>Exporter</w:t>
            </w:r>
          </w:p>
        </w:tc>
        <w:tc>
          <w:tcPr>
            <w:tcW w:w="1980" w:type="dxa"/>
            <w:tcBorders>
              <w:bottom w:val="double" w:sz="4" w:space="0" w:color="000000"/>
            </w:tcBorders>
          </w:tcPr>
          <w:p>
            <w:pPr>
              <w:pStyle w:val="TableParagraph"/>
              <w:spacing w:line="213" w:lineRule="exact"/>
              <w:ind w:left="5" w:right="508"/>
              <w:rPr>
                <w:sz w:val="20"/>
              </w:rPr>
            </w:pPr>
            <w:r>
              <w:rPr>
                <w:spacing w:val="-2"/>
                <w:sz w:val="20"/>
              </w:rPr>
              <w:t>3338.55</w:t>
            </w:r>
          </w:p>
        </w:tc>
        <w:tc>
          <w:tcPr>
            <w:tcW w:w="2094" w:type="dxa"/>
            <w:tcBorders>
              <w:bottom w:val="double" w:sz="4" w:space="0" w:color="000000"/>
            </w:tcBorders>
          </w:tcPr>
          <w:p>
            <w:pPr>
              <w:pStyle w:val="TableParagraph"/>
              <w:spacing w:line="213" w:lineRule="exact"/>
              <w:ind w:left="54"/>
              <w:rPr>
                <w:sz w:val="20"/>
              </w:rPr>
            </w:pPr>
            <w:r>
              <w:rPr>
                <w:spacing w:val="-4"/>
                <w:sz w:val="20"/>
              </w:rPr>
              <w:t>4.01</w:t>
            </w:r>
          </w:p>
        </w:tc>
        <w:tc>
          <w:tcPr>
            <w:tcW w:w="2455" w:type="dxa"/>
            <w:tcBorders>
              <w:bottom w:val="double" w:sz="4" w:space="0" w:color="000000"/>
            </w:tcBorders>
          </w:tcPr>
          <w:p>
            <w:pPr>
              <w:pStyle w:val="TableParagraph"/>
              <w:spacing w:line="213" w:lineRule="exact"/>
              <w:ind w:left="132"/>
              <w:rPr>
                <w:sz w:val="20"/>
              </w:rPr>
            </w:pPr>
            <w:r>
              <w:rPr>
                <w:spacing w:val="-4"/>
                <w:sz w:val="20"/>
              </w:rPr>
              <w:t>0.18</w:t>
            </w:r>
          </w:p>
        </w:tc>
      </w:tr>
      <w:tr>
        <w:trPr>
          <w:trHeight w:val="227" w:hRule="atLeast"/>
        </w:trPr>
        <w:tc>
          <w:tcPr>
            <w:tcW w:w="2771" w:type="dxa"/>
            <w:tcBorders>
              <w:top w:val="double" w:sz="4" w:space="0" w:color="000000"/>
            </w:tcBorders>
          </w:tcPr>
          <w:p>
            <w:pPr>
              <w:pStyle w:val="TableParagraph"/>
              <w:spacing w:line="207" w:lineRule="exact"/>
              <w:ind w:left="122"/>
              <w:jc w:val="left"/>
              <w:rPr>
                <w:b/>
                <w:sz w:val="20"/>
              </w:rPr>
            </w:pPr>
            <w:r>
              <w:rPr>
                <w:b/>
                <w:sz w:val="20"/>
              </w:rPr>
              <w:t>Source:</w:t>
            </w:r>
            <w:r>
              <w:rPr>
                <w:spacing w:val="-7"/>
                <w:sz w:val="20"/>
              </w:rPr>
              <w:t> </w:t>
            </w:r>
            <w:r>
              <w:rPr>
                <w:b/>
                <w:sz w:val="20"/>
              </w:rPr>
              <w:t>Survey</w:t>
            </w:r>
            <w:r>
              <w:rPr>
                <w:spacing w:val="-7"/>
                <w:sz w:val="20"/>
              </w:rPr>
              <w:t> </w:t>
            </w:r>
            <w:r>
              <w:rPr>
                <w:b/>
                <w:sz w:val="20"/>
              </w:rPr>
              <w:t>Result,</w:t>
            </w:r>
            <w:r>
              <w:rPr>
                <w:spacing w:val="-7"/>
                <w:sz w:val="20"/>
              </w:rPr>
              <w:t> </w:t>
            </w:r>
            <w:r>
              <w:rPr>
                <w:b/>
                <w:spacing w:val="-4"/>
                <w:sz w:val="20"/>
              </w:rPr>
              <w:t>2015</w:t>
            </w:r>
          </w:p>
        </w:tc>
        <w:tc>
          <w:tcPr>
            <w:tcW w:w="1980" w:type="dxa"/>
            <w:tcBorders>
              <w:top w:val="double" w:sz="4" w:space="0" w:color="000000"/>
            </w:tcBorders>
          </w:tcPr>
          <w:p>
            <w:pPr>
              <w:pStyle w:val="TableParagraph"/>
              <w:spacing w:line="240" w:lineRule="auto"/>
              <w:jc w:val="left"/>
              <w:rPr>
                <w:sz w:val="16"/>
              </w:rPr>
            </w:pPr>
          </w:p>
        </w:tc>
        <w:tc>
          <w:tcPr>
            <w:tcW w:w="2094" w:type="dxa"/>
            <w:tcBorders>
              <w:top w:val="double" w:sz="4" w:space="0" w:color="000000"/>
            </w:tcBorders>
          </w:tcPr>
          <w:p>
            <w:pPr>
              <w:pStyle w:val="TableParagraph"/>
              <w:spacing w:line="240" w:lineRule="auto"/>
              <w:jc w:val="left"/>
              <w:rPr>
                <w:sz w:val="16"/>
              </w:rPr>
            </w:pPr>
          </w:p>
        </w:tc>
        <w:tc>
          <w:tcPr>
            <w:tcW w:w="2455" w:type="dxa"/>
            <w:tcBorders>
              <w:top w:val="double" w:sz="4" w:space="0" w:color="000000"/>
            </w:tcBorders>
          </w:tcPr>
          <w:p>
            <w:pPr>
              <w:pStyle w:val="TableParagraph"/>
              <w:spacing w:line="240" w:lineRule="auto"/>
              <w:jc w:val="left"/>
              <w:rPr>
                <w:sz w:val="16"/>
              </w:rPr>
            </w:pPr>
          </w:p>
        </w:tc>
      </w:tr>
    </w:tbl>
    <w:p>
      <w:pPr>
        <w:spacing w:line="228" w:lineRule="exact" w:before="216"/>
        <w:ind w:left="240" w:right="0" w:firstLine="0"/>
        <w:jc w:val="both"/>
        <w:rPr>
          <w:b/>
          <w:sz w:val="20"/>
        </w:rPr>
      </w:pPr>
      <w:r>
        <w:rPr>
          <w:b/>
          <w:sz w:val="20"/>
        </w:rPr>
        <w:t>Determinants</w:t>
      </w:r>
      <w:r>
        <w:rPr>
          <w:spacing w:val="-9"/>
          <w:sz w:val="20"/>
        </w:rPr>
        <w:t> </w:t>
      </w:r>
      <w:r>
        <w:rPr>
          <w:b/>
          <w:sz w:val="20"/>
        </w:rPr>
        <w:t>of</w:t>
      </w:r>
      <w:r>
        <w:rPr>
          <w:spacing w:val="-7"/>
          <w:sz w:val="20"/>
        </w:rPr>
        <w:t> </w:t>
      </w:r>
      <w:r>
        <w:rPr>
          <w:b/>
          <w:sz w:val="20"/>
        </w:rPr>
        <w:t>Sesame</w:t>
      </w:r>
      <w:r>
        <w:rPr>
          <w:spacing w:val="-5"/>
          <w:sz w:val="20"/>
        </w:rPr>
        <w:t> </w:t>
      </w:r>
      <w:r>
        <w:rPr>
          <w:b/>
          <w:sz w:val="20"/>
        </w:rPr>
        <w:t>market</w:t>
      </w:r>
      <w:r>
        <w:rPr>
          <w:spacing w:val="-7"/>
          <w:sz w:val="20"/>
        </w:rPr>
        <w:t> </w:t>
      </w:r>
      <w:r>
        <w:rPr>
          <w:b/>
          <w:sz w:val="20"/>
        </w:rPr>
        <w:t>outlet</w:t>
      </w:r>
      <w:r>
        <w:rPr>
          <w:spacing w:val="-6"/>
          <w:sz w:val="20"/>
        </w:rPr>
        <w:t> </w:t>
      </w:r>
      <w:r>
        <w:rPr>
          <w:b/>
          <w:spacing w:val="-2"/>
          <w:sz w:val="20"/>
        </w:rPr>
        <w:t>choices</w:t>
      </w:r>
    </w:p>
    <w:p>
      <w:pPr>
        <w:pStyle w:val="BodyText"/>
        <w:ind w:right="225"/>
      </w:pPr>
      <w:r>
        <w:rPr/>
        <w:t>The MNL model with 3 choices was tested for the independence of irrelevant alternatives (IIA) assumption</w:t>
      </w:r>
      <w:r>
        <w:rPr>
          <w:spacing w:val="40"/>
        </w:rPr>
        <w:t> </w:t>
      </w:r>
      <w:r>
        <w:rPr/>
        <w:t>based on Houseman test (Appendix Table 3). The possible Multicollinearity problems are also corrected. There</w:t>
      </w:r>
      <w:r>
        <w:rPr>
          <w:spacing w:val="40"/>
        </w:rPr>
        <w:t> </w:t>
      </w:r>
      <w:r>
        <w:rPr/>
        <w:t>is no Multicollinearity problem because the result of VIF is less than 10 for all variables (Appendix Table 2).</w:t>
      </w:r>
    </w:p>
    <w:p>
      <w:pPr>
        <w:pStyle w:val="BodyText"/>
        <w:ind w:right="223" w:firstLine="720"/>
      </w:pPr>
      <w:r>
        <w:rPr/>
        <w:t>The coefficients from multinomial logit regression on the existing alternative marketing outlets in the sample</w:t>
      </w:r>
      <w:r>
        <w:rPr>
          <w:spacing w:val="-1"/>
        </w:rPr>
        <w:t> </w:t>
      </w:r>
      <w:r>
        <w:rPr/>
        <w:t>and the marginal</w:t>
      </w:r>
      <w:r>
        <w:rPr>
          <w:spacing w:val="-2"/>
        </w:rPr>
        <w:t> </w:t>
      </w:r>
      <w:r>
        <w:rPr/>
        <w:t>effects</w:t>
      </w:r>
      <w:r>
        <w:rPr>
          <w:spacing w:val="-2"/>
        </w:rPr>
        <w:t> </w:t>
      </w:r>
      <w:r>
        <w:rPr/>
        <w:t>(Table</w:t>
      </w:r>
      <w:r>
        <w:rPr>
          <w:spacing w:val="-1"/>
        </w:rPr>
        <w:t> </w:t>
      </w:r>
      <w:r>
        <w:rPr/>
        <w:t>16).</w:t>
      </w:r>
      <w:r>
        <w:rPr>
          <w:spacing w:val="-1"/>
        </w:rPr>
        <w:t> </w:t>
      </w:r>
      <w:r>
        <w:rPr/>
        <w:t>The</w:t>
      </w:r>
      <w:r>
        <w:rPr>
          <w:spacing w:val="-1"/>
        </w:rPr>
        <w:t> </w:t>
      </w:r>
      <w:r>
        <w:rPr/>
        <w:t>result</w:t>
      </w:r>
      <w:r>
        <w:rPr>
          <w:spacing w:val="-2"/>
        </w:rPr>
        <w:t> </w:t>
      </w:r>
      <w:r>
        <w:rPr/>
        <w:t>showed that</w:t>
      </w:r>
      <w:r>
        <w:rPr>
          <w:spacing w:val="-2"/>
        </w:rPr>
        <w:t> </w:t>
      </w:r>
      <w:r>
        <w:rPr/>
        <w:t>some</w:t>
      </w:r>
      <w:r>
        <w:rPr>
          <w:spacing w:val="-1"/>
        </w:rPr>
        <w:t> </w:t>
      </w:r>
      <w:r>
        <w:rPr/>
        <w:t>of</w:t>
      </w:r>
      <w:r>
        <w:rPr>
          <w:spacing w:val="-1"/>
        </w:rPr>
        <w:t> </w:t>
      </w:r>
      <w:r>
        <w:rPr/>
        <w:t>the variables were</w:t>
      </w:r>
      <w:r>
        <w:rPr>
          <w:spacing w:val="-1"/>
        </w:rPr>
        <w:t> </w:t>
      </w:r>
      <w:r>
        <w:rPr/>
        <w:t>significant</w:t>
      </w:r>
      <w:r>
        <w:rPr>
          <w:spacing w:val="-2"/>
        </w:rPr>
        <w:t> </w:t>
      </w:r>
      <w:r>
        <w:rPr/>
        <w:t>at</w:t>
      </w:r>
      <w:r>
        <w:rPr>
          <w:spacing w:val="-2"/>
        </w:rPr>
        <w:t> </w:t>
      </w:r>
      <w:r>
        <w:rPr/>
        <w:t>both market outlets while some others were significant in one marketing outlet but not in the other outlet. Compared</w:t>
      </w:r>
      <w:r>
        <w:rPr>
          <w:spacing w:val="40"/>
        </w:rPr>
        <w:t> </w:t>
      </w:r>
      <w:r>
        <w:rPr/>
        <w:t>to the base category (wholesalers) access to land, Family size, Members of cooperative, Credit and Price determined the selection of collector as market options while the variables land and Quantity produced affected the choice of cooperative outlet.</w:t>
      </w:r>
    </w:p>
    <w:p>
      <w:pPr>
        <w:pStyle w:val="BodyText"/>
        <w:ind w:right="223" w:firstLine="720"/>
      </w:pPr>
      <w:r>
        <w:rPr/>
        <w:t>The</w:t>
      </w:r>
      <w:r>
        <w:rPr>
          <w:spacing w:val="-1"/>
        </w:rPr>
        <w:t> </w:t>
      </w:r>
      <w:r>
        <w:rPr/>
        <w:t>alternative</w:t>
      </w:r>
      <w:r>
        <w:rPr>
          <w:spacing w:val="-1"/>
        </w:rPr>
        <w:t> </w:t>
      </w:r>
      <w:r>
        <w:rPr/>
        <w:t>“wholesaler”</w:t>
      </w:r>
      <w:r>
        <w:rPr>
          <w:spacing w:val="-1"/>
        </w:rPr>
        <w:t> </w:t>
      </w:r>
      <w:r>
        <w:rPr/>
        <w:t>was</w:t>
      </w:r>
      <w:r>
        <w:rPr>
          <w:spacing w:val="-2"/>
        </w:rPr>
        <w:t> </w:t>
      </w:r>
      <w:r>
        <w:rPr/>
        <w:t>used as</w:t>
      </w:r>
      <w:r>
        <w:rPr>
          <w:spacing w:val="-2"/>
        </w:rPr>
        <w:t> </w:t>
      </w:r>
      <w:r>
        <w:rPr/>
        <w:t>a</w:t>
      </w:r>
      <w:r>
        <w:rPr>
          <w:spacing w:val="-1"/>
        </w:rPr>
        <w:t> </w:t>
      </w:r>
      <w:r>
        <w:rPr/>
        <w:t>base</w:t>
      </w:r>
      <w:r>
        <w:rPr>
          <w:spacing w:val="-1"/>
        </w:rPr>
        <w:t> </w:t>
      </w:r>
      <w:r>
        <w:rPr/>
        <w:t>category</w:t>
      </w:r>
      <w:r>
        <w:rPr>
          <w:spacing w:val="-5"/>
        </w:rPr>
        <w:t> </w:t>
      </w:r>
      <w:r>
        <w:rPr/>
        <w:t>(bench mark</w:t>
      </w:r>
      <w:r>
        <w:rPr>
          <w:spacing w:val="-3"/>
        </w:rPr>
        <w:t> </w:t>
      </w:r>
      <w:r>
        <w:rPr/>
        <w:t>alternative).</w:t>
      </w:r>
      <w:r>
        <w:rPr>
          <w:spacing w:val="-1"/>
        </w:rPr>
        <w:t> </w:t>
      </w:r>
      <w:r>
        <w:rPr/>
        <w:t>This</w:t>
      </w:r>
      <w:r>
        <w:rPr>
          <w:spacing w:val="-2"/>
        </w:rPr>
        <w:t> </w:t>
      </w:r>
      <w:r>
        <w:rPr/>
        <w:t>implies</w:t>
      </w:r>
      <w:r>
        <w:rPr>
          <w:spacing w:val="-2"/>
        </w:rPr>
        <w:t> </w:t>
      </w:r>
      <w:r>
        <w:rPr/>
        <w:t>that</w:t>
      </w:r>
      <w:r>
        <w:rPr>
          <w:spacing w:val="-2"/>
        </w:rPr>
        <w:t> </w:t>
      </w:r>
      <w:r>
        <w:rPr/>
        <w:t>the discussion of the results focuses on the impact of the explanatory variables on a use of collectors and exporter category relative to use of wholesalers (the base category).</w:t>
      </w:r>
    </w:p>
    <w:p>
      <w:pPr>
        <w:spacing w:after="0"/>
        <w:sectPr>
          <w:pgSz w:w="11900" w:h="16840"/>
          <w:pgMar w:header="846" w:footer="819" w:top="1640" w:bottom="1000" w:left="1180" w:right="1180"/>
        </w:sectPr>
      </w:pPr>
    </w:p>
    <w:p>
      <w:pPr>
        <w:pStyle w:val="Heading3"/>
        <w:spacing w:before="103" w:after="13"/>
      </w:pPr>
      <w:r>
        <w:rPr/>
        <w:t>Table</w:t>
      </w:r>
      <w:r>
        <w:rPr>
          <w:b w:val="0"/>
          <w:spacing w:val="-6"/>
        </w:rPr>
        <w:t> </w:t>
      </w:r>
      <w:r>
        <w:rPr/>
        <w:t>16.Coefficients</w:t>
      </w:r>
      <w:r>
        <w:rPr>
          <w:b w:val="0"/>
          <w:spacing w:val="-7"/>
        </w:rPr>
        <w:t> </w:t>
      </w:r>
      <w:r>
        <w:rPr/>
        <w:t>of</w:t>
      </w:r>
      <w:r>
        <w:rPr>
          <w:b w:val="0"/>
          <w:spacing w:val="-8"/>
        </w:rPr>
        <w:t> </w:t>
      </w:r>
      <w:r>
        <w:rPr/>
        <w:t>Multinomial</w:t>
      </w:r>
      <w:r>
        <w:rPr>
          <w:b w:val="0"/>
          <w:spacing w:val="-6"/>
        </w:rPr>
        <w:t> </w:t>
      </w:r>
      <w:r>
        <w:rPr/>
        <w:t>Logit</w:t>
      </w:r>
      <w:r>
        <w:rPr>
          <w:b w:val="0"/>
          <w:spacing w:val="-8"/>
        </w:rPr>
        <w:t> </w:t>
      </w:r>
      <w:r>
        <w:rPr/>
        <w:t>Model</w:t>
      </w:r>
      <w:r>
        <w:rPr>
          <w:b w:val="0"/>
          <w:spacing w:val="-6"/>
        </w:rPr>
        <w:t> </w:t>
      </w:r>
      <w:r>
        <w:rPr/>
        <w:t>for</w:t>
      </w:r>
      <w:r>
        <w:rPr>
          <w:b w:val="0"/>
          <w:spacing w:val="-7"/>
        </w:rPr>
        <w:t> </w:t>
      </w:r>
      <w:r>
        <w:rPr/>
        <w:t>the</w:t>
      </w:r>
      <w:r>
        <w:rPr>
          <w:b w:val="0"/>
          <w:spacing w:val="-6"/>
        </w:rPr>
        <w:t> </w:t>
      </w:r>
      <w:r>
        <w:rPr/>
        <w:t>choice</w:t>
      </w:r>
      <w:r>
        <w:rPr>
          <w:b w:val="0"/>
          <w:spacing w:val="-6"/>
        </w:rPr>
        <w:t> </w:t>
      </w:r>
      <w:r>
        <w:rPr/>
        <w:t>of</w:t>
      </w:r>
      <w:r>
        <w:rPr>
          <w:b w:val="0"/>
          <w:spacing w:val="-5"/>
        </w:rPr>
        <w:t> </w:t>
      </w:r>
      <w:r>
        <w:rPr/>
        <w:t>marketing</w:t>
      </w:r>
      <w:r>
        <w:rPr>
          <w:b w:val="0"/>
          <w:spacing w:val="-5"/>
        </w:rPr>
        <w:t> </w:t>
      </w:r>
      <w:r>
        <w:rPr>
          <w:spacing w:val="-2"/>
        </w:rPr>
        <w:t>outlets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8"/>
        <w:gridCol w:w="1237"/>
        <w:gridCol w:w="1380"/>
        <w:gridCol w:w="1039"/>
        <w:gridCol w:w="1186"/>
        <w:gridCol w:w="1377"/>
        <w:gridCol w:w="989"/>
      </w:tblGrid>
      <w:tr>
        <w:trPr>
          <w:trHeight w:val="227" w:hRule="atLeast"/>
        </w:trPr>
        <w:tc>
          <w:tcPr>
            <w:tcW w:w="3335" w:type="dxa"/>
            <w:gridSpan w:val="2"/>
            <w:tcBorders>
              <w:top w:val="single" w:sz="8" w:space="0" w:color="000000"/>
            </w:tcBorders>
          </w:tcPr>
          <w:p>
            <w:pPr>
              <w:pStyle w:val="TableParagraph"/>
              <w:spacing w:line="240" w:lineRule="auto"/>
              <w:jc w:val="left"/>
              <w:rPr>
                <w:sz w:val="16"/>
              </w:rPr>
            </w:pPr>
          </w:p>
        </w:tc>
        <w:tc>
          <w:tcPr>
            <w:tcW w:w="1380" w:type="dxa"/>
            <w:tcBorders>
              <w:top w:val="single" w:sz="8" w:space="0" w:color="000000"/>
              <w:bottom w:val="single" w:sz="8" w:space="0" w:color="000000"/>
            </w:tcBorders>
          </w:tcPr>
          <w:p>
            <w:pPr>
              <w:pStyle w:val="TableParagraph"/>
              <w:ind w:right="344"/>
              <w:jc w:val="right"/>
              <w:rPr>
                <w:b/>
                <w:sz w:val="20"/>
              </w:rPr>
            </w:pPr>
            <w:r>
              <w:rPr>
                <w:b/>
                <w:spacing w:val="-2"/>
                <w:sz w:val="20"/>
              </w:rPr>
              <w:t>collectors</w:t>
            </w:r>
          </w:p>
        </w:tc>
        <w:tc>
          <w:tcPr>
            <w:tcW w:w="1039" w:type="dxa"/>
            <w:tcBorders>
              <w:top w:val="single" w:sz="8" w:space="0" w:color="000000"/>
              <w:bottom w:val="single" w:sz="8" w:space="0" w:color="000000"/>
            </w:tcBorders>
          </w:tcPr>
          <w:p>
            <w:pPr>
              <w:pStyle w:val="TableParagraph"/>
              <w:spacing w:line="240" w:lineRule="auto"/>
              <w:jc w:val="left"/>
              <w:rPr>
                <w:sz w:val="16"/>
              </w:rPr>
            </w:pPr>
          </w:p>
        </w:tc>
        <w:tc>
          <w:tcPr>
            <w:tcW w:w="1186" w:type="dxa"/>
            <w:tcBorders>
              <w:top w:val="single" w:sz="8" w:space="0" w:color="000000"/>
              <w:bottom w:val="single" w:sz="8" w:space="0" w:color="000000"/>
            </w:tcBorders>
          </w:tcPr>
          <w:p>
            <w:pPr>
              <w:pStyle w:val="TableParagraph"/>
              <w:spacing w:line="240" w:lineRule="auto"/>
              <w:jc w:val="left"/>
              <w:rPr>
                <w:sz w:val="16"/>
              </w:rPr>
            </w:pPr>
          </w:p>
        </w:tc>
        <w:tc>
          <w:tcPr>
            <w:tcW w:w="1377" w:type="dxa"/>
            <w:tcBorders>
              <w:top w:val="single" w:sz="8" w:space="0" w:color="000000"/>
              <w:bottom w:val="single" w:sz="8" w:space="0" w:color="000000"/>
            </w:tcBorders>
          </w:tcPr>
          <w:p>
            <w:pPr>
              <w:pStyle w:val="TableParagraph"/>
              <w:ind w:right="122"/>
              <w:rPr>
                <w:b/>
                <w:sz w:val="20"/>
              </w:rPr>
            </w:pPr>
            <w:r>
              <w:rPr>
                <w:b/>
                <w:spacing w:val="-2"/>
                <w:sz w:val="20"/>
              </w:rPr>
              <w:t>cooperatives</w:t>
            </w:r>
          </w:p>
        </w:tc>
        <w:tc>
          <w:tcPr>
            <w:tcW w:w="989" w:type="dxa"/>
            <w:tcBorders>
              <w:top w:val="single" w:sz="8" w:space="0" w:color="000000"/>
              <w:bottom w:val="single" w:sz="8" w:space="0" w:color="000000"/>
            </w:tcBorders>
          </w:tcPr>
          <w:p>
            <w:pPr>
              <w:pStyle w:val="TableParagraph"/>
              <w:spacing w:line="240" w:lineRule="auto"/>
              <w:jc w:val="left"/>
              <w:rPr>
                <w:sz w:val="16"/>
              </w:rPr>
            </w:pPr>
          </w:p>
        </w:tc>
      </w:tr>
      <w:tr>
        <w:trPr>
          <w:trHeight w:val="234" w:hRule="atLeast"/>
        </w:trPr>
        <w:tc>
          <w:tcPr>
            <w:tcW w:w="2098" w:type="dxa"/>
          </w:tcPr>
          <w:p>
            <w:pPr>
              <w:pStyle w:val="TableParagraph"/>
              <w:spacing w:line="211" w:lineRule="exact"/>
              <w:ind w:left="122"/>
              <w:jc w:val="left"/>
              <w:rPr>
                <w:b/>
                <w:sz w:val="20"/>
              </w:rPr>
            </w:pPr>
            <w:r>
              <w:rPr>
                <w:b/>
                <w:spacing w:val="-2"/>
                <w:sz w:val="20"/>
              </w:rPr>
              <w:t>Variables</w:t>
            </w:r>
          </w:p>
        </w:tc>
        <w:tc>
          <w:tcPr>
            <w:tcW w:w="1237" w:type="dxa"/>
            <w:tcBorders>
              <w:top w:val="single" w:sz="8" w:space="0" w:color="000000"/>
            </w:tcBorders>
          </w:tcPr>
          <w:p>
            <w:pPr>
              <w:pStyle w:val="TableParagraph"/>
              <w:spacing w:line="212" w:lineRule="exact"/>
              <w:ind w:left="5" w:right="22"/>
              <w:rPr>
                <w:b/>
                <w:sz w:val="20"/>
              </w:rPr>
            </w:pPr>
            <w:r>
              <w:rPr>
                <w:b/>
                <w:spacing w:val="-2"/>
                <w:sz w:val="20"/>
              </w:rPr>
              <w:t>Coef.</w:t>
            </w:r>
          </w:p>
        </w:tc>
        <w:tc>
          <w:tcPr>
            <w:tcW w:w="1380" w:type="dxa"/>
            <w:tcBorders>
              <w:top w:val="single" w:sz="8" w:space="0" w:color="000000"/>
            </w:tcBorders>
          </w:tcPr>
          <w:p>
            <w:pPr>
              <w:pStyle w:val="TableParagraph"/>
              <w:spacing w:line="212" w:lineRule="exact"/>
              <w:ind w:right="403"/>
              <w:jc w:val="right"/>
              <w:rPr>
                <w:b/>
                <w:sz w:val="20"/>
              </w:rPr>
            </w:pPr>
            <w:r>
              <w:rPr>
                <w:b/>
                <w:spacing w:val="-2"/>
                <w:sz w:val="20"/>
              </w:rPr>
              <w:t>Robust</w:t>
            </w:r>
          </w:p>
        </w:tc>
        <w:tc>
          <w:tcPr>
            <w:tcW w:w="1039" w:type="dxa"/>
            <w:tcBorders>
              <w:top w:val="single" w:sz="8" w:space="0" w:color="000000"/>
            </w:tcBorders>
          </w:tcPr>
          <w:p>
            <w:pPr>
              <w:pStyle w:val="TableParagraph"/>
              <w:spacing w:line="212" w:lineRule="exact"/>
              <w:ind w:left="68" w:right="4"/>
              <w:rPr>
                <w:b/>
                <w:sz w:val="20"/>
              </w:rPr>
            </w:pPr>
            <w:r>
              <w:rPr>
                <w:b/>
                <w:spacing w:val="-10"/>
                <w:sz w:val="20"/>
              </w:rPr>
              <w:t>z</w:t>
            </w:r>
          </w:p>
        </w:tc>
        <w:tc>
          <w:tcPr>
            <w:tcW w:w="1186" w:type="dxa"/>
            <w:tcBorders>
              <w:top w:val="single" w:sz="8" w:space="0" w:color="000000"/>
            </w:tcBorders>
          </w:tcPr>
          <w:p>
            <w:pPr>
              <w:pStyle w:val="TableParagraph"/>
              <w:spacing w:line="212" w:lineRule="exact"/>
              <w:ind w:left="180" w:right="1"/>
              <w:rPr>
                <w:b/>
                <w:sz w:val="20"/>
              </w:rPr>
            </w:pPr>
            <w:r>
              <w:rPr>
                <w:b/>
                <w:spacing w:val="-2"/>
                <w:sz w:val="20"/>
              </w:rPr>
              <w:t>Coef.</w:t>
            </w:r>
          </w:p>
        </w:tc>
        <w:tc>
          <w:tcPr>
            <w:tcW w:w="1377" w:type="dxa"/>
            <w:tcBorders>
              <w:top w:val="single" w:sz="8" w:space="0" w:color="000000"/>
            </w:tcBorders>
          </w:tcPr>
          <w:p>
            <w:pPr>
              <w:pStyle w:val="TableParagraph"/>
              <w:spacing w:line="212" w:lineRule="exact"/>
              <w:ind w:left="83" w:right="122"/>
              <w:rPr>
                <w:b/>
                <w:sz w:val="20"/>
              </w:rPr>
            </w:pPr>
            <w:r>
              <w:rPr>
                <w:b/>
                <w:spacing w:val="-2"/>
                <w:sz w:val="20"/>
              </w:rPr>
              <w:t>Robust</w:t>
            </w:r>
          </w:p>
        </w:tc>
        <w:tc>
          <w:tcPr>
            <w:tcW w:w="989" w:type="dxa"/>
            <w:tcBorders>
              <w:top w:val="single" w:sz="8" w:space="0" w:color="000000"/>
            </w:tcBorders>
          </w:tcPr>
          <w:p>
            <w:pPr>
              <w:pStyle w:val="TableParagraph"/>
              <w:spacing w:line="212" w:lineRule="exact"/>
              <w:ind w:right="151"/>
              <w:rPr>
                <w:b/>
                <w:sz w:val="20"/>
              </w:rPr>
            </w:pPr>
            <w:r>
              <w:rPr>
                <w:b/>
                <w:spacing w:val="-10"/>
                <w:sz w:val="20"/>
              </w:rPr>
              <w:t>z</w:t>
            </w:r>
          </w:p>
        </w:tc>
      </w:tr>
      <w:tr>
        <w:trPr>
          <w:trHeight w:val="227" w:hRule="atLeast"/>
        </w:trPr>
        <w:tc>
          <w:tcPr>
            <w:tcW w:w="2098" w:type="dxa"/>
            <w:tcBorders>
              <w:bottom w:val="single" w:sz="4" w:space="0" w:color="000000"/>
            </w:tcBorders>
          </w:tcPr>
          <w:p>
            <w:pPr>
              <w:pStyle w:val="TableParagraph"/>
              <w:spacing w:line="240" w:lineRule="auto"/>
              <w:jc w:val="left"/>
              <w:rPr>
                <w:sz w:val="16"/>
              </w:rPr>
            </w:pPr>
          </w:p>
        </w:tc>
        <w:tc>
          <w:tcPr>
            <w:tcW w:w="1237" w:type="dxa"/>
            <w:tcBorders>
              <w:bottom w:val="single" w:sz="4" w:space="0" w:color="000000"/>
            </w:tcBorders>
          </w:tcPr>
          <w:p>
            <w:pPr>
              <w:pStyle w:val="TableParagraph"/>
              <w:spacing w:line="240" w:lineRule="auto"/>
              <w:jc w:val="left"/>
              <w:rPr>
                <w:sz w:val="16"/>
              </w:rPr>
            </w:pPr>
          </w:p>
        </w:tc>
        <w:tc>
          <w:tcPr>
            <w:tcW w:w="1380" w:type="dxa"/>
            <w:tcBorders>
              <w:bottom w:val="single" w:sz="4" w:space="0" w:color="000000"/>
            </w:tcBorders>
          </w:tcPr>
          <w:p>
            <w:pPr>
              <w:pStyle w:val="TableParagraph"/>
              <w:spacing w:line="208" w:lineRule="exact"/>
              <w:ind w:right="383"/>
              <w:jc w:val="right"/>
              <w:rPr>
                <w:b/>
                <w:sz w:val="20"/>
              </w:rPr>
            </w:pPr>
            <w:r>
              <w:rPr>
                <w:b/>
                <w:spacing w:val="-2"/>
                <w:sz w:val="20"/>
              </w:rPr>
              <w:t>Std.Err</w:t>
            </w:r>
          </w:p>
        </w:tc>
        <w:tc>
          <w:tcPr>
            <w:tcW w:w="1039" w:type="dxa"/>
            <w:tcBorders>
              <w:bottom w:val="single" w:sz="4" w:space="0" w:color="000000"/>
            </w:tcBorders>
          </w:tcPr>
          <w:p>
            <w:pPr>
              <w:pStyle w:val="TableParagraph"/>
              <w:spacing w:line="240" w:lineRule="auto"/>
              <w:jc w:val="left"/>
              <w:rPr>
                <w:sz w:val="16"/>
              </w:rPr>
            </w:pPr>
          </w:p>
        </w:tc>
        <w:tc>
          <w:tcPr>
            <w:tcW w:w="1186" w:type="dxa"/>
            <w:tcBorders>
              <w:bottom w:val="single" w:sz="4" w:space="0" w:color="000000"/>
            </w:tcBorders>
          </w:tcPr>
          <w:p>
            <w:pPr>
              <w:pStyle w:val="TableParagraph"/>
              <w:spacing w:line="240" w:lineRule="auto"/>
              <w:jc w:val="left"/>
              <w:rPr>
                <w:sz w:val="16"/>
              </w:rPr>
            </w:pPr>
          </w:p>
        </w:tc>
        <w:tc>
          <w:tcPr>
            <w:tcW w:w="1377" w:type="dxa"/>
            <w:tcBorders>
              <w:bottom w:val="single" w:sz="4" w:space="0" w:color="000000"/>
            </w:tcBorders>
          </w:tcPr>
          <w:p>
            <w:pPr>
              <w:pStyle w:val="TableParagraph"/>
              <w:spacing w:line="208" w:lineRule="exact"/>
              <w:ind w:left="78" w:right="122"/>
              <w:rPr>
                <w:b/>
                <w:sz w:val="20"/>
              </w:rPr>
            </w:pPr>
            <w:r>
              <w:rPr>
                <w:b/>
                <w:spacing w:val="-2"/>
                <w:sz w:val="20"/>
              </w:rPr>
              <w:t>Std.Err</w:t>
            </w:r>
          </w:p>
        </w:tc>
        <w:tc>
          <w:tcPr>
            <w:tcW w:w="989" w:type="dxa"/>
            <w:tcBorders>
              <w:bottom w:val="single" w:sz="4" w:space="0" w:color="000000"/>
            </w:tcBorders>
          </w:tcPr>
          <w:p>
            <w:pPr>
              <w:pStyle w:val="TableParagraph"/>
              <w:spacing w:line="240" w:lineRule="auto"/>
              <w:jc w:val="left"/>
              <w:rPr>
                <w:sz w:val="16"/>
              </w:rPr>
            </w:pPr>
          </w:p>
        </w:tc>
      </w:tr>
      <w:tr>
        <w:trPr>
          <w:trHeight w:val="230" w:hRule="atLeast"/>
        </w:trPr>
        <w:tc>
          <w:tcPr>
            <w:tcW w:w="2098" w:type="dxa"/>
            <w:tcBorders>
              <w:top w:val="single" w:sz="4" w:space="0" w:color="000000"/>
            </w:tcBorders>
          </w:tcPr>
          <w:p>
            <w:pPr>
              <w:pStyle w:val="TableParagraph"/>
              <w:ind w:left="122"/>
              <w:jc w:val="left"/>
              <w:rPr>
                <w:b/>
                <w:sz w:val="20"/>
              </w:rPr>
            </w:pPr>
            <w:r>
              <w:rPr>
                <w:b/>
                <w:spacing w:val="-5"/>
                <w:sz w:val="20"/>
              </w:rPr>
              <w:t>SEX</w:t>
            </w:r>
          </w:p>
        </w:tc>
        <w:tc>
          <w:tcPr>
            <w:tcW w:w="1237" w:type="dxa"/>
            <w:tcBorders>
              <w:top w:val="single" w:sz="4" w:space="0" w:color="000000"/>
            </w:tcBorders>
          </w:tcPr>
          <w:p>
            <w:pPr>
              <w:pStyle w:val="TableParagraph"/>
              <w:ind w:left="5" w:right="22"/>
              <w:rPr>
                <w:sz w:val="20"/>
              </w:rPr>
            </w:pPr>
            <w:r>
              <w:rPr>
                <w:spacing w:val="-4"/>
                <w:sz w:val="20"/>
              </w:rPr>
              <w:t>-</w:t>
            </w:r>
            <w:r>
              <w:rPr>
                <w:spacing w:val="-2"/>
                <w:sz w:val="20"/>
              </w:rPr>
              <w:t>0.528</w:t>
            </w:r>
          </w:p>
        </w:tc>
        <w:tc>
          <w:tcPr>
            <w:tcW w:w="1380" w:type="dxa"/>
            <w:tcBorders>
              <w:top w:val="single" w:sz="4" w:space="0" w:color="000000"/>
            </w:tcBorders>
          </w:tcPr>
          <w:p>
            <w:pPr>
              <w:pStyle w:val="TableParagraph"/>
              <w:ind w:left="444"/>
              <w:jc w:val="left"/>
              <w:rPr>
                <w:sz w:val="20"/>
              </w:rPr>
            </w:pPr>
            <w:r>
              <w:rPr>
                <w:spacing w:val="-2"/>
                <w:sz w:val="20"/>
              </w:rPr>
              <w:t>1.415</w:t>
            </w:r>
          </w:p>
        </w:tc>
        <w:tc>
          <w:tcPr>
            <w:tcW w:w="1039" w:type="dxa"/>
            <w:tcBorders>
              <w:top w:val="single" w:sz="4" w:space="0" w:color="000000"/>
            </w:tcBorders>
          </w:tcPr>
          <w:p>
            <w:pPr>
              <w:pStyle w:val="TableParagraph"/>
              <w:ind w:left="68" w:right="3"/>
              <w:rPr>
                <w:sz w:val="20"/>
              </w:rPr>
            </w:pPr>
            <w:r>
              <w:rPr>
                <w:spacing w:val="-4"/>
                <w:sz w:val="20"/>
              </w:rPr>
              <w:t>-0.37</w:t>
            </w:r>
          </w:p>
        </w:tc>
        <w:tc>
          <w:tcPr>
            <w:tcW w:w="1186" w:type="dxa"/>
            <w:tcBorders>
              <w:top w:val="single" w:sz="4" w:space="0" w:color="000000"/>
            </w:tcBorders>
          </w:tcPr>
          <w:p>
            <w:pPr>
              <w:pStyle w:val="TableParagraph"/>
              <w:ind w:left="180" w:right="2"/>
              <w:rPr>
                <w:sz w:val="20"/>
              </w:rPr>
            </w:pPr>
            <w:r>
              <w:rPr>
                <w:spacing w:val="-4"/>
                <w:sz w:val="20"/>
              </w:rPr>
              <w:t>-</w:t>
            </w:r>
            <w:r>
              <w:rPr>
                <w:spacing w:val="-2"/>
                <w:sz w:val="20"/>
              </w:rPr>
              <w:t>0.198</w:t>
            </w:r>
          </w:p>
        </w:tc>
        <w:tc>
          <w:tcPr>
            <w:tcW w:w="1377" w:type="dxa"/>
            <w:tcBorders>
              <w:top w:val="single" w:sz="4" w:space="0" w:color="000000"/>
            </w:tcBorders>
          </w:tcPr>
          <w:p>
            <w:pPr>
              <w:pStyle w:val="TableParagraph"/>
              <w:ind w:left="83" w:right="122"/>
              <w:rPr>
                <w:sz w:val="20"/>
              </w:rPr>
            </w:pPr>
            <w:r>
              <w:rPr>
                <w:spacing w:val="-2"/>
                <w:sz w:val="20"/>
              </w:rPr>
              <w:t>(1.553)</w:t>
            </w:r>
          </w:p>
        </w:tc>
        <w:tc>
          <w:tcPr>
            <w:tcW w:w="989" w:type="dxa"/>
            <w:tcBorders>
              <w:top w:val="single" w:sz="4" w:space="0" w:color="000000"/>
            </w:tcBorders>
          </w:tcPr>
          <w:p>
            <w:pPr>
              <w:pStyle w:val="TableParagraph"/>
              <w:ind w:left="1" w:right="151"/>
              <w:rPr>
                <w:sz w:val="20"/>
              </w:rPr>
            </w:pPr>
            <w:r>
              <w:rPr>
                <w:spacing w:val="-4"/>
                <w:sz w:val="20"/>
              </w:rPr>
              <w:t>-0.13</w:t>
            </w:r>
          </w:p>
        </w:tc>
      </w:tr>
      <w:tr>
        <w:trPr>
          <w:trHeight w:val="230" w:hRule="atLeast"/>
        </w:trPr>
        <w:tc>
          <w:tcPr>
            <w:tcW w:w="2098" w:type="dxa"/>
          </w:tcPr>
          <w:p>
            <w:pPr>
              <w:pStyle w:val="TableParagraph"/>
              <w:ind w:left="122"/>
              <w:jc w:val="left"/>
              <w:rPr>
                <w:b/>
                <w:sz w:val="20"/>
              </w:rPr>
            </w:pPr>
            <w:r>
              <w:rPr>
                <w:b/>
                <w:spacing w:val="-5"/>
                <w:sz w:val="20"/>
              </w:rPr>
              <w:t>AGE</w:t>
            </w:r>
          </w:p>
        </w:tc>
        <w:tc>
          <w:tcPr>
            <w:tcW w:w="1237" w:type="dxa"/>
          </w:tcPr>
          <w:p>
            <w:pPr>
              <w:pStyle w:val="TableParagraph"/>
              <w:ind w:left="5" w:right="22"/>
              <w:rPr>
                <w:sz w:val="20"/>
              </w:rPr>
            </w:pPr>
            <w:r>
              <w:rPr>
                <w:spacing w:val="-4"/>
                <w:sz w:val="20"/>
              </w:rPr>
              <w:t>-</w:t>
            </w:r>
            <w:r>
              <w:rPr>
                <w:spacing w:val="-2"/>
                <w:sz w:val="20"/>
              </w:rPr>
              <w:t>0.724</w:t>
            </w:r>
          </w:p>
        </w:tc>
        <w:tc>
          <w:tcPr>
            <w:tcW w:w="1380" w:type="dxa"/>
          </w:tcPr>
          <w:p>
            <w:pPr>
              <w:pStyle w:val="TableParagraph"/>
              <w:ind w:left="444"/>
              <w:jc w:val="left"/>
              <w:rPr>
                <w:sz w:val="20"/>
              </w:rPr>
            </w:pPr>
            <w:r>
              <w:rPr>
                <w:spacing w:val="-2"/>
                <w:sz w:val="20"/>
              </w:rPr>
              <w:t>0.497</w:t>
            </w:r>
          </w:p>
        </w:tc>
        <w:tc>
          <w:tcPr>
            <w:tcW w:w="1039" w:type="dxa"/>
          </w:tcPr>
          <w:p>
            <w:pPr>
              <w:pStyle w:val="TableParagraph"/>
              <w:ind w:left="68" w:right="3"/>
              <w:rPr>
                <w:sz w:val="20"/>
              </w:rPr>
            </w:pPr>
            <w:r>
              <w:rPr>
                <w:spacing w:val="-4"/>
                <w:sz w:val="20"/>
              </w:rPr>
              <w:t>-1.46</w:t>
            </w:r>
          </w:p>
        </w:tc>
        <w:tc>
          <w:tcPr>
            <w:tcW w:w="1186" w:type="dxa"/>
          </w:tcPr>
          <w:p>
            <w:pPr>
              <w:pStyle w:val="TableParagraph"/>
              <w:ind w:left="180"/>
              <w:rPr>
                <w:sz w:val="20"/>
              </w:rPr>
            </w:pPr>
            <w:r>
              <w:rPr>
                <w:spacing w:val="-2"/>
                <w:sz w:val="20"/>
              </w:rPr>
              <w:t>0.203</w:t>
            </w:r>
          </w:p>
        </w:tc>
        <w:tc>
          <w:tcPr>
            <w:tcW w:w="1377" w:type="dxa"/>
          </w:tcPr>
          <w:p>
            <w:pPr>
              <w:pStyle w:val="TableParagraph"/>
              <w:ind w:left="85" w:right="122"/>
              <w:rPr>
                <w:sz w:val="20"/>
              </w:rPr>
            </w:pPr>
            <w:r>
              <w:rPr>
                <w:spacing w:val="-2"/>
                <w:sz w:val="20"/>
              </w:rPr>
              <w:t>0.416</w:t>
            </w:r>
          </w:p>
        </w:tc>
        <w:tc>
          <w:tcPr>
            <w:tcW w:w="989" w:type="dxa"/>
          </w:tcPr>
          <w:p>
            <w:pPr>
              <w:pStyle w:val="TableParagraph"/>
              <w:ind w:left="4" w:right="151"/>
              <w:rPr>
                <w:sz w:val="20"/>
              </w:rPr>
            </w:pPr>
            <w:r>
              <w:rPr>
                <w:spacing w:val="-4"/>
                <w:sz w:val="20"/>
              </w:rPr>
              <w:t>0.49</w:t>
            </w:r>
          </w:p>
        </w:tc>
      </w:tr>
      <w:tr>
        <w:trPr>
          <w:trHeight w:val="229" w:hRule="atLeast"/>
        </w:trPr>
        <w:tc>
          <w:tcPr>
            <w:tcW w:w="2098" w:type="dxa"/>
          </w:tcPr>
          <w:p>
            <w:pPr>
              <w:pStyle w:val="TableParagraph"/>
              <w:spacing w:line="209" w:lineRule="exact"/>
              <w:ind w:left="122"/>
              <w:jc w:val="left"/>
              <w:rPr>
                <w:b/>
                <w:sz w:val="20"/>
              </w:rPr>
            </w:pPr>
            <w:r>
              <w:rPr>
                <w:b/>
                <w:spacing w:val="-2"/>
                <w:sz w:val="20"/>
              </w:rPr>
              <w:t>HEduc</w:t>
            </w:r>
          </w:p>
        </w:tc>
        <w:tc>
          <w:tcPr>
            <w:tcW w:w="1237" w:type="dxa"/>
          </w:tcPr>
          <w:p>
            <w:pPr>
              <w:pStyle w:val="TableParagraph"/>
              <w:spacing w:line="209" w:lineRule="exact"/>
              <w:ind w:left="5" w:right="22"/>
              <w:rPr>
                <w:sz w:val="20"/>
              </w:rPr>
            </w:pPr>
            <w:r>
              <w:rPr>
                <w:spacing w:val="-4"/>
                <w:sz w:val="20"/>
              </w:rPr>
              <w:t>-</w:t>
            </w:r>
            <w:r>
              <w:rPr>
                <w:spacing w:val="-2"/>
                <w:sz w:val="20"/>
              </w:rPr>
              <w:t>0.852</w:t>
            </w:r>
          </w:p>
        </w:tc>
        <w:tc>
          <w:tcPr>
            <w:tcW w:w="1380" w:type="dxa"/>
          </w:tcPr>
          <w:p>
            <w:pPr>
              <w:pStyle w:val="TableParagraph"/>
              <w:spacing w:line="209" w:lineRule="exact"/>
              <w:ind w:left="444"/>
              <w:jc w:val="left"/>
              <w:rPr>
                <w:sz w:val="20"/>
              </w:rPr>
            </w:pPr>
            <w:r>
              <w:rPr>
                <w:spacing w:val="-2"/>
                <w:sz w:val="20"/>
              </w:rPr>
              <w:t>0.837</w:t>
            </w:r>
          </w:p>
        </w:tc>
        <w:tc>
          <w:tcPr>
            <w:tcW w:w="1039" w:type="dxa"/>
          </w:tcPr>
          <w:p>
            <w:pPr>
              <w:pStyle w:val="TableParagraph"/>
              <w:spacing w:line="209" w:lineRule="exact"/>
              <w:ind w:left="68" w:right="3"/>
              <w:rPr>
                <w:sz w:val="20"/>
              </w:rPr>
            </w:pPr>
            <w:r>
              <w:rPr>
                <w:spacing w:val="-4"/>
                <w:sz w:val="20"/>
              </w:rPr>
              <w:t>-1.02</w:t>
            </w:r>
          </w:p>
        </w:tc>
        <w:tc>
          <w:tcPr>
            <w:tcW w:w="1186" w:type="dxa"/>
          </w:tcPr>
          <w:p>
            <w:pPr>
              <w:pStyle w:val="TableParagraph"/>
              <w:spacing w:line="209" w:lineRule="exact"/>
              <w:ind w:left="180" w:right="2"/>
              <w:rPr>
                <w:sz w:val="20"/>
              </w:rPr>
            </w:pPr>
            <w:r>
              <w:rPr>
                <w:spacing w:val="-4"/>
                <w:sz w:val="20"/>
              </w:rPr>
              <w:t>-</w:t>
            </w:r>
            <w:r>
              <w:rPr>
                <w:spacing w:val="-2"/>
                <w:sz w:val="20"/>
              </w:rPr>
              <w:t>0.166</w:t>
            </w:r>
          </w:p>
        </w:tc>
        <w:tc>
          <w:tcPr>
            <w:tcW w:w="1377" w:type="dxa"/>
          </w:tcPr>
          <w:p>
            <w:pPr>
              <w:pStyle w:val="TableParagraph"/>
              <w:spacing w:line="209" w:lineRule="exact"/>
              <w:ind w:left="85" w:right="122"/>
              <w:rPr>
                <w:sz w:val="20"/>
              </w:rPr>
            </w:pPr>
            <w:r>
              <w:rPr>
                <w:spacing w:val="-2"/>
                <w:sz w:val="20"/>
              </w:rPr>
              <w:t>0.756</w:t>
            </w:r>
          </w:p>
        </w:tc>
        <w:tc>
          <w:tcPr>
            <w:tcW w:w="989" w:type="dxa"/>
          </w:tcPr>
          <w:p>
            <w:pPr>
              <w:pStyle w:val="TableParagraph"/>
              <w:spacing w:line="209" w:lineRule="exact"/>
              <w:ind w:left="1" w:right="151"/>
              <w:rPr>
                <w:sz w:val="20"/>
              </w:rPr>
            </w:pPr>
            <w:r>
              <w:rPr>
                <w:spacing w:val="-4"/>
                <w:sz w:val="20"/>
              </w:rPr>
              <w:t>-0.22</w:t>
            </w:r>
          </w:p>
        </w:tc>
      </w:tr>
      <w:tr>
        <w:trPr>
          <w:trHeight w:val="229" w:hRule="atLeast"/>
        </w:trPr>
        <w:tc>
          <w:tcPr>
            <w:tcW w:w="2098" w:type="dxa"/>
          </w:tcPr>
          <w:p>
            <w:pPr>
              <w:pStyle w:val="TableParagraph"/>
              <w:spacing w:line="209" w:lineRule="exact"/>
              <w:ind w:left="122"/>
              <w:jc w:val="left"/>
              <w:rPr>
                <w:b/>
                <w:sz w:val="20"/>
              </w:rPr>
            </w:pPr>
            <w:r>
              <w:rPr>
                <w:b/>
                <w:spacing w:val="-2"/>
                <w:sz w:val="20"/>
              </w:rPr>
              <w:t>MFamily</w:t>
            </w:r>
          </w:p>
        </w:tc>
        <w:tc>
          <w:tcPr>
            <w:tcW w:w="1237" w:type="dxa"/>
          </w:tcPr>
          <w:p>
            <w:pPr>
              <w:pStyle w:val="TableParagraph"/>
              <w:spacing w:line="209" w:lineRule="exact"/>
              <w:ind w:left="5" w:right="22"/>
              <w:rPr>
                <w:sz w:val="20"/>
              </w:rPr>
            </w:pPr>
            <w:r>
              <w:rPr>
                <w:spacing w:val="-2"/>
                <w:sz w:val="20"/>
              </w:rPr>
              <w:t>0.504**</w:t>
            </w:r>
          </w:p>
        </w:tc>
        <w:tc>
          <w:tcPr>
            <w:tcW w:w="1380" w:type="dxa"/>
          </w:tcPr>
          <w:p>
            <w:pPr>
              <w:pStyle w:val="TableParagraph"/>
              <w:spacing w:line="209" w:lineRule="exact"/>
              <w:ind w:left="445"/>
              <w:jc w:val="left"/>
              <w:rPr>
                <w:sz w:val="20"/>
              </w:rPr>
            </w:pPr>
            <w:r>
              <w:rPr>
                <w:spacing w:val="-2"/>
                <w:sz w:val="20"/>
              </w:rPr>
              <w:t>0.212</w:t>
            </w:r>
          </w:p>
        </w:tc>
        <w:tc>
          <w:tcPr>
            <w:tcW w:w="1039" w:type="dxa"/>
          </w:tcPr>
          <w:p>
            <w:pPr>
              <w:pStyle w:val="TableParagraph"/>
              <w:spacing w:line="209" w:lineRule="exact"/>
              <w:ind w:left="68"/>
              <w:rPr>
                <w:sz w:val="20"/>
              </w:rPr>
            </w:pPr>
            <w:r>
              <w:rPr>
                <w:spacing w:val="-4"/>
                <w:sz w:val="20"/>
              </w:rPr>
              <w:t>2.38</w:t>
            </w:r>
          </w:p>
        </w:tc>
        <w:tc>
          <w:tcPr>
            <w:tcW w:w="1186" w:type="dxa"/>
          </w:tcPr>
          <w:p>
            <w:pPr>
              <w:pStyle w:val="TableParagraph"/>
              <w:spacing w:line="209" w:lineRule="exact"/>
              <w:ind w:left="180"/>
              <w:rPr>
                <w:sz w:val="20"/>
              </w:rPr>
            </w:pPr>
            <w:r>
              <w:rPr>
                <w:spacing w:val="-2"/>
                <w:sz w:val="20"/>
              </w:rPr>
              <w:t>0.121</w:t>
            </w:r>
          </w:p>
        </w:tc>
        <w:tc>
          <w:tcPr>
            <w:tcW w:w="1377" w:type="dxa"/>
          </w:tcPr>
          <w:p>
            <w:pPr>
              <w:pStyle w:val="TableParagraph"/>
              <w:spacing w:line="209" w:lineRule="exact"/>
              <w:ind w:left="85" w:right="122"/>
              <w:rPr>
                <w:sz w:val="20"/>
              </w:rPr>
            </w:pPr>
            <w:r>
              <w:rPr>
                <w:spacing w:val="-2"/>
                <w:sz w:val="20"/>
              </w:rPr>
              <w:t>0.173</w:t>
            </w:r>
          </w:p>
        </w:tc>
        <w:tc>
          <w:tcPr>
            <w:tcW w:w="989" w:type="dxa"/>
          </w:tcPr>
          <w:p>
            <w:pPr>
              <w:pStyle w:val="TableParagraph"/>
              <w:spacing w:line="209" w:lineRule="exact"/>
              <w:ind w:left="4" w:right="151"/>
              <w:rPr>
                <w:sz w:val="20"/>
              </w:rPr>
            </w:pPr>
            <w:r>
              <w:rPr>
                <w:spacing w:val="-4"/>
                <w:sz w:val="20"/>
              </w:rPr>
              <w:t>0.70</w:t>
            </w:r>
          </w:p>
        </w:tc>
      </w:tr>
      <w:tr>
        <w:trPr>
          <w:trHeight w:val="230" w:hRule="atLeast"/>
        </w:trPr>
        <w:tc>
          <w:tcPr>
            <w:tcW w:w="2098" w:type="dxa"/>
          </w:tcPr>
          <w:p>
            <w:pPr>
              <w:pStyle w:val="TableParagraph"/>
              <w:ind w:left="122"/>
              <w:jc w:val="left"/>
              <w:rPr>
                <w:b/>
                <w:sz w:val="20"/>
              </w:rPr>
            </w:pPr>
            <w:r>
              <w:rPr>
                <w:b/>
                <w:spacing w:val="-4"/>
                <w:sz w:val="20"/>
              </w:rPr>
              <w:t>Land</w:t>
            </w:r>
          </w:p>
        </w:tc>
        <w:tc>
          <w:tcPr>
            <w:tcW w:w="1237" w:type="dxa"/>
          </w:tcPr>
          <w:p>
            <w:pPr>
              <w:pStyle w:val="TableParagraph"/>
              <w:ind w:right="22"/>
              <w:rPr>
                <w:sz w:val="20"/>
              </w:rPr>
            </w:pPr>
            <w:r>
              <w:rPr>
                <w:spacing w:val="-4"/>
                <w:sz w:val="20"/>
              </w:rPr>
              <w:t>-</w:t>
            </w:r>
            <w:r>
              <w:rPr>
                <w:spacing w:val="-2"/>
                <w:sz w:val="20"/>
              </w:rPr>
              <w:t>3.368***</w:t>
            </w:r>
          </w:p>
        </w:tc>
        <w:tc>
          <w:tcPr>
            <w:tcW w:w="1380" w:type="dxa"/>
          </w:tcPr>
          <w:p>
            <w:pPr>
              <w:pStyle w:val="TableParagraph"/>
              <w:ind w:left="445"/>
              <w:jc w:val="left"/>
              <w:rPr>
                <w:sz w:val="20"/>
              </w:rPr>
            </w:pPr>
            <w:r>
              <w:rPr>
                <w:spacing w:val="-2"/>
                <w:sz w:val="20"/>
              </w:rPr>
              <w:t>1.269</w:t>
            </w:r>
          </w:p>
        </w:tc>
        <w:tc>
          <w:tcPr>
            <w:tcW w:w="1039" w:type="dxa"/>
          </w:tcPr>
          <w:p>
            <w:pPr>
              <w:pStyle w:val="TableParagraph"/>
              <w:ind w:left="68" w:right="3"/>
              <w:rPr>
                <w:sz w:val="20"/>
              </w:rPr>
            </w:pPr>
            <w:r>
              <w:rPr>
                <w:spacing w:val="-4"/>
                <w:sz w:val="20"/>
              </w:rPr>
              <w:t>-2.65</w:t>
            </w:r>
          </w:p>
        </w:tc>
        <w:tc>
          <w:tcPr>
            <w:tcW w:w="1186" w:type="dxa"/>
          </w:tcPr>
          <w:p>
            <w:pPr>
              <w:pStyle w:val="TableParagraph"/>
              <w:ind w:left="180" w:right="2"/>
              <w:rPr>
                <w:sz w:val="20"/>
              </w:rPr>
            </w:pPr>
            <w:r>
              <w:rPr>
                <w:spacing w:val="-4"/>
                <w:sz w:val="20"/>
              </w:rPr>
              <w:t>-</w:t>
            </w:r>
            <w:r>
              <w:rPr>
                <w:spacing w:val="-2"/>
                <w:sz w:val="20"/>
              </w:rPr>
              <w:t>2.720***</w:t>
            </w:r>
          </w:p>
        </w:tc>
        <w:tc>
          <w:tcPr>
            <w:tcW w:w="1377" w:type="dxa"/>
          </w:tcPr>
          <w:p>
            <w:pPr>
              <w:pStyle w:val="TableParagraph"/>
              <w:ind w:left="85" w:right="122"/>
              <w:rPr>
                <w:sz w:val="20"/>
              </w:rPr>
            </w:pPr>
            <w:r>
              <w:rPr>
                <w:spacing w:val="-2"/>
                <w:sz w:val="20"/>
              </w:rPr>
              <w:t>1.041</w:t>
            </w:r>
          </w:p>
        </w:tc>
        <w:tc>
          <w:tcPr>
            <w:tcW w:w="989" w:type="dxa"/>
          </w:tcPr>
          <w:p>
            <w:pPr>
              <w:pStyle w:val="TableParagraph"/>
              <w:ind w:left="1" w:right="151"/>
              <w:rPr>
                <w:sz w:val="20"/>
              </w:rPr>
            </w:pPr>
            <w:r>
              <w:rPr>
                <w:spacing w:val="-4"/>
                <w:sz w:val="20"/>
              </w:rPr>
              <w:t>-2.61</w:t>
            </w:r>
          </w:p>
        </w:tc>
      </w:tr>
      <w:tr>
        <w:trPr>
          <w:trHeight w:val="230" w:hRule="atLeast"/>
        </w:trPr>
        <w:tc>
          <w:tcPr>
            <w:tcW w:w="2098" w:type="dxa"/>
          </w:tcPr>
          <w:p>
            <w:pPr>
              <w:pStyle w:val="TableParagraph"/>
              <w:ind w:left="122"/>
              <w:jc w:val="left"/>
              <w:rPr>
                <w:b/>
                <w:sz w:val="20"/>
              </w:rPr>
            </w:pPr>
            <w:r>
              <w:rPr>
                <w:b/>
                <w:spacing w:val="-2"/>
                <w:sz w:val="20"/>
              </w:rPr>
              <w:t>MCoop</w:t>
            </w:r>
          </w:p>
        </w:tc>
        <w:tc>
          <w:tcPr>
            <w:tcW w:w="1237" w:type="dxa"/>
          </w:tcPr>
          <w:p>
            <w:pPr>
              <w:pStyle w:val="TableParagraph"/>
              <w:ind w:left="7" w:right="22"/>
              <w:rPr>
                <w:sz w:val="20"/>
              </w:rPr>
            </w:pPr>
            <w:r>
              <w:rPr>
                <w:spacing w:val="-2"/>
                <w:sz w:val="20"/>
              </w:rPr>
              <w:t>1.784*</w:t>
            </w:r>
          </w:p>
        </w:tc>
        <w:tc>
          <w:tcPr>
            <w:tcW w:w="1380" w:type="dxa"/>
          </w:tcPr>
          <w:p>
            <w:pPr>
              <w:pStyle w:val="TableParagraph"/>
              <w:ind w:left="445"/>
              <w:jc w:val="left"/>
              <w:rPr>
                <w:sz w:val="20"/>
              </w:rPr>
            </w:pPr>
            <w:r>
              <w:rPr>
                <w:spacing w:val="-2"/>
                <w:sz w:val="20"/>
              </w:rPr>
              <w:t>0.935</w:t>
            </w:r>
          </w:p>
        </w:tc>
        <w:tc>
          <w:tcPr>
            <w:tcW w:w="1039" w:type="dxa"/>
          </w:tcPr>
          <w:p>
            <w:pPr>
              <w:pStyle w:val="TableParagraph"/>
              <w:ind w:left="68"/>
              <w:rPr>
                <w:sz w:val="20"/>
              </w:rPr>
            </w:pPr>
            <w:r>
              <w:rPr>
                <w:spacing w:val="-4"/>
                <w:sz w:val="20"/>
              </w:rPr>
              <w:t>1.91</w:t>
            </w:r>
          </w:p>
        </w:tc>
        <w:tc>
          <w:tcPr>
            <w:tcW w:w="1186" w:type="dxa"/>
          </w:tcPr>
          <w:p>
            <w:pPr>
              <w:pStyle w:val="TableParagraph"/>
              <w:ind w:left="180"/>
              <w:rPr>
                <w:sz w:val="20"/>
              </w:rPr>
            </w:pPr>
            <w:r>
              <w:rPr>
                <w:spacing w:val="-2"/>
                <w:sz w:val="20"/>
              </w:rPr>
              <w:t>0.937</w:t>
            </w:r>
          </w:p>
        </w:tc>
        <w:tc>
          <w:tcPr>
            <w:tcW w:w="1377" w:type="dxa"/>
          </w:tcPr>
          <w:p>
            <w:pPr>
              <w:pStyle w:val="TableParagraph"/>
              <w:ind w:left="85" w:right="122"/>
              <w:rPr>
                <w:sz w:val="20"/>
              </w:rPr>
            </w:pPr>
            <w:r>
              <w:rPr>
                <w:spacing w:val="-2"/>
                <w:sz w:val="20"/>
              </w:rPr>
              <w:t>0.762</w:t>
            </w:r>
          </w:p>
        </w:tc>
        <w:tc>
          <w:tcPr>
            <w:tcW w:w="989" w:type="dxa"/>
          </w:tcPr>
          <w:p>
            <w:pPr>
              <w:pStyle w:val="TableParagraph"/>
              <w:ind w:left="4" w:right="151"/>
              <w:rPr>
                <w:sz w:val="20"/>
              </w:rPr>
            </w:pPr>
            <w:r>
              <w:rPr>
                <w:spacing w:val="-4"/>
                <w:sz w:val="20"/>
              </w:rPr>
              <w:t>1.23</w:t>
            </w:r>
          </w:p>
        </w:tc>
      </w:tr>
      <w:tr>
        <w:trPr>
          <w:trHeight w:val="230" w:hRule="atLeast"/>
        </w:trPr>
        <w:tc>
          <w:tcPr>
            <w:tcW w:w="2098" w:type="dxa"/>
          </w:tcPr>
          <w:p>
            <w:pPr>
              <w:pStyle w:val="TableParagraph"/>
              <w:ind w:left="122"/>
              <w:jc w:val="left"/>
              <w:rPr>
                <w:b/>
                <w:sz w:val="20"/>
              </w:rPr>
            </w:pPr>
            <w:r>
              <w:rPr>
                <w:b/>
                <w:spacing w:val="-2"/>
                <w:sz w:val="20"/>
              </w:rPr>
              <w:t>Credit</w:t>
            </w:r>
          </w:p>
        </w:tc>
        <w:tc>
          <w:tcPr>
            <w:tcW w:w="1237" w:type="dxa"/>
          </w:tcPr>
          <w:p>
            <w:pPr>
              <w:pStyle w:val="TableParagraph"/>
              <w:ind w:left="5" w:right="22"/>
              <w:rPr>
                <w:sz w:val="20"/>
              </w:rPr>
            </w:pPr>
            <w:r>
              <w:rPr>
                <w:spacing w:val="-4"/>
                <w:sz w:val="20"/>
              </w:rPr>
              <w:t>-</w:t>
            </w:r>
            <w:r>
              <w:rPr>
                <w:spacing w:val="-2"/>
                <w:sz w:val="20"/>
              </w:rPr>
              <w:t>1.756*</w:t>
            </w:r>
          </w:p>
        </w:tc>
        <w:tc>
          <w:tcPr>
            <w:tcW w:w="1380" w:type="dxa"/>
          </w:tcPr>
          <w:p>
            <w:pPr>
              <w:pStyle w:val="TableParagraph"/>
              <w:ind w:left="445"/>
              <w:jc w:val="left"/>
              <w:rPr>
                <w:sz w:val="20"/>
              </w:rPr>
            </w:pPr>
            <w:r>
              <w:rPr>
                <w:spacing w:val="-2"/>
                <w:sz w:val="20"/>
              </w:rPr>
              <w:t>0.927</w:t>
            </w:r>
          </w:p>
        </w:tc>
        <w:tc>
          <w:tcPr>
            <w:tcW w:w="1039" w:type="dxa"/>
          </w:tcPr>
          <w:p>
            <w:pPr>
              <w:pStyle w:val="TableParagraph"/>
              <w:ind w:left="68" w:right="3"/>
              <w:rPr>
                <w:sz w:val="20"/>
              </w:rPr>
            </w:pPr>
            <w:r>
              <w:rPr>
                <w:spacing w:val="-4"/>
                <w:sz w:val="20"/>
              </w:rPr>
              <w:t>-1.89</w:t>
            </w:r>
          </w:p>
        </w:tc>
        <w:tc>
          <w:tcPr>
            <w:tcW w:w="1186" w:type="dxa"/>
          </w:tcPr>
          <w:p>
            <w:pPr>
              <w:pStyle w:val="TableParagraph"/>
              <w:ind w:left="180" w:right="2"/>
              <w:rPr>
                <w:sz w:val="20"/>
              </w:rPr>
            </w:pPr>
            <w:r>
              <w:rPr>
                <w:spacing w:val="-4"/>
                <w:sz w:val="20"/>
              </w:rPr>
              <w:t>-</w:t>
            </w:r>
            <w:r>
              <w:rPr>
                <w:spacing w:val="-2"/>
                <w:sz w:val="20"/>
              </w:rPr>
              <w:t>0.204</w:t>
            </w:r>
          </w:p>
        </w:tc>
        <w:tc>
          <w:tcPr>
            <w:tcW w:w="1377" w:type="dxa"/>
          </w:tcPr>
          <w:p>
            <w:pPr>
              <w:pStyle w:val="TableParagraph"/>
              <w:ind w:left="85" w:right="122"/>
              <w:rPr>
                <w:sz w:val="20"/>
              </w:rPr>
            </w:pPr>
            <w:r>
              <w:rPr>
                <w:spacing w:val="-2"/>
                <w:sz w:val="20"/>
              </w:rPr>
              <w:t>0.745</w:t>
            </w:r>
          </w:p>
        </w:tc>
        <w:tc>
          <w:tcPr>
            <w:tcW w:w="989" w:type="dxa"/>
          </w:tcPr>
          <w:p>
            <w:pPr>
              <w:pStyle w:val="TableParagraph"/>
              <w:ind w:left="1" w:right="151"/>
              <w:rPr>
                <w:sz w:val="20"/>
              </w:rPr>
            </w:pPr>
            <w:r>
              <w:rPr>
                <w:spacing w:val="-4"/>
                <w:sz w:val="20"/>
              </w:rPr>
              <w:t>-0.27</w:t>
            </w:r>
          </w:p>
        </w:tc>
      </w:tr>
      <w:tr>
        <w:trPr>
          <w:trHeight w:val="230" w:hRule="atLeast"/>
        </w:trPr>
        <w:tc>
          <w:tcPr>
            <w:tcW w:w="2098" w:type="dxa"/>
          </w:tcPr>
          <w:p>
            <w:pPr>
              <w:pStyle w:val="TableParagraph"/>
              <w:ind w:left="122"/>
              <w:jc w:val="left"/>
              <w:rPr>
                <w:b/>
                <w:sz w:val="20"/>
              </w:rPr>
            </w:pPr>
            <w:r>
              <w:rPr>
                <w:b/>
                <w:spacing w:val="-4"/>
                <w:sz w:val="20"/>
              </w:rPr>
              <w:t>NOFI</w:t>
            </w:r>
          </w:p>
        </w:tc>
        <w:tc>
          <w:tcPr>
            <w:tcW w:w="1237" w:type="dxa"/>
          </w:tcPr>
          <w:p>
            <w:pPr>
              <w:pStyle w:val="TableParagraph"/>
              <w:ind w:left="2" w:right="22"/>
              <w:rPr>
                <w:sz w:val="20"/>
              </w:rPr>
            </w:pPr>
            <w:r>
              <w:rPr>
                <w:spacing w:val="-2"/>
                <w:sz w:val="20"/>
              </w:rPr>
              <w:t>0.909</w:t>
            </w:r>
          </w:p>
        </w:tc>
        <w:tc>
          <w:tcPr>
            <w:tcW w:w="1380" w:type="dxa"/>
          </w:tcPr>
          <w:p>
            <w:pPr>
              <w:pStyle w:val="TableParagraph"/>
              <w:ind w:left="445"/>
              <w:jc w:val="left"/>
              <w:rPr>
                <w:sz w:val="20"/>
              </w:rPr>
            </w:pPr>
            <w:r>
              <w:rPr>
                <w:spacing w:val="-2"/>
                <w:sz w:val="20"/>
              </w:rPr>
              <w:t>0.743</w:t>
            </w:r>
          </w:p>
        </w:tc>
        <w:tc>
          <w:tcPr>
            <w:tcW w:w="1039" w:type="dxa"/>
          </w:tcPr>
          <w:p>
            <w:pPr>
              <w:pStyle w:val="TableParagraph"/>
              <w:ind w:left="68"/>
              <w:rPr>
                <w:sz w:val="20"/>
              </w:rPr>
            </w:pPr>
            <w:r>
              <w:rPr>
                <w:spacing w:val="-4"/>
                <w:sz w:val="20"/>
              </w:rPr>
              <w:t>1.22</w:t>
            </w:r>
          </w:p>
        </w:tc>
        <w:tc>
          <w:tcPr>
            <w:tcW w:w="1186" w:type="dxa"/>
          </w:tcPr>
          <w:p>
            <w:pPr>
              <w:pStyle w:val="TableParagraph"/>
              <w:ind w:left="180"/>
              <w:rPr>
                <w:sz w:val="20"/>
              </w:rPr>
            </w:pPr>
            <w:r>
              <w:rPr>
                <w:spacing w:val="-2"/>
                <w:sz w:val="20"/>
              </w:rPr>
              <w:t>0.246</w:t>
            </w:r>
          </w:p>
        </w:tc>
        <w:tc>
          <w:tcPr>
            <w:tcW w:w="1377" w:type="dxa"/>
          </w:tcPr>
          <w:p>
            <w:pPr>
              <w:pStyle w:val="TableParagraph"/>
              <w:ind w:left="85" w:right="122"/>
              <w:rPr>
                <w:sz w:val="20"/>
              </w:rPr>
            </w:pPr>
            <w:r>
              <w:rPr>
                <w:spacing w:val="-2"/>
                <w:sz w:val="20"/>
              </w:rPr>
              <w:t>0.607</w:t>
            </w:r>
          </w:p>
        </w:tc>
        <w:tc>
          <w:tcPr>
            <w:tcW w:w="989" w:type="dxa"/>
          </w:tcPr>
          <w:p>
            <w:pPr>
              <w:pStyle w:val="TableParagraph"/>
              <w:ind w:left="4" w:right="151"/>
              <w:rPr>
                <w:sz w:val="20"/>
              </w:rPr>
            </w:pPr>
            <w:r>
              <w:rPr>
                <w:spacing w:val="-4"/>
                <w:sz w:val="20"/>
              </w:rPr>
              <w:t>0.41</w:t>
            </w:r>
          </w:p>
        </w:tc>
      </w:tr>
      <w:tr>
        <w:trPr>
          <w:trHeight w:val="229" w:hRule="atLeast"/>
        </w:trPr>
        <w:tc>
          <w:tcPr>
            <w:tcW w:w="2098" w:type="dxa"/>
          </w:tcPr>
          <w:p>
            <w:pPr>
              <w:pStyle w:val="TableParagraph"/>
              <w:spacing w:line="209" w:lineRule="exact"/>
              <w:ind w:left="122"/>
              <w:jc w:val="left"/>
              <w:rPr>
                <w:b/>
                <w:sz w:val="20"/>
              </w:rPr>
            </w:pPr>
            <w:r>
              <w:rPr>
                <w:b/>
                <w:spacing w:val="-2"/>
                <w:sz w:val="20"/>
              </w:rPr>
              <w:t>DMarket</w:t>
            </w:r>
          </w:p>
        </w:tc>
        <w:tc>
          <w:tcPr>
            <w:tcW w:w="1237" w:type="dxa"/>
          </w:tcPr>
          <w:p>
            <w:pPr>
              <w:pStyle w:val="TableParagraph"/>
              <w:spacing w:line="209" w:lineRule="exact"/>
              <w:ind w:left="5" w:right="22"/>
              <w:rPr>
                <w:sz w:val="20"/>
              </w:rPr>
            </w:pPr>
            <w:r>
              <w:rPr>
                <w:spacing w:val="-2"/>
                <w:sz w:val="20"/>
              </w:rPr>
              <w:t>0.0229</w:t>
            </w:r>
          </w:p>
        </w:tc>
        <w:tc>
          <w:tcPr>
            <w:tcW w:w="1380" w:type="dxa"/>
          </w:tcPr>
          <w:p>
            <w:pPr>
              <w:pStyle w:val="TableParagraph"/>
              <w:spacing w:line="209" w:lineRule="exact"/>
              <w:ind w:left="397"/>
              <w:jc w:val="left"/>
              <w:rPr>
                <w:sz w:val="20"/>
              </w:rPr>
            </w:pPr>
            <w:r>
              <w:rPr>
                <w:spacing w:val="-2"/>
                <w:sz w:val="20"/>
              </w:rPr>
              <w:t>0.0330</w:t>
            </w:r>
          </w:p>
        </w:tc>
        <w:tc>
          <w:tcPr>
            <w:tcW w:w="1039" w:type="dxa"/>
          </w:tcPr>
          <w:p>
            <w:pPr>
              <w:pStyle w:val="TableParagraph"/>
              <w:spacing w:line="209" w:lineRule="exact"/>
              <w:ind w:left="68"/>
              <w:rPr>
                <w:sz w:val="20"/>
              </w:rPr>
            </w:pPr>
            <w:r>
              <w:rPr>
                <w:spacing w:val="-4"/>
                <w:sz w:val="20"/>
              </w:rPr>
              <w:t>0.69</w:t>
            </w:r>
          </w:p>
        </w:tc>
        <w:tc>
          <w:tcPr>
            <w:tcW w:w="1186" w:type="dxa"/>
          </w:tcPr>
          <w:p>
            <w:pPr>
              <w:pStyle w:val="TableParagraph"/>
              <w:spacing w:line="209" w:lineRule="exact"/>
              <w:ind w:left="180" w:right="2"/>
              <w:rPr>
                <w:sz w:val="20"/>
              </w:rPr>
            </w:pPr>
            <w:r>
              <w:rPr>
                <w:spacing w:val="-2"/>
                <w:sz w:val="20"/>
              </w:rPr>
              <w:t>0.0361</w:t>
            </w:r>
          </w:p>
        </w:tc>
        <w:tc>
          <w:tcPr>
            <w:tcW w:w="1377" w:type="dxa"/>
          </w:tcPr>
          <w:p>
            <w:pPr>
              <w:pStyle w:val="TableParagraph"/>
              <w:spacing w:line="209" w:lineRule="exact"/>
              <w:ind w:left="82" w:right="122"/>
              <w:rPr>
                <w:sz w:val="20"/>
              </w:rPr>
            </w:pPr>
            <w:r>
              <w:rPr>
                <w:spacing w:val="-2"/>
                <w:sz w:val="20"/>
              </w:rPr>
              <w:t>0.0273</w:t>
            </w:r>
          </w:p>
        </w:tc>
        <w:tc>
          <w:tcPr>
            <w:tcW w:w="989" w:type="dxa"/>
          </w:tcPr>
          <w:p>
            <w:pPr>
              <w:pStyle w:val="TableParagraph"/>
              <w:spacing w:line="209" w:lineRule="exact"/>
              <w:ind w:left="4" w:right="151"/>
              <w:rPr>
                <w:sz w:val="20"/>
              </w:rPr>
            </w:pPr>
            <w:r>
              <w:rPr>
                <w:spacing w:val="-4"/>
                <w:sz w:val="20"/>
              </w:rPr>
              <w:t>1.32</w:t>
            </w:r>
          </w:p>
        </w:tc>
      </w:tr>
      <w:tr>
        <w:trPr>
          <w:trHeight w:val="229" w:hRule="atLeast"/>
        </w:trPr>
        <w:tc>
          <w:tcPr>
            <w:tcW w:w="2098" w:type="dxa"/>
          </w:tcPr>
          <w:p>
            <w:pPr>
              <w:pStyle w:val="TableParagraph"/>
              <w:spacing w:line="209" w:lineRule="exact"/>
              <w:ind w:left="122"/>
              <w:jc w:val="left"/>
              <w:rPr>
                <w:b/>
                <w:sz w:val="20"/>
              </w:rPr>
            </w:pPr>
            <w:r>
              <w:rPr>
                <w:b/>
                <w:spacing w:val="-2"/>
                <w:sz w:val="20"/>
              </w:rPr>
              <w:t>QPron</w:t>
            </w:r>
          </w:p>
        </w:tc>
        <w:tc>
          <w:tcPr>
            <w:tcW w:w="1237" w:type="dxa"/>
          </w:tcPr>
          <w:p>
            <w:pPr>
              <w:pStyle w:val="TableParagraph"/>
              <w:spacing w:line="209" w:lineRule="exact"/>
              <w:ind w:left="5" w:right="22"/>
              <w:rPr>
                <w:sz w:val="20"/>
              </w:rPr>
            </w:pPr>
            <w:r>
              <w:rPr>
                <w:spacing w:val="-4"/>
                <w:sz w:val="20"/>
              </w:rPr>
              <w:t>-</w:t>
            </w:r>
            <w:r>
              <w:rPr>
                <w:spacing w:val="-2"/>
                <w:sz w:val="20"/>
              </w:rPr>
              <w:t>0.392</w:t>
            </w:r>
          </w:p>
        </w:tc>
        <w:tc>
          <w:tcPr>
            <w:tcW w:w="1380" w:type="dxa"/>
          </w:tcPr>
          <w:p>
            <w:pPr>
              <w:pStyle w:val="TableParagraph"/>
              <w:spacing w:line="209" w:lineRule="exact"/>
              <w:ind w:left="445"/>
              <w:jc w:val="left"/>
              <w:rPr>
                <w:sz w:val="20"/>
              </w:rPr>
            </w:pPr>
            <w:r>
              <w:rPr>
                <w:spacing w:val="-2"/>
                <w:sz w:val="20"/>
              </w:rPr>
              <w:t>1.797</w:t>
            </w:r>
          </w:p>
        </w:tc>
        <w:tc>
          <w:tcPr>
            <w:tcW w:w="1039" w:type="dxa"/>
          </w:tcPr>
          <w:p>
            <w:pPr>
              <w:pStyle w:val="TableParagraph"/>
              <w:spacing w:line="209" w:lineRule="exact"/>
              <w:ind w:left="68" w:right="3"/>
              <w:rPr>
                <w:sz w:val="20"/>
              </w:rPr>
            </w:pPr>
            <w:r>
              <w:rPr>
                <w:spacing w:val="-4"/>
                <w:sz w:val="20"/>
              </w:rPr>
              <w:t>-0.22</w:t>
            </w:r>
          </w:p>
        </w:tc>
        <w:tc>
          <w:tcPr>
            <w:tcW w:w="1186" w:type="dxa"/>
          </w:tcPr>
          <w:p>
            <w:pPr>
              <w:pStyle w:val="TableParagraph"/>
              <w:spacing w:line="209" w:lineRule="exact"/>
              <w:ind w:left="180" w:right="4"/>
              <w:rPr>
                <w:sz w:val="20"/>
              </w:rPr>
            </w:pPr>
            <w:r>
              <w:rPr>
                <w:spacing w:val="-4"/>
                <w:sz w:val="20"/>
              </w:rPr>
              <w:t>-</w:t>
            </w:r>
            <w:r>
              <w:rPr>
                <w:spacing w:val="-2"/>
                <w:sz w:val="20"/>
              </w:rPr>
              <w:t>2.589**</w:t>
            </w:r>
          </w:p>
        </w:tc>
        <w:tc>
          <w:tcPr>
            <w:tcW w:w="1377" w:type="dxa"/>
          </w:tcPr>
          <w:p>
            <w:pPr>
              <w:pStyle w:val="TableParagraph"/>
              <w:spacing w:line="209" w:lineRule="exact"/>
              <w:ind w:left="85" w:right="122"/>
              <w:rPr>
                <w:sz w:val="20"/>
              </w:rPr>
            </w:pPr>
            <w:r>
              <w:rPr>
                <w:spacing w:val="-2"/>
                <w:sz w:val="20"/>
              </w:rPr>
              <w:t>1.041</w:t>
            </w:r>
          </w:p>
        </w:tc>
        <w:tc>
          <w:tcPr>
            <w:tcW w:w="989" w:type="dxa"/>
          </w:tcPr>
          <w:p>
            <w:pPr>
              <w:pStyle w:val="TableParagraph"/>
              <w:spacing w:line="209" w:lineRule="exact"/>
              <w:ind w:left="1" w:right="151"/>
              <w:rPr>
                <w:sz w:val="20"/>
              </w:rPr>
            </w:pPr>
            <w:r>
              <w:rPr>
                <w:spacing w:val="-4"/>
                <w:sz w:val="20"/>
              </w:rPr>
              <w:t>-2.49</w:t>
            </w:r>
          </w:p>
        </w:tc>
      </w:tr>
      <w:tr>
        <w:trPr>
          <w:trHeight w:val="230" w:hRule="atLeast"/>
        </w:trPr>
        <w:tc>
          <w:tcPr>
            <w:tcW w:w="2098" w:type="dxa"/>
          </w:tcPr>
          <w:p>
            <w:pPr>
              <w:pStyle w:val="TableParagraph"/>
              <w:ind w:left="122"/>
              <w:jc w:val="left"/>
              <w:rPr>
                <w:b/>
                <w:sz w:val="20"/>
              </w:rPr>
            </w:pPr>
            <w:r>
              <w:rPr>
                <w:b/>
                <w:spacing w:val="-2"/>
                <w:sz w:val="20"/>
              </w:rPr>
              <w:t>Price</w:t>
            </w:r>
          </w:p>
        </w:tc>
        <w:tc>
          <w:tcPr>
            <w:tcW w:w="1237" w:type="dxa"/>
          </w:tcPr>
          <w:p>
            <w:pPr>
              <w:pStyle w:val="TableParagraph"/>
              <w:ind w:left="2" w:right="22"/>
              <w:rPr>
                <w:sz w:val="20"/>
              </w:rPr>
            </w:pPr>
            <w:r>
              <w:rPr>
                <w:spacing w:val="-4"/>
                <w:sz w:val="20"/>
              </w:rPr>
              <w:t>-</w:t>
            </w:r>
            <w:r>
              <w:rPr>
                <w:spacing w:val="-2"/>
                <w:sz w:val="20"/>
              </w:rPr>
              <w:t>5.906**</w:t>
            </w:r>
          </w:p>
        </w:tc>
        <w:tc>
          <w:tcPr>
            <w:tcW w:w="1380" w:type="dxa"/>
          </w:tcPr>
          <w:p>
            <w:pPr>
              <w:pStyle w:val="TableParagraph"/>
              <w:ind w:left="445"/>
              <w:jc w:val="left"/>
              <w:rPr>
                <w:sz w:val="20"/>
              </w:rPr>
            </w:pPr>
            <w:r>
              <w:rPr>
                <w:spacing w:val="-2"/>
                <w:sz w:val="20"/>
              </w:rPr>
              <w:t>2.330</w:t>
            </w:r>
          </w:p>
        </w:tc>
        <w:tc>
          <w:tcPr>
            <w:tcW w:w="1039" w:type="dxa"/>
          </w:tcPr>
          <w:p>
            <w:pPr>
              <w:pStyle w:val="TableParagraph"/>
              <w:ind w:left="68" w:right="3"/>
              <w:rPr>
                <w:sz w:val="20"/>
              </w:rPr>
            </w:pPr>
            <w:r>
              <w:rPr>
                <w:spacing w:val="-4"/>
                <w:sz w:val="20"/>
              </w:rPr>
              <w:t>-2.53</w:t>
            </w:r>
          </w:p>
        </w:tc>
        <w:tc>
          <w:tcPr>
            <w:tcW w:w="1186" w:type="dxa"/>
          </w:tcPr>
          <w:p>
            <w:pPr>
              <w:pStyle w:val="TableParagraph"/>
              <w:ind w:left="180" w:right="2"/>
              <w:rPr>
                <w:sz w:val="20"/>
              </w:rPr>
            </w:pPr>
            <w:r>
              <w:rPr>
                <w:spacing w:val="-4"/>
                <w:sz w:val="20"/>
              </w:rPr>
              <w:t>-</w:t>
            </w:r>
            <w:r>
              <w:rPr>
                <w:spacing w:val="-2"/>
                <w:sz w:val="20"/>
              </w:rPr>
              <w:t>3.215</w:t>
            </w:r>
          </w:p>
        </w:tc>
        <w:tc>
          <w:tcPr>
            <w:tcW w:w="1377" w:type="dxa"/>
          </w:tcPr>
          <w:p>
            <w:pPr>
              <w:pStyle w:val="TableParagraph"/>
              <w:ind w:left="85" w:right="122"/>
              <w:rPr>
                <w:sz w:val="20"/>
              </w:rPr>
            </w:pPr>
            <w:r>
              <w:rPr>
                <w:spacing w:val="-2"/>
                <w:sz w:val="20"/>
              </w:rPr>
              <w:t>1.983</w:t>
            </w:r>
          </w:p>
        </w:tc>
        <w:tc>
          <w:tcPr>
            <w:tcW w:w="989" w:type="dxa"/>
          </w:tcPr>
          <w:p>
            <w:pPr>
              <w:pStyle w:val="TableParagraph"/>
              <w:ind w:left="1" w:right="151"/>
              <w:rPr>
                <w:sz w:val="20"/>
              </w:rPr>
            </w:pPr>
            <w:r>
              <w:rPr>
                <w:spacing w:val="-4"/>
                <w:sz w:val="20"/>
              </w:rPr>
              <w:t>-1.62</w:t>
            </w:r>
          </w:p>
        </w:tc>
      </w:tr>
      <w:tr>
        <w:trPr>
          <w:trHeight w:val="230" w:hRule="atLeast"/>
        </w:trPr>
        <w:tc>
          <w:tcPr>
            <w:tcW w:w="2098" w:type="dxa"/>
          </w:tcPr>
          <w:p>
            <w:pPr>
              <w:pStyle w:val="TableParagraph"/>
              <w:ind w:left="122"/>
              <w:jc w:val="left"/>
              <w:rPr>
                <w:b/>
                <w:sz w:val="20"/>
              </w:rPr>
            </w:pPr>
            <w:r>
              <w:rPr>
                <w:b/>
                <w:spacing w:val="-2"/>
                <w:sz w:val="20"/>
              </w:rPr>
              <w:t>OTran</w:t>
            </w:r>
          </w:p>
        </w:tc>
        <w:tc>
          <w:tcPr>
            <w:tcW w:w="1237" w:type="dxa"/>
          </w:tcPr>
          <w:p>
            <w:pPr>
              <w:pStyle w:val="TableParagraph"/>
              <w:ind w:left="5" w:right="22"/>
              <w:rPr>
                <w:sz w:val="20"/>
              </w:rPr>
            </w:pPr>
            <w:r>
              <w:rPr>
                <w:spacing w:val="-4"/>
                <w:sz w:val="20"/>
              </w:rPr>
              <w:t>-</w:t>
            </w:r>
            <w:r>
              <w:rPr>
                <w:spacing w:val="-2"/>
                <w:sz w:val="20"/>
              </w:rPr>
              <w:t>1.297*</w:t>
            </w:r>
          </w:p>
        </w:tc>
        <w:tc>
          <w:tcPr>
            <w:tcW w:w="1380" w:type="dxa"/>
          </w:tcPr>
          <w:p>
            <w:pPr>
              <w:pStyle w:val="TableParagraph"/>
              <w:ind w:left="445"/>
              <w:jc w:val="left"/>
              <w:rPr>
                <w:sz w:val="20"/>
              </w:rPr>
            </w:pPr>
            <w:r>
              <w:rPr>
                <w:spacing w:val="-2"/>
                <w:sz w:val="20"/>
              </w:rPr>
              <w:t>0.695</w:t>
            </w:r>
          </w:p>
        </w:tc>
        <w:tc>
          <w:tcPr>
            <w:tcW w:w="1039" w:type="dxa"/>
          </w:tcPr>
          <w:p>
            <w:pPr>
              <w:pStyle w:val="TableParagraph"/>
              <w:ind w:left="68" w:right="3"/>
              <w:rPr>
                <w:sz w:val="20"/>
              </w:rPr>
            </w:pPr>
            <w:r>
              <w:rPr>
                <w:spacing w:val="-4"/>
                <w:sz w:val="20"/>
              </w:rPr>
              <w:t>-1.87</w:t>
            </w:r>
          </w:p>
        </w:tc>
        <w:tc>
          <w:tcPr>
            <w:tcW w:w="1186" w:type="dxa"/>
          </w:tcPr>
          <w:p>
            <w:pPr>
              <w:pStyle w:val="TableParagraph"/>
              <w:ind w:left="180"/>
              <w:rPr>
                <w:sz w:val="20"/>
              </w:rPr>
            </w:pPr>
            <w:r>
              <w:rPr>
                <w:spacing w:val="-2"/>
                <w:sz w:val="20"/>
              </w:rPr>
              <w:t>0.017</w:t>
            </w:r>
          </w:p>
        </w:tc>
        <w:tc>
          <w:tcPr>
            <w:tcW w:w="1377" w:type="dxa"/>
          </w:tcPr>
          <w:p>
            <w:pPr>
              <w:pStyle w:val="TableParagraph"/>
              <w:ind w:left="85" w:right="122"/>
              <w:rPr>
                <w:sz w:val="20"/>
              </w:rPr>
            </w:pPr>
            <w:r>
              <w:rPr>
                <w:spacing w:val="-2"/>
                <w:sz w:val="20"/>
              </w:rPr>
              <w:t>0.832</w:t>
            </w:r>
          </w:p>
        </w:tc>
        <w:tc>
          <w:tcPr>
            <w:tcW w:w="989" w:type="dxa"/>
          </w:tcPr>
          <w:p>
            <w:pPr>
              <w:pStyle w:val="TableParagraph"/>
              <w:ind w:left="4" w:right="151"/>
              <w:rPr>
                <w:sz w:val="20"/>
              </w:rPr>
            </w:pPr>
            <w:r>
              <w:rPr>
                <w:spacing w:val="-4"/>
                <w:sz w:val="20"/>
              </w:rPr>
              <w:t>0.02</w:t>
            </w:r>
          </w:p>
        </w:tc>
      </w:tr>
      <w:tr>
        <w:trPr>
          <w:trHeight w:val="230" w:hRule="atLeast"/>
        </w:trPr>
        <w:tc>
          <w:tcPr>
            <w:tcW w:w="2098" w:type="dxa"/>
          </w:tcPr>
          <w:p>
            <w:pPr>
              <w:pStyle w:val="TableParagraph"/>
              <w:ind w:left="122"/>
              <w:jc w:val="left"/>
              <w:rPr>
                <w:b/>
                <w:sz w:val="20"/>
              </w:rPr>
            </w:pPr>
            <w:r>
              <w:rPr>
                <w:b/>
                <w:spacing w:val="-2"/>
                <w:sz w:val="20"/>
              </w:rPr>
              <w:t>MInformation</w:t>
            </w:r>
          </w:p>
        </w:tc>
        <w:tc>
          <w:tcPr>
            <w:tcW w:w="1237" w:type="dxa"/>
          </w:tcPr>
          <w:p>
            <w:pPr>
              <w:pStyle w:val="TableParagraph"/>
              <w:ind w:left="2" w:right="22"/>
              <w:rPr>
                <w:sz w:val="20"/>
              </w:rPr>
            </w:pPr>
            <w:r>
              <w:rPr>
                <w:spacing w:val="-2"/>
                <w:sz w:val="20"/>
              </w:rPr>
              <w:t>0.296</w:t>
            </w:r>
          </w:p>
        </w:tc>
        <w:tc>
          <w:tcPr>
            <w:tcW w:w="1380" w:type="dxa"/>
          </w:tcPr>
          <w:p>
            <w:pPr>
              <w:pStyle w:val="TableParagraph"/>
              <w:ind w:left="445"/>
              <w:jc w:val="left"/>
              <w:rPr>
                <w:sz w:val="20"/>
              </w:rPr>
            </w:pPr>
            <w:r>
              <w:rPr>
                <w:spacing w:val="-2"/>
                <w:sz w:val="20"/>
              </w:rPr>
              <w:t>1.156</w:t>
            </w:r>
          </w:p>
        </w:tc>
        <w:tc>
          <w:tcPr>
            <w:tcW w:w="1039" w:type="dxa"/>
          </w:tcPr>
          <w:p>
            <w:pPr>
              <w:pStyle w:val="TableParagraph"/>
              <w:ind w:left="68"/>
              <w:rPr>
                <w:sz w:val="20"/>
              </w:rPr>
            </w:pPr>
            <w:r>
              <w:rPr>
                <w:spacing w:val="-4"/>
                <w:sz w:val="20"/>
              </w:rPr>
              <w:t>0.26</w:t>
            </w:r>
          </w:p>
        </w:tc>
        <w:tc>
          <w:tcPr>
            <w:tcW w:w="1186" w:type="dxa"/>
          </w:tcPr>
          <w:p>
            <w:pPr>
              <w:pStyle w:val="TableParagraph"/>
              <w:ind w:left="180"/>
              <w:rPr>
                <w:sz w:val="20"/>
              </w:rPr>
            </w:pPr>
            <w:r>
              <w:rPr>
                <w:spacing w:val="-2"/>
                <w:sz w:val="20"/>
              </w:rPr>
              <w:t>1.041</w:t>
            </w:r>
          </w:p>
        </w:tc>
        <w:tc>
          <w:tcPr>
            <w:tcW w:w="1377" w:type="dxa"/>
          </w:tcPr>
          <w:p>
            <w:pPr>
              <w:pStyle w:val="TableParagraph"/>
              <w:ind w:left="85" w:right="122"/>
              <w:rPr>
                <w:sz w:val="20"/>
              </w:rPr>
            </w:pPr>
            <w:r>
              <w:rPr>
                <w:spacing w:val="-2"/>
                <w:sz w:val="20"/>
              </w:rPr>
              <w:t>1.263</w:t>
            </w:r>
          </w:p>
        </w:tc>
        <w:tc>
          <w:tcPr>
            <w:tcW w:w="989" w:type="dxa"/>
          </w:tcPr>
          <w:p>
            <w:pPr>
              <w:pStyle w:val="TableParagraph"/>
              <w:ind w:left="4" w:right="151"/>
              <w:rPr>
                <w:sz w:val="20"/>
              </w:rPr>
            </w:pPr>
            <w:r>
              <w:rPr>
                <w:spacing w:val="-4"/>
                <w:sz w:val="20"/>
              </w:rPr>
              <w:t>0.82</w:t>
            </w:r>
          </w:p>
        </w:tc>
      </w:tr>
      <w:tr>
        <w:trPr>
          <w:trHeight w:val="230" w:hRule="atLeast"/>
        </w:trPr>
        <w:tc>
          <w:tcPr>
            <w:tcW w:w="2098" w:type="dxa"/>
          </w:tcPr>
          <w:p>
            <w:pPr>
              <w:pStyle w:val="TableParagraph"/>
              <w:ind w:left="122"/>
              <w:jc w:val="left"/>
              <w:rPr>
                <w:b/>
                <w:sz w:val="20"/>
              </w:rPr>
            </w:pPr>
            <w:r>
              <w:rPr>
                <w:b/>
                <w:spacing w:val="-2"/>
                <w:sz w:val="20"/>
              </w:rPr>
              <w:t>AExtention</w:t>
            </w:r>
          </w:p>
        </w:tc>
        <w:tc>
          <w:tcPr>
            <w:tcW w:w="1237" w:type="dxa"/>
          </w:tcPr>
          <w:p>
            <w:pPr>
              <w:pStyle w:val="TableParagraph"/>
              <w:ind w:left="5" w:right="22"/>
              <w:rPr>
                <w:sz w:val="20"/>
              </w:rPr>
            </w:pPr>
            <w:r>
              <w:rPr>
                <w:spacing w:val="-4"/>
                <w:sz w:val="20"/>
              </w:rPr>
              <w:t>-</w:t>
            </w:r>
            <w:r>
              <w:rPr>
                <w:spacing w:val="-2"/>
                <w:sz w:val="20"/>
              </w:rPr>
              <w:t>0.205</w:t>
            </w:r>
          </w:p>
        </w:tc>
        <w:tc>
          <w:tcPr>
            <w:tcW w:w="1380" w:type="dxa"/>
          </w:tcPr>
          <w:p>
            <w:pPr>
              <w:pStyle w:val="TableParagraph"/>
              <w:ind w:left="445"/>
              <w:jc w:val="left"/>
              <w:rPr>
                <w:sz w:val="20"/>
              </w:rPr>
            </w:pPr>
            <w:r>
              <w:rPr>
                <w:spacing w:val="-2"/>
                <w:sz w:val="20"/>
              </w:rPr>
              <w:t>0.647</w:t>
            </w:r>
          </w:p>
        </w:tc>
        <w:tc>
          <w:tcPr>
            <w:tcW w:w="1039" w:type="dxa"/>
          </w:tcPr>
          <w:p>
            <w:pPr>
              <w:pStyle w:val="TableParagraph"/>
              <w:ind w:left="68" w:right="3"/>
              <w:rPr>
                <w:sz w:val="20"/>
              </w:rPr>
            </w:pPr>
            <w:r>
              <w:rPr>
                <w:spacing w:val="-4"/>
                <w:sz w:val="20"/>
              </w:rPr>
              <w:t>-0.32</w:t>
            </w:r>
          </w:p>
        </w:tc>
        <w:tc>
          <w:tcPr>
            <w:tcW w:w="1186" w:type="dxa"/>
          </w:tcPr>
          <w:p>
            <w:pPr>
              <w:pStyle w:val="TableParagraph"/>
              <w:ind w:left="180" w:right="2"/>
              <w:rPr>
                <w:sz w:val="20"/>
              </w:rPr>
            </w:pPr>
            <w:r>
              <w:rPr>
                <w:spacing w:val="-2"/>
                <w:sz w:val="20"/>
              </w:rPr>
              <w:t>0.0634</w:t>
            </w:r>
          </w:p>
        </w:tc>
        <w:tc>
          <w:tcPr>
            <w:tcW w:w="1377" w:type="dxa"/>
          </w:tcPr>
          <w:p>
            <w:pPr>
              <w:pStyle w:val="TableParagraph"/>
              <w:ind w:left="85" w:right="122"/>
              <w:rPr>
                <w:sz w:val="20"/>
              </w:rPr>
            </w:pPr>
            <w:r>
              <w:rPr>
                <w:spacing w:val="-2"/>
                <w:sz w:val="20"/>
              </w:rPr>
              <w:t>0.581</w:t>
            </w:r>
          </w:p>
        </w:tc>
        <w:tc>
          <w:tcPr>
            <w:tcW w:w="989" w:type="dxa"/>
          </w:tcPr>
          <w:p>
            <w:pPr>
              <w:pStyle w:val="TableParagraph"/>
              <w:ind w:left="4" w:right="151"/>
              <w:rPr>
                <w:sz w:val="20"/>
              </w:rPr>
            </w:pPr>
            <w:r>
              <w:rPr>
                <w:spacing w:val="-4"/>
                <w:sz w:val="20"/>
              </w:rPr>
              <w:t>0.11</w:t>
            </w:r>
          </w:p>
        </w:tc>
      </w:tr>
      <w:tr>
        <w:trPr>
          <w:trHeight w:val="229" w:hRule="atLeast"/>
        </w:trPr>
        <w:tc>
          <w:tcPr>
            <w:tcW w:w="2098" w:type="dxa"/>
            <w:tcBorders>
              <w:bottom w:val="single" w:sz="8" w:space="0" w:color="000000"/>
            </w:tcBorders>
          </w:tcPr>
          <w:p>
            <w:pPr>
              <w:pStyle w:val="TableParagraph"/>
              <w:ind w:left="122"/>
              <w:jc w:val="left"/>
              <w:rPr>
                <w:b/>
                <w:sz w:val="20"/>
              </w:rPr>
            </w:pPr>
            <w:r>
              <w:rPr>
                <w:b/>
                <w:spacing w:val="-2"/>
                <w:sz w:val="20"/>
              </w:rPr>
              <w:t>_cons</w:t>
            </w:r>
          </w:p>
        </w:tc>
        <w:tc>
          <w:tcPr>
            <w:tcW w:w="1237" w:type="dxa"/>
            <w:tcBorders>
              <w:bottom w:val="single" w:sz="8" w:space="0" w:color="000000"/>
            </w:tcBorders>
          </w:tcPr>
          <w:p>
            <w:pPr>
              <w:pStyle w:val="TableParagraph"/>
              <w:ind w:left="5" w:right="22"/>
              <w:rPr>
                <w:sz w:val="20"/>
              </w:rPr>
            </w:pPr>
            <w:r>
              <w:rPr>
                <w:spacing w:val="-2"/>
                <w:sz w:val="20"/>
              </w:rPr>
              <w:t>27.714</w:t>
            </w:r>
          </w:p>
        </w:tc>
        <w:tc>
          <w:tcPr>
            <w:tcW w:w="1380" w:type="dxa"/>
            <w:tcBorders>
              <w:bottom w:val="single" w:sz="8" w:space="0" w:color="000000"/>
            </w:tcBorders>
          </w:tcPr>
          <w:p>
            <w:pPr>
              <w:pStyle w:val="TableParagraph"/>
              <w:ind w:left="445"/>
              <w:jc w:val="left"/>
              <w:rPr>
                <w:sz w:val="20"/>
              </w:rPr>
            </w:pPr>
            <w:r>
              <w:rPr>
                <w:spacing w:val="-2"/>
                <w:sz w:val="20"/>
              </w:rPr>
              <w:t>9.180</w:t>
            </w:r>
          </w:p>
        </w:tc>
        <w:tc>
          <w:tcPr>
            <w:tcW w:w="1039" w:type="dxa"/>
            <w:tcBorders>
              <w:bottom w:val="single" w:sz="8" w:space="0" w:color="000000"/>
            </w:tcBorders>
          </w:tcPr>
          <w:p>
            <w:pPr>
              <w:pStyle w:val="TableParagraph"/>
              <w:ind w:left="68"/>
              <w:rPr>
                <w:sz w:val="20"/>
              </w:rPr>
            </w:pPr>
            <w:r>
              <w:rPr>
                <w:spacing w:val="-4"/>
                <w:sz w:val="20"/>
              </w:rPr>
              <w:t>3.02</w:t>
            </w:r>
          </w:p>
        </w:tc>
        <w:tc>
          <w:tcPr>
            <w:tcW w:w="1186" w:type="dxa"/>
            <w:tcBorders>
              <w:bottom w:val="single" w:sz="8" w:space="0" w:color="000000"/>
            </w:tcBorders>
          </w:tcPr>
          <w:p>
            <w:pPr>
              <w:pStyle w:val="TableParagraph"/>
              <w:ind w:left="180" w:right="2"/>
              <w:rPr>
                <w:sz w:val="20"/>
              </w:rPr>
            </w:pPr>
            <w:r>
              <w:rPr>
                <w:spacing w:val="-2"/>
                <w:sz w:val="20"/>
              </w:rPr>
              <w:t>14.026</w:t>
            </w:r>
          </w:p>
        </w:tc>
        <w:tc>
          <w:tcPr>
            <w:tcW w:w="1377" w:type="dxa"/>
            <w:tcBorders>
              <w:bottom w:val="single" w:sz="8" w:space="0" w:color="000000"/>
            </w:tcBorders>
          </w:tcPr>
          <w:p>
            <w:pPr>
              <w:pStyle w:val="TableParagraph"/>
              <w:ind w:left="85" w:right="122"/>
              <w:rPr>
                <w:sz w:val="20"/>
              </w:rPr>
            </w:pPr>
            <w:r>
              <w:rPr>
                <w:spacing w:val="-2"/>
                <w:sz w:val="20"/>
              </w:rPr>
              <w:t>7.907</w:t>
            </w:r>
          </w:p>
        </w:tc>
        <w:tc>
          <w:tcPr>
            <w:tcW w:w="989" w:type="dxa"/>
            <w:tcBorders>
              <w:bottom w:val="single" w:sz="8" w:space="0" w:color="000000"/>
            </w:tcBorders>
          </w:tcPr>
          <w:p>
            <w:pPr>
              <w:pStyle w:val="TableParagraph"/>
              <w:ind w:left="4" w:right="151"/>
              <w:rPr>
                <w:sz w:val="20"/>
              </w:rPr>
            </w:pPr>
            <w:r>
              <w:rPr>
                <w:spacing w:val="-4"/>
                <w:sz w:val="20"/>
              </w:rPr>
              <w:t>1.77</w:t>
            </w:r>
          </w:p>
        </w:tc>
      </w:tr>
    </w:tbl>
    <w:p>
      <w:pPr>
        <w:pStyle w:val="BodyText"/>
        <w:ind w:right="223"/>
      </w:pPr>
      <w:r>
        <w:rPr/>
        <w:t>Wholesale outlet is base outcome. dy/dx is marginal effect. N=127, LR χ</w:t>
      </w:r>
      <w:r>
        <w:rPr>
          <w:vertAlign w:val="superscript"/>
        </w:rPr>
        <w:t>2</w:t>
      </w:r>
      <w:r>
        <w:rPr>
          <w:spacing w:val="-13"/>
          <w:vertAlign w:val="baseline"/>
        </w:rPr>
        <w:t> </w:t>
      </w:r>
      <w:r>
        <w:rPr>
          <w:vertAlign w:val="baseline"/>
        </w:rPr>
        <w:t>(32) = 92.99***, Pseudo R</w:t>
      </w:r>
      <w:r>
        <w:rPr>
          <w:vertAlign w:val="superscript"/>
        </w:rPr>
        <w:t>2</w:t>
      </w:r>
      <w:r>
        <w:rPr>
          <w:vertAlign w:val="baseline"/>
        </w:rPr>
        <w:t>=0. 336. Log likelihood = -91.76. ***, **and * are statistically significant at 1%, 5% and 10%, respectively.</w:t>
      </w:r>
    </w:p>
    <w:p>
      <w:pPr>
        <w:pStyle w:val="Heading3"/>
        <w:spacing w:line="228" w:lineRule="exact"/>
      </w:pPr>
      <w:r>
        <w:rPr/>
        <w:t>Source:</w:t>
      </w:r>
      <w:r>
        <w:rPr>
          <w:b w:val="0"/>
          <w:spacing w:val="-6"/>
        </w:rPr>
        <w:t> </w:t>
      </w:r>
      <w:r>
        <w:rPr/>
        <w:t>Own</w:t>
      </w:r>
      <w:r>
        <w:rPr>
          <w:b w:val="0"/>
          <w:spacing w:val="-6"/>
        </w:rPr>
        <w:t> </w:t>
      </w:r>
      <w:r>
        <w:rPr/>
        <w:t>computation</w:t>
      </w:r>
      <w:r>
        <w:rPr>
          <w:b w:val="0"/>
          <w:spacing w:val="-6"/>
        </w:rPr>
        <w:t> </w:t>
      </w:r>
      <w:r>
        <w:rPr/>
        <w:t>from</w:t>
      </w:r>
      <w:r>
        <w:rPr>
          <w:b w:val="0"/>
          <w:spacing w:val="-11"/>
        </w:rPr>
        <w:t> </w:t>
      </w:r>
      <w:r>
        <w:rPr/>
        <w:t>survey</w:t>
      </w:r>
      <w:r>
        <w:rPr>
          <w:b w:val="0"/>
          <w:spacing w:val="-5"/>
        </w:rPr>
        <w:t> </w:t>
      </w:r>
      <w:r>
        <w:rPr/>
        <w:t>result,</w:t>
      </w:r>
      <w:r>
        <w:rPr>
          <w:b w:val="0"/>
          <w:spacing w:val="-5"/>
        </w:rPr>
        <w:t> </w:t>
      </w:r>
      <w:r>
        <w:rPr>
          <w:spacing w:val="-4"/>
        </w:rPr>
        <w:t>2015</w:t>
      </w:r>
    </w:p>
    <w:p>
      <w:pPr>
        <w:pStyle w:val="BodyText"/>
        <w:ind w:right="225" w:firstLine="720"/>
      </w:pPr>
      <w:r>
        <w:rPr/>
        <w:t>Table 17 below presents the results of the estimated marginal effects are discussed in terms of the significance and signs on the parameters. The positive estimated coefficients of a variable indicates that the probability</w:t>
      </w:r>
      <w:r>
        <w:rPr>
          <w:spacing w:val="-3"/>
        </w:rPr>
        <w:t> </w:t>
      </w:r>
      <w:r>
        <w:rPr/>
        <w:t>of</w:t>
      </w:r>
      <w:r>
        <w:rPr>
          <w:spacing w:val="-2"/>
        </w:rPr>
        <w:t> </w:t>
      </w:r>
      <w:r>
        <w:rPr/>
        <w:t>the producers</w:t>
      </w:r>
      <w:r>
        <w:rPr>
          <w:spacing w:val="-1"/>
        </w:rPr>
        <w:t> </w:t>
      </w:r>
      <w:r>
        <w:rPr/>
        <w:t>being in</w:t>
      </w:r>
      <w:r>
        <w:rPr>
          <w:spacing w:val="-2"/>
        </w:rPr>
        <w:t> </w:t>
      </w:r>
      <w:r>
        <w:rPr/>
        <w:t>either supplying to collector market</w:t>
      </w:r>
      <w:r>
        <w:rPr>
          <w:spacing w:val="-1"/>
        </w:rPr>
        <w:t> </w:t>
      </w:r>
      <w:r>
        <w:rPr/>
        <w:t>outlet</w:t>
      </w:r>
      <w:r>
        <w:rPr>
          <w:spacing w:val="-1"/>
        </w:rPr>
        <w:t> </w:t>
      </w:r>
      <w:r>
        <w:rPr/>
        <w:t>or exporter market</w:t>
      </w:r>
      <w:r>
        <w:rPr>
          <w:spacing w:val="-1"/>
        </w:rPr>
        <w:t> </w:t>
      </w:r>
      <w:r>
        <w:rPr/>
        <w:t>outlet</w:t>
      </w:r>
      <w:r>
        <w:rPr>
          <w:spacing w:val="-1"/>
        </w:rPr>
        <w:t> </w:t>
      </w:r>
      <w:r>
        <w:rPr/>
        <w:t>relative to</w:t>
      </w:r>
      <w:r>
        <w:rPr>
          <w:spacing w:val="-2"/>
        </w:rPr>
        <w:t> </w:t>
      </w:r>
      <w:r>
        <w:rPr/>
        <w:t>supplying</w:t>
      </w:r>
      <w:r>
        <w:rPr>
          <w:spacing w:val="-4"/>
        </w:rPr>
        <w:t> </w:t>
      </w:r>
      <w:r>
        <w:rPr/>
        <w:t>to wholesaler market</w:t>
      </w:r>
      <w:r>
        <w:rPr>
          <w:spacing w:val="-3"/>
        </w:rPr>
        <w:t> </w:t>
      </w:r>
      <w:r>
        <w:rPr/>
        <w:t>outlet</w:t>
      </w:r>
      <w:r>
        <w:rPr>
          <w:spacing w:val="-1"/>
        </w:rPr>
        <w:t> </w:t>
      </w:r>
      <w:r>
        <w:rPr/>
        <w:t>increases</w:t>
      </w:r>
      <w:r>
        <w:rPr>
          <w:spacing w:val="-4"/>
        </w:rPr>
        <w:t> </w:t>
      </w:r>
      <w:r>
        <w:rPr/>
        <w:t>as</w:t>
      </w:r>
      <w:r>
        <w:rPr>
          <w:spacing w:val="-4"/>
        </w:rPr>
        <w:t> </w:t>
      </w:r>
      <w:r>
        <w:rPr/>
        <w:t>these</w:t>
      </w:r>
      <w:r>
        <w:rPr>
          <w:spacing w:val="-3"/>
        </w:rPr>
        <w:t> </w:t>
      </w:r>
      <w:r>
        <w:rPr/>
        <w:t>explanatory</w:t>
      </w:r>
      <w:r>
        <w:rPr>
          <w:spacing w:val="-4"/>
        </w:rPr>
        <w:t> </w:t>
      </w:r>
      <w:r>
        <w:rPr/>
        <w:t>variables</w:t>
      </w:r>
      <w:r>
        <w:rPr>
          <w:spacing w:val="-4"/>
        </w:rPr>
        <w:t> </w:t>
      </w:r>
      <w:r>
        <w:rPr/>
        <w:t>increase. The</w:t>
      </w:r>
      <w:r>
        <w:rPr>
          <w:spacing w:val="-3"/>
        </w:rPr>
        <w:t> </w:t>
      </w:r>
      <w:r>
        <w:rPr/>
        <w:t>implication</w:t>
      </w:r>
      <w:r>
        <w:rPr>
          <w:spacing w:val="-4"/>
        </w:rPr>
        <w:t> </w:t>
      </w:r>
      <w:r>
        <w:rPr/>
        <w:t>is</w:t>
      </w:r>
      <w:r>
        <w:rPr>
          <w:spacing w:val="-4"/>
        </w:rPr>
        <w:t> </w:t>
      </w:r>
      <w:r>
        <w:rPr/>
        <w:t>that the probability</w:t>
      </w:r>
      <w:r>
        <w:rPr>
          <w:spacing w:val="-3"/>
        </w:rPr>
        <w:t> </w:t>
      </w:r>
      <w:r>
        <w:rPr/>
        <w:t>of</w:t>
      </w:r>
      <w:r>
        <w:rPr>
          <w:spacing w:val="-1"/>
        </w:rPr>
        <w:t> </w:t>
      </w:r>
      <w:r>
        <w:rPr/>
        <w:t>the producers to be on</w:t>
      </w:r>
      <w:r>
        <w:rPr>
          <w:spacing w:val="-1"/>
        </w:rPr>
        <w:t> </w:t>
      </w:r>
      <w:r>
        <w:rPr/>
        <w:t>these outcomes is greater than</w:t>
      </w:r>
      <w:r>
        <w:rPr>
          <w:spacing w:val="-1"/>
        </w:rPr>
        <w:t> </w:t>
      </w:r>
      <w:r>
        <w:rPr/>
        <w:t>the probability</w:t>
      </w:r>
      <w:r>
        <w:rPr>
          <w:spacing w:val="-3"/>
        </w:rPr>
        <w:t> </w:t>
      </w:r>
      <w:r>
        <w:rPr/>
        <w:t>of</w:t>
      </w:r>
      <w:r>
        <w:rPr>
          <w:spacing w:val="-1"/>
        </w:rPr>
        <w:t> </w:t>
      </w:r>
      <w:r>
        <w:rPr/>
        <w:t>being wholesaler outlet (the base category). The negative and significant parameter indicates the probability of using wholesale outlet is higher than the probability of being in the two alternatives. Estimates not significantly different from zero indicate that the explanatory variable concerned does not affect the probability of the producers decision to use wholesaler outlet category</w:t>
      </w:r>
      <w:r>
        <w:rPr>
          <w:spacing w:val="-1"/>
        </w:rPr>
        <w:t> </w:t>
      </w:r>
      <w:r>
        <w:rPr/>
        <w:t>than</w:t>
      </w:r>
      <w:r>
        <w:rPr>
          <w:spacing w:val="-1"/>
        </w:rPr>
        <w:t> </w:t>
      </w:r>
      <w:r>
        <w:rPr/>
        <w:t>in</w:t>
      </w:r>
      <w:r>
        <w:rPr>
          <w:spacing w:val="-1"/>
        </w:rPr>
        <w:t> </w:t>
      </w:r>
      <w:r>
        <w:rPr/>
        <w:t>the other two categories. The result of</w:t>
      </w:r>
      <w:r>
        <w:rPr>
          <w:spacing w:val="-1"/>
        </w:rPr>
        <w:t> </w:t>
      </w:r>
      <w:r>
        <w:rPr/>
        <w:t>the MNL</w:t>
      </w:r>
      <w:r>
        <w:rPr>
          <w:spacing w:val="-8"/>
        </w:rPr>
        <w:t> </w:t>
      </w:r>
      <w:r>
        <w:rPr/>
        <w:t>and marginal effects and their possible explanations are presented below.</w:t>
      </w:r>
    </w:p>
    <w:p>
      <w:pPr>
        <w:pStyle w:val="Heading3"/>
        <w:spacing w:after="7"/>
      </w:pPr>
      <w:r>
        <w:rPr/>
        <w:t>Table</w:t>
      </w:r>
      <w:r>
        <w:rPr>
          <w:b w:val="0"/>
          <w:spacing w:val="-7"/>
        </w:rPr>
        <w:t> </w:t>
      </w:r>
      <w:r>
        <w:rPr/>
        <w:t>17.Marginal</w:t>
      </w:r>
      <w:r>
        <w:rPr>
          <w:b w:val="0"/>
          <w:spacing w:val="-6"/>
        </w:rPr>
        <w:t> </w:t>
      </w:r>
      <w:r>
        <w:rPr/>
        <w:t>effects</w:t>
      </w:r>
      <w:r>
        <w:rPr>
          <w:b w:val="0"/>
          <w:spacing w:val="-6"/>
        </w:rPr>
        <w:t> </w:t>
      </w:r>
      <w:r>
        <w:rPr/>
        <w:t>of</w:t>
      </w:r>
      <w:r>
        <w:rPr>
          <w:b w:val="0"/>
          <w:spacing w:val="-8"/>
        </w:rPr>
        <w:t> </w:t>
      </w:r>
      <w:r>
        <w:rPr/>
        <w:t>Multinomial</w:t>
      </w:r>
      <w:r>
        <w:rPr>
          <w:b w:val="0"/>
          <w:spacing w:val="-6"/>
        </w:rPr>
        <w:t> </w:t>
      </w:r>
      <w:r>
        <w:rPr/>
        <w:t>Logit</w:t>
      </w:r>
      <w:r>
        <w:rPr>
          <w:b w:val="0"/>
          <w:spacing w:val="-5"/>
        </w:rPr>
        <w:t> </w:t>
      </w:r>
      <w:r>
        <w:rPr/>
        <w:t>Model</w:t>
      </w:r>
      <w:r>
        <w:rPr>
          <w:b w:val="0"/>
          <w:spacing w:val="-6"/>
        </w:rPr>
        <w:t> </w:t>
      </w:r>
      <w:r>
        <w:rPr/>
        <w:t>for</w:t>
      </w:r>
      <w:r>
        <w:rPr>
          <w:b w:val="0"/>
          <w:spacing w:val="-6"/>
        </w:rPr>
        <w:t> </w:t>
      </w:r>
      <w:r>
        <w:rPr/>
        <w:t>the</w:t>
      </w:r>
      <w:r>
        <w:rPr>
          <w:b w:val="0"/>
          <w:spacing w:val="-6"/>
        </w:rPr>
        <w:t> </w:t>
      </w:r>
      <w:r>
        <w:rPr/>
        <w:t>choice</w:t>
      </w:r>
      <w:r>
        <w:rPr>
          <w:b w:val="0"/>
          <w:spacing w:val="-6"/>
        </w:rPr>
        <w:t> </w:t>
      </w:r>
      <w:r>
        <w:rPr/>
        <w:t>of</w:t>
      </w:r>
      <w:r>
        <w:rPr>
          <w:b w:val="0"/>
          <w:spacing w:val="-6"/>
        </w:rPr>
        <w:t> </w:t>
      </w:r>
      <w:r>
        <w:rPr/>
        <w:t>marketing</w:t>
      </w:r>
      <w:r>
        <w:rPr>
          <w:b w:val="0"/>
          <w:spacing w:val="-5"/>
        </w:rPr>
        <w:t> </w:t>
      </w:r>
      <w:r>
        <w:rPr>
          <w:spacing w:val="-2"/>
        </w:rPr>
        <w:t>outlets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3"/>
        <w:gridCol w:w="1223"/>
        <w:gridCol w:w="1396"/>
        <w:gridCol w:w="1064"/>
        <w:gridCol w:w="1152"/>
        <w:gridCol w:w="1389"/>
        <w:gridCol w:w="989"/>
      </w:tblGrid>
      <w:tr>
        <w:trPr>
          <w:trHeight w:val="313" w:hRule="atLeast"/>
        </w:trPr>
        <w:tc>
          <w:tcPr>
            <w:tcW w:w="3306" w:type="dxa"/>
            <w:gridSpan w:val="2"/>
            <w:tcBorders>
              <w:top w:val="single" w:sz="8" w:space="0" w:color="000000"/>
            </w:tcBorders>
          </w:tcPr>
          <w:p>
            <w:pPr>
              <w:pStyle w:val="TableParagraph"/>
              <w:spacing w:line="240" w:lineRule="auto"/>
              <w:jc w:val="left"/>
              <w:rPr>
                <w:sz w:val="18"/>
              </w:rPr>
            </w:pPr>
          </w:p>
        </w:tc>
        <w:tc>
          <w:tcPr>
            <w:tcW w:w="1396" w:type="dxa"/>
            <w:tcBorders>
              <w:top w:val="single" w:sz="8" w:space="0" w:color="000000"/>
              <w:bottom w:val="single" w:sz="8" w:space="0" w:color="000000"/>
            </w:tcBorders>
          </w:tcPr>
          <w:p>
            <w:pPr>
              <w:pStyle w:val="TableParagraph"/>
              <w:spacing w:line="240" w:lineRule="auto"/>
              <w:ind w:right="341"/>
              <w:jc w:val="right"/>
              <w:rPr>
                <w:b/>
                <w:sz w:val="20"/>
              </w:rPr>
            </w:pPr>
            <w:r>
              <w:rPr>
                <w:b/>
                <w:spacing w:val="-2"/>
                <w:sz w:val="20"/>
              </w:rPr>
              <w:t>collectors</w:t>
            </w:r>
          </w:p>
        </w:tc>
        <w:tc>
          <w:tcPr>
            <w:tcW w:w="1064" w:type="dxa"/>
            <w:tcBorders>
              <w:top w:val="single" w:sz="8" w:space="0" w:color="000000"/>
              <w:bottom w:val="single" w:sz="8" w:space="0" w:color="000000"/>
            </w:tcBorders>
          </w:tcPr>
          <w:p>
            <w:pPr>
              <w:pStyle w:val="TableParagraph"/>
              <w:spacing w:line="240" w:lineRule="auto"/>
              <w:jc w:val="left"/>
              <w:rPr>
                <w:sz w:val="18"/>
              </w:rPr>
            </w:pPr>
          </w:p>
        </w:tc>
        <w:tc>
          <w:tcPr>
            <w:tcW w:w="1152" w:type="dxa"/>
            <w:tcBorders>
              <w:top w:val="single" w:sz="8" w:space="0" w:color="000000"/>
              <w:bottom w:val="single" w:sz="8" w:space="0" w:color="000000"/>
            </w:tcBorders>
          </w:tcPr>
          <w:p>
            <w:pPr>
              <w:pStyle w:val="TableParagraph"/>
              <w:spacing w:line="240" w:lineRule="auto"/>
              <w:jc w:val="left"/>
              <w:rPr>
                <w:sz w:val="18"/>
              </w:rPr>
            </w:pPr>
          </w:p>
        </w:tc>
        <w:tc>
          <w:tcPr>
            <w:tcW w:w="1389" w:type="dxa"/>
            <w:tcBorders>
              <w:top w:val="single" w:sz="8" w:space="0" w:color="000000"/>
              <w:bottom w:val="single" w:sz="8" w:space="0" w:color="000000"/>
            </w:tcBorders>
          </w:tcPr>
          <w:p>
            <w:pPr>
              <w:pStyle w:val="TableParagraph"/>
              <w:spacing w:line="240" w:lineRule="auto"/>
              <w:ind w:right="95"/>
              <w:rPr>
                <w:b/>
                <w:sz w:val="20"/>
              </w:rPr>
            </w:pPr>
            <w:r>
              <w:rPr>
                <w:b/>
                <w:spacing w:val="-2"/>
                <w:sz w:val="20"/>
              </w:rPr>
              <w:t>cooperatives</w:t>
            </w:r>
          </w:p>
        </w:tc>
        <w:tc>
          <w:tcPr>
            <w:tcW w:w="989" w:type="dxa"/>
            <w:tcBorders>
              <w:top w:val="single" w:sz="8" w:space="0" w:color="000000"/>
              <w:bottom w:val="single" w:sz="8" w:space="0" w:color="000000"/>
            </w:tcBorders>
          </w:tcPr>
          <w:p>
            <w:pPr>
              <w:pStyle w:val="TableParagraph"/>
              <w:spacing w:line="240" w:lineRule="auto"/>
              <w:jc w:val="left"/>
              <w:rPr>
                <w:sz w:val="18"/>
              </w:rPr>
            </w:pPr>
          </w:p>
        </w:tc>
      </w:tr>
      <w:tr>
        <w:trPr>
          <w:trHeight w:val="232" w:hRule="atLeast"/>
        </w:trPr>
        <w:tc>
          <w:tcPr>
            <w:tcW w:w="2083" w:type="dxa"/>
          </w:tcPr>
          <w:p>
            <w:pPr>
              <w:pStyle w:val="TableParagraph"/>
              <w:spacing w:line="124" w:lineRule="exact"/>
              <w:ind w:left="122"/>
              <w:jc w:val="left"/>
              <w:rPr>
                <w:b/>
                <w:sz w:val="20"/>
              </w:rPr>
            </w:pPr>
            <w:r>
              <w:rPr>
                <w:b/>
                <w:spacing w:val="-2"/>
                <w:sz w:val="20"/>
              </w:rPr>
              <w:t>Variables</w:t>
            </w:r>
          </w:p>
        </w:tc>
        <w:tc>
          <w:tcPr>
            <w:tcW w:w="1223" w:type="dxa"/>
            <w:tcBorders>
              <w:top w:val="single" w:sz="8" w:space="0" w:color="000000"/>
            </w:tcBorders>
          </w:tcPr>
          <w:p>
            <w:pPr>
              <w:pStyle w:val="TableParagraph"/>
              <w:spacing w:line="212" w:lineRule="exact"/>
              <w:ind w:right="5"/>
              <w:rPr>
                <w:b/>
                <w:sz w:val="20"/>
              </w:rPr>
            </w:pPr>
            <w:r>
              <w:rPr>
                <w:b/>
                <w:spacing w:val="-2"/>
                <w:sz w:val="20"/>
              </w:rPr>
              <w:t>dy/dx</w:t>
            </w:r>
          </w:p>
        </w:tc>
        <w:tc>
          <w:tcPr>
            <w:tcW w:w="1396" w:type="dxa"/>
            <w:tcBorders>
              <w:top w:val="single" w:sz="8" w:space="0" w:color="000000"/>
            </w:tcBorders>
          </w:tcPr>
          <w:p>
            <w:pPr>
              <w:pStyle w:val="TableParagraph"/>
              <w:spacing w:line="212" w:lineRule="exact"/>
              <w:ind w:left="385"/>
              <w:jc w:val="left"/>
              <w:rPr>
                <w:b/>
                <w:sz w:val="20"/>
              </w:rPr>
            </w:pPr>
            <w:r>
              <w:rPr>
                <w:b/>
                <w:spacing w:val="-2"/>
                <w:sz w:val="20"/>
              </w:rPr>
              <w:t>Robust</w:t>
            </w:r>
          </w:p>
        </w:tc>
        <w:tc>
          <w:tcPr>
            <w:tcW w:w="1064" w:type="dxa"/>
            <w:tcBorders>
              <w:top w:val="single" w:sz="8" w:space="0" w:color="000000"/>
            </w:tcBorders>
          </w:tcPr>
          <w:p>
            <w:pPr>
              <w:pStyle w:val="TableParagraph"/>
              <w:spacing w:line="212" w:lineRule="exact"/>
              <w:ind w:left="64" w:right="4"/>
              <w:rPr>
                <w:b/>
                <w:sz w:val="20"/>
              </w:rPr>
            </w:pPr>
            <w:r>
              <w:rPr>
                <w:b/>
                <w:spacing w:val="-10"/>
                <w:sz w:val="20"/>
              </w:rPr>
              <w:t>z</w:t>
            </w:r>
          </w:p>
        </w:tc>
        <w:tc>
          <w:tcPr>
            <w:tcW w:w="1152" w:type="dxa"/>
            <w:tcBorders>
              <w:top w:val="single" w:sz="8" w:space="0" w:color="000000"/>
            </w:tcBorders>
          </w:tcPr>
          <w:p>
            <w:pPr>
              <w:pStyle w:val="TableParagraph"/>
              <w:spacing w:line="212" w:lineRule="exact"/>
              <w:ind w:left="195" w:right="5"/>
              <w:rPr>
                <w:b/>
                <w:sz w:val="20"/>
              </w:rPr>
            </w:pPr>
            <w:r>
              <w:rPr>
                <w:b/>
                <w:spacing w:val="-2"/>
                <w:sz w:val="20"/>
              </w:rPr>
              <w:t>dy/dx</w:t>
            </w:r>
          </w:p>
        </w:tc>
        <w:tc>
          <w:tcPr>
            <w:tcW w:w="1389" w:type="dxa"/>
            <w:tcBorders>
              <w:top w:val="single" w:sz="8" w:space="0" w:color="000000"/>
            </w:tcBorders>
          </w:tcPr>
          <w:p>
            <w:pPr>
              <w:pStyle w:val="TableParagraph"/>
              <w:spacing w:line="212" w:lineRule="exact"/>
              <w:ind w:left="78" w:right="95"/>
              <w:rPr>
                <w:b/>
                <w:sz w:val="20"/>
              </w:rPr>
            </w:pPr>
            <w:r>
              <w:rPr>
                <w:b/>
                <w:spacing w:val="-2"/>
                <w:sz w:val="20"/>
              </w:rPr>
              <w:t>Robust</w:t>
            </w:r>
          </w:p>
        </w:tc>
        <w:tc>
          <w:tcPr>
            <w:tcW w:w="989" w:type="dxa"/>
            <w:tcBorders>
              <w:top w:val="single" w:sz="8" w:space="0" w:color="000000"/>
            </w:tcBorders>
          </w:tcPr>
          <w:p>
            <w:pPr>
              <w:pStyle w:val="TableParagraph"/>
              <w:spacing w:line="212" w:lineRule="exact"/>
              <w:ind w:left="20" w:right="151"/>
              <w:rPr>
                <w:b/>
                <w:sz w:val="20"/>
              </w:rPr>
            </w:pPr>
            <w:r>
              <w:rPr>
                <w:b/>
                <w:spacing w:val="-10"/>
                <w:sz w:val="20"/>
              </w:rPr>
              <w:t>z</w:t>
            </w:r>
          </w:p>
        </w:tc>
      </w:tr>
      <w:tr>
        <w:trPr>
          <w:trHeight w:val="227" w:hRule="atLeast"/>
        </w:trPr>
        <w:tc>
          <w:tcPr>
            <w:tcW w:w="2083" w:type="dxa"/>
            <w:tcBorders>
              <w:bottom w:val="single" w:sz="4" w:space="0" w:color="000000"/>
            </w:tcBorders>
          </w:tcPr>
          <w:p>
            <w:pPr>
              <w:pStyle w:val="TableParagraph"/>
              <w:spacing w:line="240" w:lineRule="auto"/>
              <w:jc w:val="left"/>
              <w:rPr>
                <w:sz w:val="16"/>
              </w:rPr>
            </w:pPr>
          </w:p>
        </w:tc>
        <w:tc>
          <w:tcPr>
            <w:tcW w:w="1223" w:type="dxa"/>
            <w:tcBorders>
              <w:bottom w:val="single" w:sz="4" w:space="0" w:color="000000"/>
            </w:tcBorders>
          </w:tcPr>
          <w:p>
            <w:pPr>
              <w:pStyle w:val="TableParagraph"/>
              <w:spacing w:line="240" w:lineRule="auto"/>
              <w:jc w:val="left"/>
              <w:rPr>
                <w:sz w:val="16"/>
              </w:rPr>
            </w:pPr>
          </w:p>
        </w:tc>
        <w:tc>
          <w:tcPr>
            <w:tcW w:w="1396" w:type="dxa"/>
            <w:tcBorders>
              <w:bottom w:val="single" w:sz="4" w:space="0" w:color="000000"/>
            </w:tcBorders>
          </w:tcPr>
          <w:p>
            <w:pPr>
              <w:pStyle w:val="TableParagraph"/>
              <w:spacing w:line="208" w:lineRule="exact"/>
              <w:ind w:right="382"/>
              <w:jc w:val="right"/>
              <w:rPr>
                <w:b/>
                <w:sz w:val="20"/>
              </w:rPr>
            </w:pPr>
            <w:r>
              <w:rPr>
                <w:b/>
                <w:spacing w:val="-2"/>
                <w:sz w:val="20"/>
              </w:rPr>
              <w:t>Std.Err</w:t>
            </w:r>
          </w:p>
        </w:tc>
        <w:tc>
          <w:tcPr>
            <w:tcW w:w="1064" w:type="dxa"/>
            <w:tcBorders>
              <w:bottom w:val="single" w:sz="4" w:space="0" w:color="000000"/>
            </w:tcBorders>
          </w:tcPr>
          <w:p>
            <w:pPr>
              <w:pStyle w:val="TableParagraph"/>
              <w:spacing w:line="240" w:lineRule="auto"/>
              <w:jc w:val="left"/>
              <w:rPr>
                <w:sz w:val="16"/>
              </w:rPr>
            </w:pPr>
          </w:p>
        </w:tc>
        <w:tc>
          <w:tcPr>
            <w:tcW w:w="1152" w:type="dxa"/>
            <w:tcBorders>
              <w:bottom w:val="single" w:sz="4" w:space="0" w:color="000000"/>
            </w:tcBorders>
          </w:tcPr>
          <w:p>
            <w:pPr>
              <w:pStyle w:val="TableParagraph"/>
              <w:spacing w:line="240" w:lineRule="auto"/>
              <w:jc w:val="left"/>
              <w:rPr>
                <w:sz w:val="16"/>
              </w:rPr>
            </w:pPr>
          </w:p>
        </w:tc>
        <w:tc>
          <w:tcPr>
            <w:tcW w:w="1389" w:type="dxa"/>
            <w:tcBorders>
              <w:bottom w:val="single" w:sz="4" w:space="0" w:color="000000"/>
            </w:tcBorders>
          </w:tcPr>
          <w:p>
            <w:pPr>
              <w:pStyle w:val="TableParagraph"/>
              <w:spacing w:line="208" w:lineRule="exact"/>
              <w:ind w:left="78" w:right="95"/>
              <w:rPr>
                <w:b/>
                <w:sz w:val="20"/>
              </w:rPr>
            </w:pPr>
            <w:r>
              <w:rPr>
                <w:b/>
                <w:spacing w:val="-2"/>
                <w:sz w:val="20"/>
              </w:rPr>
              <w:t>Std.Err</w:t>
            </w:r>
          </w:p>
        </w:tc>
        <w:tc>
          <w:tcPr>
            <w:tcW w:w="989" w:type="dxa"/>
            <w:tcBorders>
              <w:bottom w:val="single" w:sz="4" w:space="0" w:color="000000"/>
            </w:tcBorders>
          </w:tcPr>
          <w:p>
            <w:pPr>
              <w:pStyle w:val="TableParagraph"/>
              <w:spacing w:line="240" w:lineRule="auto"/>
              <w:jc w:val="left"/>
              <w:rPr>
                <w:sz w:val="16"/>
              </w:rPr>
            </w:pPr>
          </w:p>
        </w:tc>
      </w:tr>
      <w:tr>
        <w:trPr>
          <w:trHeight w:val="230" w:hRule="atLeast"/>
        </w:trPr>
        <w:tc>
          <w:tcPr>
            <w:tcW w:w="2083" w:type="dxa"/>
            <w:tcBorders>
              <w:top w:val="single" w:sz="4" w:space="0" w:color="000000"/>
            </w:tcBorders>
          </w:tcPr>
          <w:p>
            <w:pPr>
              <w:pStyle w:val="TableParagraph"/>
              <w:ind w:left="122"/>
              <w:jc w:val="left"/>
              <w:rPr>
                <w:b/>
                <w:sz w:val="20"/>
              </w:rPr>
            </w:pPr>
            <w:r>
              <w:rPr>
                <w:b/>
                <w:spacing w:val="-5"/>
                <w:sz w:val="20"/>
              </w:rPr>
              <w:t>SEX</w:t>
            </w:r>
          </w:p>
        </w:tc>
        <w:tc>
          <w:tcPr>
            <w:tcW w:w="1223" w:type="dxa"/>
            <w:tcBorders>
              <w:top w:val="single" w:sz="4" w:space="0" w:color="000000"/>
            </w:tcBorders>
          </w:tcPr>
          <w:p>
            <w:pPr>
              <w:pStyle w:val="TableParagraph"/>
              <w:ind w:right="5"/>
              <w:rPr>
                <w:sz w:val="20"/>
              </w:rPr>
            </w:pPr>
            <w:r>
              <w:rPr>
                <w:spacing w:val="-2"/>
                <w:sz w:val="20"/>
              </w:rPr>
              <w:t>0.590</w:t>
            </w:r>
          </w:p>
        </w:tc>
        <w:tc>
          <w:tcPr>
            <w:tcW w:w="1396" w:type="dxa"/>
            <w:tcBorders>
              <w:top w:val="single" w:sz="4" w:space="0" w:color="000000"/>
            </w:tcBorders>
          </w:tcPr>
          <w:p>
            <w:pPr>
              <w:pStyle w:val="TableParagraph"/>
              <w:ind w:left="464"/>
              <w:jc w:val="left"/>
              <w:rPr>
                <w:sz w:val="20"/>
              </w:rPr>
            </w:pPr>
            <w:r>
              <w:rPr>
                <w:spacing w:val="-2"/>
                <w:sz w:val="20"/>
              </w:rPr>
              <w:t>0.835</w:t>
            </w:r>
          </w:p>
        </w:tc>
        <w:tc>
          <w:tcPr>
            <w:tcW w:w="1064" w:type="dxa"/>
            <w:tcBorders>
              <w:top w:val="single" w:sz="4" w:space="0" w:color="000000"/>
            </w:tcBorders>
          </w:tcPr>
          <w:p>
            <w:pPr>
              <w:pStyle w:val="TableParagraph"/>
              <w:ind w:left="64" w:right="3"/>
              <w:rPr>
                <w:sz w:val="20"/>
              </w:rPr>
            </w:pPr>
            <w:r>
              <w:rPr>
                <w:spacing w:val="-4"/>
                <w:sz w:val="20"/>
              </w:rPr>
              <w:t>-0.37</w:t>
            </w:r>
          </w:p>
        </w:tc>
        <w:tc>
          <w:tcPr>
            <w:tcW w:w="1152" w:type="dxa"/>
            <w:tcBorders>
              <w:top w:val="single" w:sz="4" w:space="0" w:color="000000"/>
            </w:tcBorders>
          </w:tcPr>
          <w:p>
            <w:pPr>
              <w:pStyle w:val="TableParagraph"/>
              <w:ind w:left="195"/>
              <w:rPr>
                <w:sz w:val="20"/>
              </w:rPr>
            </w:pPr>
            <w:r>
              <w:rPr>
                <w:spacing w:val="-2"/>
                <w:sz w:val="20"/>
              </w:rPr>
              <w:t>0.820</w:t>
            </w:r>
          </w:p>
        </w:tc>
        <w:tc>
          <w:tcPr>
            <w:tcW w:w="1389" w:type="dxa"/>
            <w:tcBorders>
              <w:top w:val="single" w:sz="4" w:space="0" w:color="000000"/>
            </w:tcBorders>
          </w:tcPr>
          <w:p>
            <w:pPr>
              <w:pStyle w:val="TableParagraph"/>
              <w:ind w:left="80" w:right="95"/>
              <w:rPr>
                <w:sz w:val="20"/>
              </w:rPr>
            </w:pPr>
            <w:r>
              <w:rPr>
                <w:spacing w:val="-2"/>
                <w:sz w:val="20"/>
              </w:rPr>
              <w:t>1.274</w:t>
            </w:r>
          </w:p>
        </w:tc>
        <w:tc>
          <w:tcPr>
            <w:tcW w:w="989" w:type="dxa"/>
            <w:tcBorders>
              <w:top w:val="single" w:sz="4" w:space="0" w:color="000000"/>
            </w:tcBorders>
          </w:tcPr>
          <w:p>
            <w:pPr>
              <w:pStyle w:val="TableParagraph"/>
              <w:ind w:left="16" w:right="151"/>
              <w:rPr>
                <w:sz w:val="20"/>
              </w:rPr>
            </w:pPr>
            <w:r>
              <w:rPr>
                <w:spacing w:val="-4"/>
                <w:sz w:val="20"/>
              </w:rPr>
              <w:t>-0.13</w:t>
            </w:r>
          </w:p>
        </w:tc>
      </w:tr>
      <w:tr>
        <w:trPr>
          <w:trHeight w:val="230" w:hRule="atLeast"/>
        </w:trPr>
        <w:tc>
          <w:tcPr>
            <w:tcW w:w="2083" w:type="dxa"/>
          </w:tcPr>
          <w:p>
            <w:pPr>
              <w:pStyle w:val="TableParagraph"/>
              <w:ind w:left="122"/>
              <w:jc w:val="left"/>
              <w:rPr>
                <w:b/>
                <w:sz w:val="20"/>
              </w:rPr>
            </w:pPr>
            <w:r>
              <w:rPr>
                <w:b/>
                <w:spacing w:val="-5"/>
                <w:sz w:val="20"/>
              </w:rPr>
              <w:t>AGE</w:t>
            </w:r>
          </w:p>
        </w:tc>
        <w:tc>
          <w:tcPr>
            <w:tcW w:w="1223" w:type="dxa"/>
          </w:tcPr>
          <w:p>
            <w:pPr>
              <w:pStyle w:val="TableParagraph"/>
              <w:ind w:right="5"/>
              <w:rPr>
                <w:sz w:val="20"/>
              </w:rPr>
            </w:pPr>
            <w:r>
              <w:rPr>
                <w:spacing w:val="-2"/>
                <w:sz w:val="20"/>
              </w:rPr>
              <w:t>0.485</w:t>
            </w:r>
          </w:p>
        </w:tc>
        <w:tc>
          <w:tcPr>
            <w:tcW w:w="1396" w:type="dxa"/>
          </w:tcPr>
          <w:p>
            <w:pPr>
              <w:pStyle w:val="TableParagraph"/>
              <w:ind w:left="464"/>
              <w:jc w:val="left"/>
              <w:rPr>
                <w:sz w:val="20"/>
              </w:rPr>
            </w:pPr>
            <w:r>
              <w:rPr>
                <w:spacing w:val="-2"/>
                <w:sz w:val="20"/>
              </w:rPr>
              <w:t>0.241</w:t>
            </w:r>
          </w:p>
        </w:tc>
        <w:tc>
          <w:tcPr>
            <w:tcW w:w="1064" w:type="dxa"/>
          </w:tcPr>
          <w:p>
            <w:pPr>
              <w:pStyle w:val="TableParagraph"/>
              <w:ind w:left="64" w:right="3"/>
              <w:rPr>
                <w:sz w:val="20"/>
              </w:rPr>
            </w:pPr>
            <w:r>
              <w:rPr>
                <w:spacing w:val="-4"/>
                <w:sz w:val="20"/>
              </w:rPr>
              <w:t>-1.46</w:t>
            </w:r>
          </w:p>
        </w:tc>
        <w:tc>
          <w:tcPr>
            <w:tcW w:w="1152" w:type="dxa"/>
          </w:tcPr>
          <w:p>
            <w:pPr>
              <w:pStyle w:val="TableParagraph"/>
              <w:ind w:left="195"/>
              <w:rPr>
                <w:sz w:val="20"/>
              </w:rPr>
            </w:pPr>
            <w:r>
              <w:rPr>
                <w:spacing w:val="-2"/>
                <w:sz w:val="20"/>
              </w:rPr>
              <w:t>1.224</w:t>
            </w:r>
          </w:p>
        </w:tc>
        <w:tc>
          <w:tcPr>
            <w:tcW w:w="1389" w:type="dxa"/>
          </w:tcPr>
          <w:p>
            <w:pPr>
              <w:pStyle w:val="TableParagraph"/>
              <w:ind w:left="80" w:right="95"/>
              <w:rPr>
                <w:sz w:val="20"/>
              </w:rPr>
            </w:pPr>
            <w:r>
              <w:rPr>
                <w:spacing w:val="-2"/>
                <w:sz w:val="20"/>
              </w:rPr>
              <w:t>0.509</w:t>
            </w:r>
          </w:p>
        </w:tc>
        <w:tc>
          <w:tcPr>
            <w:tcW w:w="989" w:type="dxa"/>
          </w:tcPr>
          <w:p>
            <w:pPr>
              <w:pStyle w:val="TableParagraph"/>
              <w:ind w:left="19" w:right="151"/>
              <w:rPr>
                <w:sz w:val="20"/>
              </w:rPr>
            </w:pPr>
            <w:r>
              <w:rPr>
                <w:spacing w:val="-4"/>
                <w:sz w:val="20"/>
              </w:rPr>
              <w:t>0.49</w:t>
            </w:r>
          </w:p>
        </w:tc>
      </w:tr>
      <w:tr>
        <w:trPr>
          <w:trHeight w:val="230" w:hRule="atLeast"/>
        </w:trPr>
        <w:tc>
          <w:tcPr>
            <w:tcW w:w="2083" w:type="dxa"/>
          </w:tcPr>
          <w:p>
            <w:pPr>
              <w:pStyle w:val="TableParagraph"/>
              <w:ind w:left="122"/>
              <w:jc w:val="left"/>
              <w:rPr>
                <w:b/>
                <w:sz w:val="20"/>
              </w:rPr>
            </w:pPr>
            <w:r>
              <w:rPr>
                <w:b/>
                <w:spacing w:val="-2"/>
                <w:sz w:val="20"/>
              </w:rPr>
              <w:t>HEduc</w:t>
            </w:r>
          </w:p>
        </w:tc>
        <w:tc>
          <w:tcPr>
            <w:tcW w:w="1223" w:type="dxa"/>
          </w:tcPr>
          <w:p>
            <w:pPr>
              <w:pStyle w:val="TableParagraph"/>
              <w:ind w:right="5"/>
              <w:rPr>
                <w:sz w:val="20"/>
              </w:rPr>
            </w:pPr>
            <w:r>
              <w:rPr>
                <w:spacing w:val="-2"/>
                <w:sz w:val="20"/>
              </w:rPr>
              <w:t>0.426</w:t>
            </w:r>
          </w:p>
        </w:tc>
        <w:tc>
          <w:tcPr>
            <w:tcW w:w="1396" w:type="dxa"/>
          </w:tcPr>
          <w:p>
            <w:pPr>
              <w:pStyle w:val="TableParagraph"/>
              <w:ind w:left="464"/>
              <w:jc w:val="left"/>
              <w:rPr>
                <w:sz w:val="20"/>
              </w:rPr>
            </w:pPr>
            <w:r>
              <w:rPr>
                <w:spacing w:val="-2"/>
                <w:sz w:val="20"/>
              </w:rPr>
              <w:t>0.357</w:t>
            </w:r>
          </w:p>
        </w:tc>
        <w:tc>
          <w:tcPr>
            <w:tcW w:w="1064" w:type="dxa"/>
          </w:tcPr>
          <w:p>
            <w:pPr>
              <w:pStyle w:val="TableParagraph"/>
              <w:ind w:left="64" w:right="3"/>
              <w:rPr>
                <w:sz w:val="20"/>
              </w:rPr>
            </w:pPr>
            <w:r>
              <w:rPr>
                <w:spacing w:val="-4"/>
                <w:sz w:val="20"/>
              </w:rPr>
              <w:t>-1.02</w:t>
            </w:r>
          </w:p>
        </w:tc>
        <w:tc>
          <w:tcPr>
            <w:tcW w:w="1152" w:type="dxa"/>
          </w:tcPr>
          <w:p>
            <w:pPr>
              <w:pStyle w:val="TableParagraph"/>
              <w:ind w:left="195"/>
              <w:rPr>
                <w:sz w:val="20"/>
              </w:rPr>
            </w:pPr>
            <w:r>
              <w:rPr>
                <w:spacing w:val="-2"/>
                <w:sz w:val="20"/>
              </w:rPr>
              <w:t>0.847</w:t>
            </w:r>
          </w:p>
        </w:tc>
        <w:tc>
          <w:tcPr>
            <w:tcW w:w="1389" w:type="dxa"/>
          </w:tcPr>
          <w:p>
            <w:pPr>
              <w:pStyle w:val="TableParagraph"/>
              <w:ind w:left="80" w:right="95"/>
              <w:rPr>
                <w:sz w:val="20"/>
              </w:rPr>
            </w:pPr>
            <w:r>
              <w:rPr>
                <w:spacing w:val="-2"/>
                <w:sz w:val="20"/>
              </w:rPr>
              <w:t>0.641</w:t>
            </w:r>
          </w:p>
        </w:tc>
        <w:tc>
          <w:tcPr>
            <w:tcW w:w="989" w:type="dxa"/>
          </w:tcPr>
          <w:p>
            <w:pPr>
              <w:pStyle w:val="TableParagraph"/>
              <w:ind w:left="16" w:right="151"/>
              <w:rPr>
                <w:sz w:val="20"/>
              </w:rPr>
            </w:pPr>
            <w:r>
              <w:rPr>
                <w:spacing w:val="-4"/>
                <w:sz w:val="20"/>
              </w:rPr>
              <w:t>-0.22</w:t>
            </w:r>
          </w:p>
        </w:tc>
      </w:tr>
      <w:tr>
        <w:trPr>
          <w:trHeight w:val="229" w:hRule="atLeast"/>
        </w:trPr>
        <w:tc>
          <w:tcPr>
            <w:tcW w:w="2083" w:type="dxa"/>
          </w:tcPr>
          <w:p>
            <w:pPr>
              <w:pStyle w:val="TableParagraph"/>
              <w:spacing w:line="209" w:lineRule="exact"/>
              <w:ind w:left="122"/>
              <w:jc w:val="left"/>
              <w:rPr>
                <w:b/>
                <w:sz w:val="20"/>
              </w:rPr>
            </w:pPr>
            <w:r>
              <w:rPr>
                <w:b/>
                <w:spacing w:val="-2"/>
                <w:sz w:val="20"/>
              </w:rPr>
              <w:t>MFamily</w:t>
            </w:r>
          </w:p>
        </w:tc>
        <w:tc>
          <w:tcPr>
            <w:tcW w:w="1223" w:type="dxa"/>
          </w:tcPr>
          <w:p>
            <w:pPr>
              <w:pStyle w:val="TableParagraph"/>
              <w:spacing w:line="209" w:lineRule="exact"/>
              <w:ind w:left="3" w:right="5"/>
              <w:rPr>
                <w:sz w:val="20"/>
              </w:rPr>
            </w:pPr>
            <w:r>
              <w:rPr>
                <w:spacing w:val="-2"/>
                <w:sz w:val="20"/>
              </w:rPr>
              <w:t>0.165**</w:t>
            </w:r>
          </w:p>
        </w:tc>
        <w:tc>
          <w:tcPr>
            <w:tcW w:w="1396" w:type="dxa"/>
          </w:tcPr>
          <w:p>
            <w:pPr>
              <w:pStyle w:val="TableParagraph"/>
              <w:spacing w:line="209" w:lineRule="exact"/>
              <w:ind w:left="464"/>
              <w:jc w:val="left"/>
              <w:rPr>
                <w:sz w:val="20"/>
              </w:rPr>
            </w:pPr>
            <w:r>
              <w:rPr>
                <w:spacing w:val="-2"/>
                <w:sz w:val="20"/>
              </w:rPr>
              <w:t>0.350</w:t>
            </w:r>
          </w:p>
        </w:tc>
        <w:tc>
          <w:tcPr>
            <w:tcW w:w="1064" w:type="dxa"/>
          </w:tcPr>
          <w:p>
            <w:pPr>
              <w:pStyle w:val="TableParagraph"/>
              <w:spacing w:line="209" w:lineRule="exact"/>
              <w:ind w:left="64"/>
              <w:rPr>
                <w:sz w:val="20"/>
              </w:rPr>
            </w:pPr>
            <w:r>
              <w:rPr>
                <w:spacing w:val="-4"/>
                <w:sz w:val="20"/>
              </w:rPr>
              <w:t>2.38</w:t>
            </w:r>
          </w:p>
        </w:tc>
        <w:tc>
          <w:tcPr>
            <w:tcW w:w="1152" w:type="dxa"/>
          </w:tcPr>
          <w:p>
            <w:pPr>
              <w:pStyle w:val="TableParagraph"/>
              <w:spacing w:line="209" w:lineRule="exact"/>
              <w:ind w:left="195"/>
              <w:rPr>
                <w:sz w:val="20"/>
              </w:rPr>
            </w:pPr>
            <w:r>
              <w:rPr>
                <w:spacing w:val="-2"/>
                <w:sz w:val="20"/>
              </w:rPr>
              <w:t>1.128</w:t>
            </w:r>
          </w:p>
        </w:tc>
        <w:tc>
          <w:tcPr>
            <w:tcW w:w="1389" w:type="dxa"/>
          </w:tcPr>
          <w:p>
            <w:pPr>
              <w:pStyle w:val="TableParagraph"/>
              <w:spacing w:line="209" w:lineRule="exact"/>
              <w:ind w:left="80" w:right="95"/>
              <w:rPr>
                <w:sz w:val="20"/>
              </w:rPr>
            </w:pPr>
            <w:r>
              <w:rPr>
                <w:spacing w:val="-2"/>
                <w:sz w:val="20"/>
              </w:rPr>
              <w:t>0.195</w:t>
            </w:r>
          </w:p>
        </w:tc>
        <w:tc>
          <w:tcPr>
            <w:tcW w:w="989" w:type="dxa"/>
          </w:tcPr>
          <w:p>
            <w:pPr>
              <w:pStyle w:val="TableParagraph"/>
              <w:spacing w:line="209" w:lineRule="exact"/>
              <w:ind w:left="19" w:right="151"/>
              <w:rPr>
                <w:sz w:val="20"/>
              </w:rPr>
            </w:pPr>
            <w:r>
              <w:rPr>
                <w:spacing w:val="-4"/>
                <w:sz w:val="20"/>
              </w:rPr>
              <w:t>0.70</w:t>
            </w:r>
          </w:p>
        </w:tc>
      </w:tr>
      <w:tr>
        <w:trPr>
          <w:trHeight w:val="229" w:hRule="atLeast"/>
        </w:trPr>
        <w:tc>
          <w:tcPr>
            <w:tcW w:w="2083" w:type="dxa"/>
          </w:tcPr>
          <w:p>
            <w:pPr>
              <w:pStyle w:val="TableParagraph"/>
              <w:spacing w:line="209" w:lineRule="exact"/>
              <w:ind w:left="122"/>
              <w:jc w:val="left"/>
              <w:rPr>
                <w:b/>
                <w:sz w:val="20"/>
              </w:rPr>
            </w:pPr>
            <w:r>
              <w:rPr>
                <w:b/>
                <w:spacing w:val="-4"/>
                <w:sz w:val="20"/>
              </w:rPr>
              <w:t>Land</w:t>
            </w:r>
          </w:p>
        </w:tc>
        <w:tc>
          <w:tcPr>
            <w:tcW w:w="1223" w:type="dxa"/>
          </w:tcPr>
          <w:p>
            <w:pPr>
              <w:pStyle w:val="TableParagraph"/>
              <w:spacing w:line="209" w:lineRule="exact"/>
              <w:ind w:right="5"/>
              <w:rPr>
                <w:sz w:val="20"/>
              </w:rPr>
            </w:pPr>
            <w:r>
              <w:rPr>
                <w:spacing w:val="-2"/>
                <w:sz w:val="20"/>
              </w:rPr>
              <w:t>0.034***</w:t>
            </w:r>
          </w:p>
        </w:tc>
        <w:tc>
          <w:tcPr>
            <w:tcW w:w="1396" w:type="dxa"/>
          </w:tcPr>
          <w:p>
            <w:pPr>
              <w:pStyle w:val="TableParagraph"/>
              <w:spacing w:line="209" w:lineRule="exact"/>
              <w:ind w:left="464"/>
              <w:jc w:val="left"/>
              <w:rPr>
                <w:sz w:val="20"/>
              </w:rPr>
            </w:pPr>
            <w:r>
              <w:rPr>
                <w:spacing w:val="-2"/>
                <w:sz w:val="20"/>
              </w:rPr>
              <w:t>0.044</w:t>
            </w:r>
          </w:p>
        </w:tc>
        <w:tc>
          <w:tcPr>
            <w:tcW w:w="1064" w:type="dxa"/>
          </w:tcPr>
          <w:p>
            <w:pPr>
              <w:pStyle w:val="TableParagraph"/>
              <w:spacing w:line="209" w:lineRule="exact"/>
              <w:ind w:left="64" w:right="3"/>
              <w:rPr>
                <w:sz w:val="20"/>
              </w:rPr>
            </w:pPr>
            <w:r>
              <w:rPr>
                <w:spacing w:val="-4"/>
                <w:sz w:val="20"/>
              </w:rPr>
              <w:t>-2.65</w:t>
            </w:r>
          </w:p>
        </w:tc>
        <w:tc>
          <w:tcPr>
            <w:tcW w:w="1152" w:type="dxa"/>
          </w:tcPr>
          <w:p>
            <w:pPr>
              <w:pStyle w:val="TableParagraph"/>
              <w:spacing w:line="209" w:lineRule="exact"/>
              <w:ind w:left="195" w:right="5"/>
              <w:rPr>
                <w:sz w:val="20"/>
              </w:rPr>
            </w:pPr>
            <w:r>
              <w:rPr>
                <w:spacing w:val="-2"/>
                <w:sz w:val="20"/>
              </w:rPr>
              <w:t>0.066***</w:t>
            </w:r>
          </w:p>
        </w:tc>
        <w:tc>
          <w:tcPr>
            <w:tcW w:w="1389" w:type="dxa"/>
          </w:tcPr>
          <w:p>
            <w:pPr>
              <w:pStyle w:val="TableParagraph"/>
              <w:spacing w:line="209" w:lineRule="exact"/>
              <w:ind w:left="80" w:right="95"/>
              <w:rPr>
                <w:sz w:val="20"/>
              </w:rPr>
            </w:pPr>
            <w:r>
              <w:rPr>
                <w:spacing w:val="-2"/>
                <w:sz w:val="20"/>
              </w:rPr>
              <w:t>0.068</w:t>
            </w:r>
          </w:p>
        </w:tc>
        <w:tc>
          <w:tcPr>
            <w:tcW w:w="989" w:type="dxa"/>
          </w:tcPr>
          <w:p>
            <w:pPr>
              <w:pStyle w:val="TableParagraph"/>
              <w:spacing w:line="209" w:lineRule="exact"/>
              <w:ind w:left="16" w:right="151"/>
              <w:rPr>
                <w:sz w:val="20"/>
              </w:rPr>
            </w:pPr>
            <w:r>
              <w:rPr>
                <w:spacing w:val="-4"/>
                <w:sz w:val="20"/>
              </w:rPr>
              <w:t>-2.61</w:t>
            </w:r>
          </w:p>
        </w:tc>
      </w:tr>
      <w:tr>
        <w:trPr>
          <w:trHeight w:val="230" w:hRule="atLeast"/>
        </w:trPr>
        <w:tc>
          <w:tcPr>
            <w:tcW w:w="2083" w:type="dxa"/>
          </w:tcPr>
          <w:p>
            <w:pPr>
              <w:pStyle w:val="TableParagraph"/>
              <w:ind w:left="122"/>
              <w:jc w:val="left"/>
              <w:rPr>
                <w:b/>
                <w:sz w:val="20"/>
              </w:rPr>
            </w:pPr>
            <w:r>
              <w:rPr>
                <w:b/>
                <w:spacing w:val="-2"/>
                <w:sz w:val="20"/>
              </w:rPr>
              <w:t>MCoop</w:t>
            </w:r>
          </w:p>
        </w:tc>
        <w:tc>
          <w:tcPr>
            <w:tcW w:w="1223" w:type="dxa"/>
          </w:tcPr>
          <w:p>
            <w:pPr>
              <w:pStyle w:val="TableParagraph"/>
              <w:ind w:left="5" w:right="5"/>
              <w:rPr>
                <w:sz w:val="20"/>
              </w:rPr>
            </w:pPr>
            <w:r>
              <w:rPr>
                <w:spacing w:val="-2"/>
                <w:sz w:val="20"/>
              </w:rPr>
              <w:t>5.953*</w:t>
            </w:r>
          </w:p>
        </w:tc>
        <w:tc>
          <w:tcPr>
            <w:tcW w:w="1396" w:type="dxa"/>
          </w:tcPr>
          <w:p>
            <w:pPr>
              <w:pStyle w:val="TableParagraph"/>
              <w:ind w:left="464"/>
              <w:jc w:val="left"/>
              <w:rPr>
                <w:sz w:val="20"/>
              </w:rPr>
            </w:pPr>
            <w:r>
              <w:rPr>
                <w:spacing w:val="-2"/>
                <w:sz w:val="20"/>
              </w:rPr>
              <w:t>5.564</w:t>
            </w:r>
          </w:p>
        </w:tc>
        <w:tc>
          <w:tcPr>
            <w:tcW w:w="1064" w:type="dxa"/>
          </w:tcPr>
          <w:p>
            <w:pPr>
              <w:pStyle w:val="TableParagraph"/>
              <w:ind w:left="64"/>
              <w:rPr>
                <w:sz w:val="20"/>
              </w:rPr>
            </w:pPr>
            <w:r>
              <w:rPr>
                <w:spacing w:val="-4"/>
                <w:sz w:val="20"/>
              </w:rPr>
              <w:t>1.91</w:t>
            </w:r>
          </w:p>
        </w:tc>
        <w:tc>
          <w:tcPr>
            <w:tcW w:w="1152" w:type="dxa"/>
          </w:tcPr>
          <w:p>
            <w:pPr>
              <w:pStyle w:val="TableParagraph"/>
              <w:ind w:left="195"/>
              <w:rPr>
                <w:sz w:val="20"/>
              </w:rPr>
            </w:pPr>
            <w:r>
              <w:rPr>
                <w:spacing w:val="-2"/>
                <w:sz w:val="20"/>
              </w:rPr>
              <w:t>2.551</w:t>
            </w:r>
          </w:p>
        </w:tc>
        <w:tc>
          <w:tcPr>
            <w:tcW w:w="1389" w:type="dxa"/>
          </w:tcPr>
          <w:p>
            <w:pPr>
              <w:pStyle w:val="TableParagraph"/>
              <w:ind w:left="80" w:right="95"/>
              <w:rPr>
                <w:sz w:val="20"/>
              </w:rPr>
            </w:pPr>
            <w:r>
              <w:rPr>
                <w:spacing w:val="-2"/>
                <w:sz w:val="20"/>
              </w:rPr>
              <w:t>1.944</w:t>
            </w:r>
          </w:p>
        </w:tc>
        <w:tc>
          <w:tcPr>
            <w:tcW w:w="989" w:type="dxa"/>
          </w:tcPr>
          <w:p>
            <w:pPr>
              <w:pStyle w:val="TableParagraph"/>
              <w:ind w:left="19" w:right="151"/>
              <w:rPr>
                <w:sz w:val="20"/>
              </w:rPr>
            </w:pPr>
            <w:r>
              <w:rPr>
                <w:spacing w:val="-4"/>
                <w:sz w:val="20"/>
              </w:rPr>
              <w:t>1.23</w:t>
            </w:r>
          </w:p>
        </w:tc>
      </w:tr>
      <w:tr>
        <w:trPr>
          <w:trHeight w:val="230" w:hRule="atLeast"/>
        </w:trPr>
        <w:tc>
          <w:tcPr>
            <w:tcW w:w="2083" w:type="dxa"/>
          </w:tcPr>
          <w:p>
            <w:pPr>
              <w:pStyle w:val="TableParagraph"/>
              <w:ind w:left="122"/>
              <w:jc w:val="left"/>
              <w:rPr>
                <w:b/>
                <w:sz w:val="20"/>
              </w:rPr>
            </w:pPr>
            <w:r>
              <w:rPr>
                <w:b/>
                <w:spacing w:val="-2"/>
                <w:sz w:val="20"/>
              </w:rPr>
              <w:t>Credit</w:t>
            </w:r>
          </w:p>
        </w:tc>
        <w:tc>
          <w:tcPr>
            <w:tcW w:w="1223" w:type="dxa"/>
          </w:tcPr>
          <w:p>
            <w:pPr>
              <w:pStyle w:val="TableParagraph"/>
              <w:ind w:right="5"/>
              <w:rPr>
                <w:sz w:val="20"/>
              </w:rPr>
            </w:pPr>
            <w:r>
              <w:rPr>
                <w:spacing w:val="-2"/>
                <w:sz w:val="20"/>
              </w:rPr>
              <w:t>0.173</w:t>
            </w:r>
          </w:p>
        </w:tc>
        <w:tc>
          <w:tcPr>
            <w:tcW w:w="1396" w:type="dxa"/>
          </w:tcPr>
          <w:p>
            <w:pPr>
              <w:pStyle w:val="TableParagraph"/>
              <w:ind w:left="464"/>
              <w:jc w:val="left"/>
              <w:rPr>
                <w:sz w:val="20"/>
              </w:rPr>
            </w:pPr>
            <w:r>
              <w:rPr>
                <w:spacing w:val="-2"/>
                <w:sz w:val="20"/>
              </w:rPr>
              <w:t>0.160</w:t>
            </w:r>
          </w:p>
        </w:tc>
        <w:tc>
          <w:tcPr>
            <w:tcW w:w="1064" w:type="dxa"/>
          </w:tcPr>
          <w:p>
            <w:pPr>
              <w:pStyle w:val="TableParagraph"/>
              <w:ind w:left="64" w:right="22"/>
              <w:rPr>
                <w:sz w:val="20"/>
              </w:rPr>
            </w:pPr>
            <w:r>
              <w:rPr>
                <w:spacing w:val="-4"/>
                <w:sz w:val="20"/>
              </w:rPr>
              <w:t>-1.89</w:t>
            </w:r>
          </w:p>
        </w:tc>
        <w:tc>
          <w:tcPr>
            <w:tcW w:w="1152" w:type="dxa"/>
          </w:tcPr>
          <w:p>
            <w:pPr>
              <w:pStyle w:val="TableParagraph"/>
              <w:ind w:left="176"/>
              <w:rPr>
                <w:sz w:val="20"/>
              </w:rPr>
            </w:pPr>
            <w:r>
              <w:rPr>
                <w:spacing w:val="-2"/>
                <w:sz w:val="20"/>
              </w:rPr>
              <w:t>0.815</w:t>
            </w:r>
          </w:p>
        </w:tc>
        <w:tc>
          <w:tcPr>
            <w:tcW w:w="1389" w:type="dxa"/>
          </w:tcPr>
          <w:p>
            <w:pPr>
              <w:pStyle w:val="TableParagraph"/>
              <w:ind w:left="80" w:right="95"/>
              <w:rPr>
                <w:sz w:val="20"/>
              </w:rPr>
            </w:pPr>
            <w:r>
              <w:rPr>
                <w:spacing w:val="-2"/>
                <w:sz w:val="20"/>
              </w:rPr>
              <w:t>0.608</w:t>
            </w:r>
          </w:p>
        </w:tc>
        <w:tc>
          <w:tcPr>
            <w:tcW w:w="989" w:type="dxa"/>
          </w:tcPr>
          <w:p>
            <w:pPr>
              <w:pStyle w:val="TableParagraph"/>
              <w:ind w:left="16" w:right="151"/>
              <w:rPr>
                <w:sz w:val="20"/>
              </w:rPr>
            </w:pPr>
            <w:r>
              <w:rPr>
                <w:spacing w:val="-4"/>
                <w:sz w:val="20"/>
              </w:rPr>
              <w:t>-0.27</w:t>
            </w:r>
          </w:p>
        </w:tc>
      </w:tr>
      <w:tr>
        <w:trPr>
          <w:trHeight w:val="230" w:hRule="atLeast"/>
        </w:trPr>
        <w:tc>
          <w:tcPr>
            <w:tcW w:w="2083" w:type="dxa"/>
          </w:tcPr>
          <w:p>
            <w:pPr>
              <w:pStyle w:val="TableParagraph"/>
              <w:ind w:left="122"/>
              <w:jc w:val="left"/>
              <w:rPr>
                <w:b/>
                <w:sz w:val="20"/>
              </w:rPr>
            </w:pPr>
            <w:r>
              <w:rPr>
                <w:b/>
                <w:spacing w:val="-4"/>
                <w:sz w:val="20"/>
              </w:rPr>
              <w:t>NOFI</w:t>
            </w:r>
          </w:p>
        </w:tc>
        <w:tc>
          <w:tcPr>
            <w:tcW w:w="1223" w:type="dxa"/>
          </w:tcPr>
          <w:p>
            <w:pPr>
              <w:pStyle w:val="TableParagraph"/>
              <w:ind w:right="5"/>
              <w:rPr>
                <w:sz w:val="20"/>
              </w:rPr>
            </w:pPr>
            <w:r>
              <w:rPr>
                <w:spacing w:val="-2"/>
                <w:sz w:val="20"/>
              </w:rPr>
              <w:t>2.483</w:t>
            </w:r>
          </w:p>
        </w:tc>
        <w:tc>
          <w:tcPr>
            <w:tcW w:w="1396" w:type="dxa"/>
          </w:tcPr>
          <w:p>
            <w:pPr>
              <w:pStyle w:val="TableParagraph"/>
              <w:ind w:left="464"/>
              <w:jc w:val="left"/>
              <w:rPr>
                <w:sz w:val="20"/>
              </w:rPr>
            </w:pPr>
            <w:r>
              <w:rPr>
                <w:spacing w:val="-2"/>
                <w:sz w:val="20"/>
              </w:rPr>
              <w:t>1.845</w:t>
            </w:r>
          </w:p>
        </w:tc>
        <w:tc>
          <w:tcPr>
            <w:tcW w:w="1064" w:type="dxa"/>
          </w:tcPr>
          <w:p>
            <w:pPr>
              <w:pStyle w:val="TableParagraph"/>
              <w:ind w:left="64" w:right="19"/>
              <w:rPr>
                <w:sz w:val="20"/>
              </w:rPr>
            </w:pPr>
            <w:r>
              <w:rPr>
                <w:spacing w:val="-4"/>
                <w:sz w:val="20"/>
              </w:rPr>
              <w:t>1.22</w:t>
            </w:r>
          </w:p>
        </w:tc>
        <w:tc>
          <w:tcPr>
            <w:tcW w:w="1152" w:type="dxa"/>
          </w:tcPr>
          <w:p>
            <w:pPr>
              <w:pStyle w:val="TableParagraph"/>
              <w:ind w:left="176"/>
              <w:rPr>
                <w:sz w:val="20"/>
              </w:rPr>
            </w:pPr>
            <w:r>
              <w:rPr>
                <w:spacing w:val="-2"/>
                <w:sz w:val="20"/>
              </w:rPr>
              <w:t>1.279</w:t>
            </w:r>
          </w:p>
        </w:tc>
        <w:tc>
          <w:tcPr>
            <w:tcW w:w="1389" w:type="dxa"/>
          </w:tcPr>
          <w:p>
            <w:pPr>
              <w:pStyle w:val="TableParagraph"/>
              <w:ind w:left="80" w:right="95"/>
              <w:rPr>
                <w:sz w:val="20"/>
              </w:rPr>
            </w:pPr>
            <w:r>
              <w:rPr>
                <w:spacing w:val="-2"/>
                <w:sz w:val="20"/>
              </w:rPr>
              <w:t>0.776</w:t>
            </w:r>
          </w:p>
        </w:tc>
        <w:tc>
          <w:tcPr>
            <w:tcW w:w="989" w:type="dxa"/>
          </w:tcPr>
          <w:p>
            <w:pPr>
              <w:pStyle w:val="TableParagraph"/>
              <w:ind w:left="19" w:right="151"/>
              <w:rPr>
                <w:sz w:val="20"/>
              </w:rPr>
            </w:pPr>
            <w:r>
              <w:rPr>
                <w:spacing w:val="-4"/>
                <w:sz w:val="20"/>
              </w:rPr>
              <w:t>0.41</w:t>
            </w:r>
          </w:p>
        </w:tc>
      </w:tr>
      <w:tr>
        <w:trPr>
          <w:trHeight w:val="230" w:hRule="atLeast"/>
        </w:trPr>
        <w:tc>
          <w:tcPr>
            <w:tcW w:w="2083" w:type="dxa"/>
          </w:tcPr>
          <w:p>
            <w:pPr>
              <w:pStyle w:val="TableParagraph"/>
              <w:ind w:left="122"/>
              <w:jc w:val="left"/>
              <w:rPr>
                <w:b/>
                <w:sz w:val="20"/>
              </w:rPr>
            </w:pPr>
            <w:r>
              <w:rPr>
                <w:b/>
                <w:spacing w:val="-2"/>
                <w:sz w:val="20"/>
              </w:rPr>
              <w:t>DMarket</w:t>
            </w:r>
          </w:p>
        </w:tc>
        <w:tc>
          <w:tcPr>
            <w:tcW w:w="1223" w:type="dxa"/>
          </w:tcPr>
          <w:p>
            <w:pPr>
              <w:pStyle w:val="TableParagraph"/>
              <w:ind w:right="5"/>
              <w:rPr>
                <w:sz w:val="20"/>
              </w:rPr>
            </w:pPr>
            <w:r>
              <w:rPr>
                <w:spacing w:val="-2"/>
                <w:sz w:val="20"/>
              </w:rPr>
              <w:t>1.023</w:t>
            </w:r>
          </w:p>
        </w:tc>
        <w:tc>
          <w:tcPr>
            <w:tcW w:w="1396" w:type="dxa"/>
          </w:tcPr>
          <w:p>
            <w:pPr>
              <w:pStyle w:val="TableParagraph"/>
              <w:ind w:left="464"/>
              <w:jc w:val="left"/>
              <w:rPr>
                <w:sz w:val="20"/>
              </w:rPr>
            </w:pPr>
            <w:r>
              <w:rPr>
                <w:spacing w:val="-2"/>
                <w:sz w:val="20"/>
              </w:rPr>
              <w:t>0.034</w:t>
            </w:r>
          </w:p>
        </w:tc>
        <w:tc>
          <w:tcPr>
            <w:tcW w:w="1064" w:type="dxa"/>
          </w:tcPr>
          <w:p>
            <w:pPr>
              <w:pStyle w:val="TableParagraph"/>
              <w:ind w:left="64" w:right="19"/>
              <w:rPr>
                <w:sz w:val="20"/>
              </w:rPr>
            </w:pPr>
            <w:r>
              <w:rPr>
                <w:spacing w:val="-4"/>
                <w:sz w:val="20"/>
              </w:rPr>
              <w:t>0.69</w:t>
            </w:r>
          </w:p>
        </w:tc>
        <w:tc>
          <w:tcPr>
            <w:tcW w:w="1152" w:type="dxa"/>
          </w:tcPr>
          <w:p>
            <w:pPr>
              <w:pStyle w:val="TableParagraph"/>
              <w:ind w:left="176"/>
              <w:rPr>
                <w:sz w:val="20"/>
              </w:rPr>
            </w:pPr>
            <w:r>
              <w:rPr>
                <w:spacing w:val="-2"/>
                <w:sz w:val="20"/>
              </w:rPr>
              <w:t>1.037</w:t>
            </w:r>
          </w:p>
        </w:tc>
        <w:tc>
          <w:tcPr>
            <w:tcW w:w="1389" w:type="dxa"/>
          </w:tcPr>
          <w:p>
            <w:pPr>
              <w:pStyle w:val="TableParagraph"/>
              <w:ind w:left="80" w:right="95"/>
              <w:rPr>
                <w:sz w:val="20"/>
              </w:rPr>
            </w:pPr>
            <w:r>
              <w:rPr>
                <w:spacing w:val="-2"/>
                <w:sz w:val="20"/>
              </w:rPr>
              <w:t>0.028</w:t>
            </w:r>
          </w:p>
        </w:tc>
        <w:tc>
          <w:tcPr>
            <w:tcW w:w="989" w:type="dxa"/>
          </w:tcPr>
          <w:p>
            <w:pPr>
              <w:pStyle w:val="TableParagraph"/>
              <w:ind w:left="19" w:right="151"/>
              <w:rPr>
                <w:sz w:val="20"/>
              </w:rPr>
            </w:pPr>
            <w:r>
              <w:rPr>
                <w:spacing w:val="-4"/>
                <w:sz w:val="20"/>
              </w:rPr>
              <w:t>1.32</w:t>
            </w:r>
          </w:p>
        </w:tc>
      </w:tr>
      <w:tr>
        <w:trPr>
          <w:trHeight w:val="229" w:hRule="atLeast"/>
        </w:trPr>
        <w:tc>
          <w:tcPr>
            <w:tcW w:w="2083" w:type="dxa"/>
          </w:tcPr>
          <w:p>
            <w:pPr>
              <w:pStyle w:val="TableParagraph"/>
              <w:spacing w:line="209" w:lineRule="exact"/>
              <w:ind w:left="122"/>
              <w:jc w:val="left"/>
              <w:rPr>
                <w:b/>
                <w:sz w:val="20"/>
              </w:rPr>
            </w:pPr>
            <w:r>
              <w:rPr>
                <w:b/>
                <w:spacing w:val="-2"/>
                <w:sz w:val="20"/>
              </w:rPr>
              <w:t>QPron</w:t>
            </w:r>
          </w:p>
        </w:tc>
        <w:tc>
          <w:tcPr>
            <w:tcW w:w="1223" w:type="dxa"/>
          </w:tcPr>
          <w:p>
            <w:pPr>
              <w:pStyle w:val="TableParagraph"/>
              <w:spacing w:line="209" w:lineRule="exact"/>
              <w:ind w:right="5"/>
              <w:rPr>
                <w:sz w:val="20"/>
              </w:rPr>
            </w:pPr>
            <w:r>
              <w:rPr>
                <w:spacing w:val="-2"/>
                <w:sz w:val="20"/>
              </w:rPr>
              <w:t>0.676</w:t>
            </w:r>
          </w:p>
        </w:tc>
        <w:tc>
          <w:tcPr>
            <w:tcW w:w="1396" w:type="dxa"/>
          </w:tcPr>
          <w:p>
            <w:pPr>
              <w:pStyle w:val="TableParagraph"/>
              <w:spacing w:line="209" w:lineRule="exact"/>
              <w:ind w:left="464"/>
              <w:jc w:val="left"/>
              <w:rPr>
                <w:sz w:val="20"/>
              </w:rPr>
            </w:pPr>
            <w:r>
              <w:rPr>
                <w:spacing w:val="-2"/>
                <w:sz w:val="20"/>
              </w:rPr>
              <w:t>1.214</w:t>
            </w:r>
          </w:p>
        </w:tc>
        <w:tc>
          <w:tcPr>
            <w:tcW w:w="1064" w:type="dxa"/>
          </w:tcPr>
          <w:p>
            <w:pPr>
              <w:pStyle w:val="TableParagraph"/>
              <w:spacing w:line="209" w:lineRule="exact"/>
              <w:ind w:left="64" w:right="22"/>
              <w:rPr>
                <w:sz w:val="20"/>
              </w:rPr>
            </w:pPr>
            <w:r>
              <w:rPr>
                <w:spacing w:val="-4"/>
                <w:sz w:val="20"/>
              </w:rPr>
              <w:t>-0.22</w:t>
            </w:r>
          </w:p>
        </w:tc>
        <w:tc>
          <w:tcPr>
            <w:tcW w:w="1152" w:type="dxa"/>
          </w:tcPr>
          <w:p>
            <w:pPr>
              <w:pStyle w:val="TableParagraph"/>
              <w:spacing w:line="209" w:lineRule="exact"/>
              <w:ind w:left="195" w:right="17"/>
              <w:rPr>
                <w:sz w:val="20"/>
              </w:rPr>
            </w:pPr>
            <w:r>
              <w:rPr>
                <w:spacing w:val="-2"/>
                <w:sz w:val="20"/>
              </w:rPr>
              <w:t>0.075**</w:t>
            </w:r>
          </w:p>
        </w:tc>
        <w:tc>
          <w:tcPr>
            <w:tcW w:w="1389" w:type="dxa"/>
          </w:tcPr>
          <w:p>
            <w:pPr>
              <w:pStyle w:val="TableParagraph"/>
              <w:spacing w:line="209" w:lineRule="exact"/>
              <w:ind w:left="80" w:right="95"/>
              <w:rPr>
                <w:sz w:val="20"/>
              </w:rPr>
            </w:pPr>
            <w:r>
              <w:rPr>
                <w:spacing w:val="-2"/>
                <w:sz w:val="20"/>
              </w:rPr>
              <w:t>0.078</w:t>
            </w:r>
          </w:p>
        </w:tc>
        <w:tc>
          <w:tcPr>
            <w:tcW w:w="989" w:type="dxa"/>
          </w:tcPr>
          <w:p>
            <w:pPr>
              <w:pStyle w:val="TableParagraph"/>
              <w:spacing w:line="209" w:lineRule="exact"/>
              <w:ind w:left="16" w:right="151"/>
              <w:rPr>
                <w:sz w:val="20"/>
              </w:rPr>
            </w:pPr>
            <w:r>
              <w:rPr>
                <w:spacing w:val="-4"/>
                <w:sz w:val="20"/>
              </w:rPr>
              <w:t>-2.49</w:t>
            </w:r>
          </w:p>
        </w:tc>
      </w:tr>
      <w:tr>
        <w:trPr>
          <w:trHeight w:val="229" w:hRule="atLeast"/>
        </w:trPr>
        <w:tc>
          <w:tcPr>
            <w:tcW w:w="2083" w:type="dxa"/>
          </w:tcPr>
          <w:p>
            <w:pPr>
              <w:pStyle w:val="TableParagraph"/>
              <w:spacing w:line="209" w:lineRule="exact"/>
              <w:ind w:left="122"/>
              <w:jc w:val="left"/>
              <w:rPr>
                <w:b/>
                <w:sz w:val="20"/>
              </w:rPr>
            </w:pPr>
            <w:r>
              <w:rPr>
                <w:b/>
                <w:spacing w:val="-2"/>
                <w:sz w:val="20"/>
              </w:rPr>
              <w:t>Price</w:t>
            </w:r>
          </w:p>
        </w:tc>
        <w:tc>
          <w:tcPr>
            <w:tcW w:w="1223" w:type="dxa"/>
          </w:tcPr>
          <w:p>
            <w:pPr>
              <w:pStyle w:val="TableParagraph"/>
              <w:spacing w:line="209" w:lineRule="exact"/>
              <w:ind w:left="3" w:right="5"/>
              <w:rPr>
                <w:sz w:val="20"/>
              </w:rPr>
            </w:pPr>
            <w:r>
              <w:rPr>
                <w:spacing w:val="-2"/>
                <w:sz w:val="20"/>
              </w:rPr>
              <w:t>0.003**</w:t>
            </w:r>
          </w:p>
        </w:tc>
        <w:tc>
          <w:tcPr>
            <w:tcW w:w="1396" w:type="dxa"/>
          </w:tcPr>
          <w:p>
            <w:pPr>
              <w:pStyle w:val="TableParagraph"/>
              <w:spacing w:line="209" w:lineRule="exact"/>
              <w:ind w:left="464"/>
              <w:jc w:val="left"/>
              <w:rPr>
                <w:sz w:val="20"/>
              </w:rPr>
            </w:pPr>
            <w:r>
              <w:rPr>
                <w:spacing w:val="-2"/>
                <w:sz w:val="20"/>
              </w:rPr>
              <w:t>0.006</w:t>
            </w:r>
          </w:p>
        </w:tc>
        <w:tc>
          <w:tcPr>
            <w:tcW w:w="1064" w:type="dxa"/>
          </w:tcPr>
          <w:p>
            <w:pPr>
              <w:pStyle w:val="TableParagraph"/>
              <w:spacing w:line="209" w:lineRule="exact"/>
              <w:ind w:left="64" w:right="22"/>
              <w:rPr>
                <w:sz w:val="20"/>
              </w:rPr>
            </w:pPr>
            <w:r>
              <w:rPr>
                <w:spacing w:val="-4"/>
                <w:sz w:val="20"/>
              </w:rPr>
              <w:t>-2.53</w:t>
            </w:r>
          </w:p>
        </w:tc>
        <w:tc>
          <w:tcPr>
            <w:tcW w:w="1152" w:type="dxa"/>
          </w:tcPr>
          <w:p>
            <w:pPr>
              <w:pStyle w:val="TableParagraph"/>
              <w:spacing w:line="209" w:lineRule="exact"/>
              <w:ind w:left="176"/>
              <w:rPr>
                <w:sz w:val="20"/>
              </w:rPr>
            </w:pPr>
            <w:r>
              <w:rPr>
                <w:spacing w:val="-2"/>
                <w:sz w:val="20"/>
              </w:rPr>
              <w:t>0.040</w:t>
            </w:r>
          </w:p>
        </w:tc>
        <w:tc>
          <w:tcPr>
            <w:tcW w:w="1389" w:type="dxa"/>
          </w:tcPr>
          <w:p>
            <w:pPr>
              <w:pStyle w:val="TableParagraph"/>
              <w:spacing w:line="209" w:lineRule="exact"/>
              <w:ind w:left="80" w:right="95"/>
              <w:rPr>
                <w:sz w:val="20"/>
              </w:rPr>
            </w:pPr>
            <w:r>
              <w:rPr>
                <w:spacing w:val="-2"/>
                <w:sz w:val="20"/>
              </w:rPr>
              <w:t>0.079</w:t>
            </w:r>
          </w:p>
        </w:tc>
        <w:tc>
          <w:tcPr>
            <w:tcW w:w="989" w:type="dxa"/>
          </w:tcPr>
          <w:p>
            <w:pPr>
              <w:pStyle w:val="TableParagraph"/>
              <w:spacing w:line="209" w:lineRule="exact"/>
              <w:ind w:left="16" w:right="151"/>
              <w:rPr>
                <w:sz w:val="20"/>
              </w:rPr>
            </w:pPr>
            <w:r>
              <w:rPr>
                <w:spacing w:val="-4"/>
                <w:sz w:val="20"/>
              </w:rPr>
              <w:t>-1.62</w:t>
            </w:r>
          </w:p>
        </w:tc>
      </w:tr>
      <w:tr>
        <w:trPr>
          <w:trHeight w:val="230" w:hRule="atLeast"/>
        </w:trPr>
        <w:tc>
          <w:tcPr>
            <w:tcW w:w="2083" w:type="dxa"/>
          </w:tcPr>
          <w:p>
            <w:pPr>
              <w:pStyle w:val="TableParagraph"/>
              <w:ind w:left="122"/>
              <w:jc w:val="left"/>
              <w:rPr>
                <w:b/>
                <w:sz w:val="20"/>
              </w:rPr>
            </w:pPr>
            <w:r>
              <w:rPr>
                <w:b/>
                <w:spacing w:val="-2"/>
                <w:sz w:val="20"/>
              </w:rPr>
              <w:t>OTran</w:t>
            </w:r>
          </w:p>
        </w:tc>
        <w:tc>
          <w:tcPr>
            <w:tcW w:w="1223" w:type="dxa"/>
          </w:tcPr>
          <w:p>
            <w:pPr>
              <w:pStyle w:val="TableParagraph"/>
              <w:ind w:left="3" w:right="5"/>
              <w:rPr>
                <w:sz w:val="20"/>
              </w:rPr>
            </w:pPr>
            <w:r>
              <w:rPr>
                <w:spacing w:val="-4"/>
                <w:sz w:val="20"/>
              </w:rPr>
              <w:t>-</w:t>
            </w:r>
            <w:r>
              <w:rPr>
                <w:spacing w:val="-2"/>
                <w:sz w:val="20"/>
              </w:rPr>
              <w:t>0.180*</w:t>
            </w:r>
          </w:p>
        </w:tc>
        <w:tc>
          <w:tcPr>
            <w:tcW w:w="1396" w:type="dxa"/>
          </w:tcPr>
          <w:p>
            <w:pPr>
              <w:pStyle w:val="TableParagraph"/>
              <w:ind w:left="464"/>
              <w:jc w:val="left"/>
              <w:rPr>
                <w:sz w:val="20"/>
              </w:rPr>
            </w:pPr>
            <w:r>
              <w:rPr>
                <w:spacing w:val="-2"/>
                <w:sz w:val="20"/>
              </w:rPr>
              <w:t>0.894</w:t>
            </w:r>
          </w:p>
        </w:tc>
        <w:tc>
          <w:tcPr>
            <w:tcW w:w="1064" w:type="dxa"/>
          </w:tcPr>
          <w:p>
            <w:pPr>
              <w:pStyle w:val="TableParagraph"/>
              <w:ind w:left="64" w:right="22"/>
              <w:rPr>
                <w:sz w:val="20"/>
              </w:rPr>
            </w:pPr>
            <w:r>
              <w:rPr>
                <w:spacing w:val="-4"/>
                <w:sz w:val="20"/>
              </w:rPr>
              <w:t>-1.45</w:t>
            </w:r>
          </w:p>
        </w:tc>
        <w:tc>
          <w:tcPr>
            <w:tcW w:w="1152" w:type="dxa"/>
          </w:tcPr>
          <w:p>
            <w:pPr>
              <w:pStyle w:val="TableParagraph"/>
              <w:ind w:left="176"/>
              <w:rPr>
                <w:sz w:val="20"/>
              </w:rPr>
            </w:pPr>
            <w:r>
              <w:rPr>
                <w:spacing w:val="-2"/>
                <w:sz w:val="20"/>
              </w:rPr>
              <w:t>0.017</w:t>
            </w:r>
          </w:p>
        </w:tc>
        <w:tc>
          <w:tcPr>
            <w:tcW w:w="1389" w:type="dxa"/>
          </w:tcPr>
          <w:p>
            <w:pPr>
              <w:pStyle w:val="TableParagraph"/>
              <w:ind w:left="80" w:right="95"/>
              <w:rPr>
                <w:sz w:val="20"/>
              </w:rPr>
            </w:pPr>
            <w:r>
              <w:rPr>
                <w:spacing w:val="-2"/>
                <w:sz w:val="20"/>
              </w:rPr>
              <w:t>0.783</w:t>
            </w:r>
          </w:p>
        </w:tc>
        <w:tc>
          <w:tcPr>
            <w:tcW w:w="989" w:type="dxa"/>
          </w:tcPr>
          <w:p>
            <w:pPr>
              <w:pStyle w:val="TableParagraph"/>
              <w:ind w:left="19" w:right="151"/>
              <w:rPr>
                <w:sz w:val="20"/>
              </w:rPr>
            </w:pPr>
            <w:r>
              <w:rPr>
                <w:spacing w:val="-4"/>
                <w:sz w:val="20"/>
              </w:rPr>
              <w:t>0.02</w:t>
            </w:r>
          </w:p>
        </w:tc>
      </w:tr>
      <w:tr>
        <w:trPr>
          <w:trHeight w:val="230" w:hRule="atLeast"/>
        </w:trPr>
        <w:tc>
          <w:tcPr>
            <w:tcW w:w="2083" w:type="dxa"/>
          </w:tcPr>
          <w:p>
            <w:pPr>
              <w:pStyle w:val="TableParagraph"/>
              <w:ind w:left="122"/>
              <w:jc w:val="left"/>
              <w:rPr>
                <w:b/>
                <w:sz w:val="20"/>
              </w:rPr>
            </w:pPr>
            <w:r>
              <w:rPr>
                <w:b/>
                <w:spacing w:val="-2"/>
                <w:sz w:val="20"/>
              </w:rPr>
              <w:t>MInformation</w:t>
            </w:r>
          </w:p>
        </w:tc>
        <w:tc>
          <w:tcPr>
            <w:tcW w:w="1223" w:type="dxa"/>
          </w:tcPr>
          <w:p>
            <w:pPr>
              <w:pStyle w:val="TableParagraph"/>
              <w:ind w:right="5"/>
              <w:rPr>
                <w:sz w:val="20"/>
              </w:rPr>
            </w:pPr>
            <w:r>
              <w:rPr>
                <w:spacing w:val="-2"/>
                <w:sz w:val="20"/>
              </w:rPr>
              <w:t>1.344</w:t>
            </w:r>
          </w:p>
        </w:tc>
        <w:tc>
          <w:tcPr>
            <w:tcW w:w="1396" w:type="dxa"/>
          </w:tcPr>
          <w:p>
            <w:pPr>
              <w:pStyle w:val="TableParagraph"/>
              <w:ind w:left="464"/>
              <w:jc w:val="left"/>
              <w:rPr>
                <w:sz w:val="20"/>
              </w:rPr>
            </w:pPr>
            <w:r>
              <w:rPr>
                <w:spacing w:val="-2"/>
                <w:sz w:val="20"/>
              </w:rPr>
              <w:t>1.554</w:t>
            </w:r>
          </w:p>
        </w:tc>
        <w:tc>
          <w:tcPr>
            <w:tcW w:w="1064" w:type="dxa"/>
          </w:tcPr>
          <w:p>
            <w:pPr>
              <w:pStyle w:val="TableParagraph"/>
              <w:ind w:left="64" w:right="19"/>
              <w:rPr>
                <w:sz w:val="20"/>
              </w:rPr>
            </w:pPr>
            <w:r>
              <w:rPr>
                <w:spacing w:val="-4"/>
                <w:sz w:val="20"/>
              </w:rPr>
              <w:t>0.26</w:t>
            </w:r>
          </w:p>
        </w:tc>
        <w:tc>
          <w:tcPr>
            <w:tcW w:w="1152" w:type="dxa"/>
          </w:tcPr>
          <w:p>
            <w:pPr>
              <w:pStyle w:val="TableParagraph"/>
              <w:ind w:left="176"/>
              <w:rPr>
                <w:sz w:val="20"/>
              </w:rPr>
            </w:pPr>
            <w:r>
              <w:rPr>
                <w:spacing w:val="-2"/>
                <w:sz w:val="20"/>
              </w:rPr>
              <w:t>2.833</w:t>
            </w:r>
          </w:p>
        </w:tc>
        <w:tc>
          <w:tcPr>
            <w:tcW w:w="1389" w:type="dxa"/>
          </w:tcPr>
          <w:p>
            <w:pPr>
              <w:pStyle w:val="TableParagraph"/>
              <w:ind w:left="80" w:right="95"/>
              <w:rPr>
                <w:sz w:val="20"/>
              </w:rPr>
            </w:pPr>
            <w:r>
              <w:rPr>
                <w:spacing w:val="-2"/>
                <w:sz w:val="20"/>
              </w:rPr>
              <w:t>3.579</w:t>
            </w:r>
          </w:p>
        </w:tc>
        <w:tc>
          <w:tcPr>
            <w:tcW w:w="989" w:type="dxa"/>
          </w:tcPr>
          <w:p>
            <w:pPr>
              <w:pStyle w:val="TableParagraph"/>
              <w:ind w:left="19" w:right="151"/>
              <w:rPr>
                <w:sz w:val="20"/>
              </w:rPr>
            </w:pPr>
            <w:r>
              <w:rPr>
                <w:spacing w:val="-4"/>
                <w:sz w:val="20"/>
              </w:rPr>
              <w:t>0.82</w:t>
            </w:r>
          </w:p>
        </w:tc>
      </w:tr>
      <w:tr>
        <w:trPr>
          <w:trHeight w:val="230" w:hRule="atLeast"/>
        </w:trPr>
        <w:tc>
          <w:tcPr>
            <w:tcW w:w="2083" w:type="dxa"/>
            <w:tcBorders>
              <w:bottom w:val="single" w:sz="8" w:space="0" w:color="000000"/>
            </w:tcBorders>
          </w:tcPr>
          <w:p>
            <w:pPr>
              <w:pStyle w:val="TableParagraph"/>
              <w:ind w:left="122"/>
              <w:jc w:val="left"/>
              <w:rPr>
                <w:b/>
                <w:sz w:val="20"/>
              </w:rPr>
            </w:pPr>
            <w:r>
              <w:rPr>
                <w:b/>
                <w:spacing w:val="-2"/>
                <w:sz w:val="20"/>
              </w:rPr>
              <w:t>AExtention</w:t>
            </w:r>
          </w:p>
        </w:tc>
        <w:tc>
          <w:tcPr>
            <w:tcW w:w="1223" w:type="dxa"/>
            <w:tcBorders>
              <w:bottom w:val="single" w:sz="8" w:space="0" w:color="000000"/>
            </w:tcBorders>
          </w:tcPr>
          <w:p>
            <w:pPr>
              <w:pStyle w:val="TableParagraph"/>
              <w:ind w:right="5"/>
              <w:rPr>
                <w:sz w:val="20"/>
              </w:rPr>
            </w:pPr>
            <w:r>
              <w:rPr>
                <w:spacing w:val="-2"/>
                <w:sz w:val="20"/>
              </w:rPr>
              <w:t>0.815</w:t>
            </w:r>
          </w:p>
        </w:tc>
        <w:tc>
          <w:tcPr>
            <w:tcW w:w="1396" w:type="dxa"/>
            <w:tcBorders>
              <w:bottom w:val="single" w:sz="8" w:space="0" w:color="000000"/>
            </w:tcBorders>
          </w:tcPr>
          <w:p>
            <w:pPr>
              <w:pStyle w:val="TableParagraph"/>
              <w:ind w:left="464"/>
              <w:jc w:val="left"/>
              <w:rPr>
                <w:sz w:val="20"/>
              </w:rPr>
            </w:pPr>
            <w:r>
              <w:rPr>
                <w:spacing w:val="-2"/>
                <w:sz w:val="20"/>
              </w:rPr>
              <w:t>0.527</w:t>
            </w:r>
          </w:p>
        </w:tc>
        <w:tc>
          <w:tcPr>
            <w:tcW w:w="1064" w:type="dxa"/>
            <w:tcBorders>
              <w:bottom w:val="single" w:sz="8" w:space="0" w:color="000000"/>
            </w:tcBorders>
          </w:tcPr>
          <w:p>
            <w:pPr>
              <w:pStyle w:val="TableParagraph"/>
              <w:ind w:left="64" w:right="22"/>
              <w:rPr>
                <w:sz w:val="20"/>
              </w:rPr>
            </w:pPr>
            <w:r>
              <w:rPr>
                <w:spacing w:val="-4"/>
                <w:sz w:val="20"/>
              </w:rPr>
              <w:t>-0.32</w:t>
            </w:r>
          </w:p>
        </w:tc>
        <w:tc>
          <w:tcPr>
            <w:tcW w:w="1152" w:type="dxa"/>
            <w:tcBorders>
              <w:bottom w:val="single" w:sz="8" w:space="0" w:color="000000"/>
            </w:tcBorders>
          </w:tcPr>
          <w:p>
            <w:pPr>
              <w:pStyle w:val="TableParagraph"/>
              <w:ind w:left="176"/>
              <w:rPr>
                <w:sz w:val="20"/>
              </w:rPr>
            </w:pPr>
            <w:r>
              <w:rPr>
                <w:spacing w:val="-2"/>
                <w:sz w:val="20"/>
              </w:rPr>
              <w:t>1.065</w:t>
            </w:r>
          </w:p>
        </w:tc>
        <w:tc>
          <w:tcPr>
            <w:tcW w:w="1389" w:type="dxa"/>
            <w:tcBorders>
              <w:bottom w:val="single" w:sz="8" w:space="0" w:color="000000"/>
            </w:tcBorders>
          </w:tcPr>
          <w:p>
            <w:pPr>
              <w:pStyle w:val="TableParagraph"/>
              <w:ind w:left="80" w:right="95"/>
              <w:rPr>
                <w:sz w:val="20"/>
              </w:rPr>
            </w:pPr>
            <w:r>
              <w:rPr>
                <w:spacing w:val="-2"/>
                <w:sz w:val="20"/>
              </w:rPr>
              <w:t>0.619</w:t>
            </w:r>
          </w:p>
        </w:tc>
        <w:tc>
          <w:tcPr>
            <w:tcW w:w="989" w:type="dxa"/>
            <w:tcBorders>
              <w:bottom w:val="single" w:sz="8" w:space="0" w:color="000000"/>
            </w:tcBorders>
          </w:tcPr>
          <w:p>
            <w:pPr>
              <w:pStyle w:val="TableParagraph"/>
              <w:ind w:left="19" w:right="151"/>
              <w:rPr>
                <w:sz w:val="20"/>
              </w:rPr>
            </w:pPr>
            <w:r>
              <w:rPr>
                <w:spacing w:val="-4"/>
                <w:sz w:val="20"/>
              </w:rPr>
              <w:t>0.11</w:t>
            </w:r>
          </w:p>
        </w:tc>
      </w:tr>
    </w:tbl>
    <w:p>
      <w:pPr>
        <w:pStyle w:val="BodyText"/>
        <w:ind w:right="223"/>
      </w:pPr>
      <w:r>
        <w:rPr/>
        <w:t>Wholesale outlet is base outcome. dy/dx is marginal effect. N=127, LR χ</w:t>
      </w:r>
      <w:r>
        <w:rPr>
          <w:vertAlign w:val="superscript"/>
        </w:rPr>
        <w:t>2</w:t>
      </w:r>
      <w:r>
        <w:rPr>
          <w:spacing w:val="-13"/>
          <w:vertAlign w:val="baseline"/>
        </w:rPr>
        <w:t> </w:t>
      </w:r>
      <w:r>
        <w:rPr>
          <w:vertAlign w:val="baseline"/>
        </w:rPr>
        <w:t>(32) = 92.99***, Pseudo R</w:t>
      </w:r>
      <w:r>
        <w:rPr>
          <w:vertAlign w:val="superscript"/>
        </w:rPr>
        <w:t>2</w:t>
      </w:r>
      <w:r>
        <w:rPr>
          <w:vertAlign w:val="baseline"/>
        </w:rPr>
        <w:t>=0. 336. Log likelihood = -91.76. ***, **and * are statistically significant at 1%, 5% and 10%, respectively.</w:t>
      </w:r>
    </w:p>
    <w:p>
      <w:pPr>
        <w:pStyle w:val="Heading3"/>
        <w:spacing w:line="227" w:lineRule="exact"/>
      </w:pPr>
      <w:r>
        <w:rPr/>
        <w:t>Source:</w:t>
      </w:r>
      <w:r>
        <w:rPr>
          <w:b w:val="0"/>
          <w:spacing w:val="-6"/>
        </w:rPr>
        <w:t> </w:t>
      </w:r>
      <w:r>
        <w:rPr/>
        <w:t>Own</w:t>
      </w:r>
      <w:r>
        <w:rPr>
          <w:b w:val="0"/>
          <w:spacing w:val="-6"/>
        </w:rPr>
        <w:t> </w:t>
      </w:r>
      <w:r>
        <w:rPr/>
        <w:t>computation</w:t>
      </w:r>
      <w:r>
        <w:rPr>
          <w:b w:val="0"/>
          <w:spacing w:val="-6"/>
        </w:rPr>
        <w:t> </w:t>
      </w:r>
      <w:r>
        <w:rPr/>
        <w:t>from</w:t>
      </w:r>
      <w:r>
        <w:rPr>
          <w:b w:val="0"/>
          <w:spacing w:val="-11"/>
        </w:rPr>
        <w:t> </w:t>
      </w:r>
      <w:r>
        <w:rPr/>
        <w:t>survey</w:t>
      </w:r>
      <w:r>
        <w:rPr>
          <w:b w:val="0"/>
          <w:spacing w:val="-5"/>
        </w:rPr>
        <w:t> </w:t>
      </w:r>
      <w:r>
        <w:rPr/>
        <w:t>result,</w:t>
      </w:r>
      <w:r>
        <w:rPr>
          <w:b w:val="0"/>
          <w:spacing w:val="-5"/>
        </w:rPr>
        <w:t> </w:t>
      </w:r>
      <w:r>
        <w:rPr>
          <w:spacing w:val="-4"/>
        </w:rPr>
        <w:t>2015</w:t>
      </w:r>
    </w:p>
    <w:p>
      <w:pPr>
        <w:pStyle w:val="BodyText"/>
        <w:ind w:right="223"/>
      </w:pPr>
      <w:r>
        <w:rPr>
          <w:b/>
        </w:rPr>
        <w:t>Land</w:t>
      </w:r>
      <w:r>
        <w:rPr/>
        <w:t> </w:t>
      </w:r>
      <w:r>
        <w:rPr>
          <w:b/>
        </w:rPr>
        <w:t>Size</w:t>
      </w:r>
      <w:r>
        <w:rPr/>
        <w:t> </w:t>
      </w:r>
      <w:r>
        <w:rPr>
          <w:b/>
        </w:rPr>
        <w:t>(Land)</w:t>
      </w:r>
      <w:r>
        <w:rPr/>
        <w:t>: The variable was negatively and significantly associated with use of collector and</w:t>
      </w:r>
      <w:r>
        <w:rPr>
          <w:spacing w:val="40"/>
        </w:rPr>
        <w:t> </w:t>
      </w:r>
      <w:r>
        <w:rPr/>
        <w:t>cooperative outlets at less than 5% significance level. Other things being equal, the likelihood of using collector and cooperative outlet would be lower by 3.4% and 6.6%, respectively for households land holding relative to using wholesale outlet. Farmer’s who had cultivated land size increases; the ability of farmers to produce more sesame produce is high.</w:t>
      </w:r>
    </w:p>
    <w:p>
      <w:pPr>
        <w:spacing w:after="0"/>
        <w:sectPr>
          <w:pgSz w:w="11900" w:h="16840"/>
          <w:pgMar w:header="846" w:footer="819" w:top="1640" w:bottom="1000" w:left="1180" w:right="1180"/>
        </w:sectPr>
      </w:pPr>
    </w:p>
    <w:p>
      <w:pPr>
        <w:pStyle w:val="BodyText"/>
        <w:spacing w:before="98"/>
        <w:ind w:right="226"/>
      </w:pPr>
      <w:r>
        <w:rPr>
          <w:b/>
        </w:rPr>
        <w:t>Family</w:t>
      </w:r>
      <w:r>
        <w:rPr/>
        <w:t> </w:t>
      </w:r>
      <w:r>
        <w:rPr>
          <w:b/>
        </w:rPr>
        <w:t>Size</w:t>
      </w:r>
      <w:r>
        <w:rPr/>
        <w:t> </w:t>
      </w:r>
      <w:r>
        <w:rPr>
          <w:b/>
        </w:rPr>
        <w:t>(Family):</w:t>
      </w:r>
      <w:r>
        <w:rPr/>
        <w:t> Family</w:t>
      </w:r>
      <w:r>
        <w:rPr>
          <w:spacing w:val="-2"/>
        </w:rPr>
        <w:t> </w:t>
      </w:r>
      <w:r>
        <w:rPr/>
        <w:t>size determines farm</w:t>
      </w:r>
      <w:r>
        <w:rPr>
          <w:spacing w:val="-2"/>
        </w:rPr>
        <w:t> </w:t>
      </w:r>
      <w:r>
        <w:rPr/>
        <w:t>household’s market</w:t>
      </w:r>
      <w:r>
        <w:rPr>
          <w:spacing w:val="-1"/>
        </w:rPr>
        <w:t> </w:t>
      </w:r>
      <w:r>
        <w:rPr/>
        <w:t>outlet</w:t>
      </w:r>
      <w:r>
        <w:rPr>
          <w:spacing w:val="-1"/>
        </w:rPr>
        <w:t> </w:t>
      </w:r>
      <w:r>
        <w:rPr/>
        <w:t>choice decision. As</w:t>
      </w:r>
      <w:r>
        <w:rPr>
          <w:spacing w:val="-1"/>
        </w:rPr>
        <w:t> </w:t>
      </w:r>
      <w:r>
        <w:rPr/>
        <w:t>hypothesized the coefficients for this variable is positively and significantly related with collector outlets at </w:t>
      </w:r>
      <w:r>
        <w:rPr>
          <w:b/>
        </w:rPr>
        <w:t>10%</w:t>
      </w:r>
      <w:r>
        <w:rPr/>
        <w:t> significance level. This result indicated that those households who have high members of family size were the probability of choosing collector outlet increased by </w:t>
      </w:r>
      <w:r>
        <w:rPr>
          <w:b/>
        </w:rPr>
        <w:t>16.5%</w:t>
      </w:r>
      <w:r>
        <w:rPr/>
        <w:t> compared to base category. Farmers who have better family size chooses wholesaler market outlet relative to collector outlet.</w:t>
      </w:r>
    </w:p>
    <w:p>
      <w:pPr>
        <w:pStyle w:val="BodyText"/>
        <w:ind w:right="223"/>
      </w:pPr>
      <w:r>
        <w:rPr>
          <w:b/>
        </w:rPr>
        <w:t>Market</w:t>
      </w:r>
      <w:r>
        <w:rPr/>
        <w:t> </w:t>
      </w:r>
      <w:r>
        <w:rPr>
          <w:b/>
        </w:rPr>
        <w:t>price</w:t>
      </w:r>
      <w:r>
        <w:rPr/>
        <w:t> </w:t>
      </w:r>
      <w:r>
        <w:rPr>
          <w:b/>
        </w:rPr>
        <w:t>of</w:t>
      </w:r>
      <w:r>
        <w:rPr/>
        <w:t> </w:t>
      </w:r>
      <w:r>
        <w:rPr>
          <w:b/>
        </w:rPr>
        <w:t>sesame</w:t>
      </w:r>
      <w:r>
        <w:rPr/>
        <w:t> </w:t>
      </w:r>
      <w:r>
        <w:rPr>
          <w:b/>
        </w:rPr>
        <w:t>(MRKTPRICE):</w:t>
      </w:r>
      <w:r>
        <w:rPr/>
        <w:t> It was negatively</w:t>
      </w:r>
      <w:r>
        <w:rPr>
          <w:spacing w:val="-2"/>
        </w:rPr>
        <w:t> </w:t>
      </w:r>
      <w:r>
        <w:rPr/>
        <w:t>and significant related with collector outlet choice at less than 5% significance level. The result also confirmed that, if the household head is earned income from sesame sale the probability of choice of retail outlet decreased by 0.3% relative to wholesaler outlet.</w:t>
      </w:r>
    </w:p>
    <w:p>
      <w:pPr>
        <w:pStyle w:val="BodyText"/>
        <w:ind w:right="224" w:hanging="1"/>
      </w:pPr>
      <w:r>
        <w:rPr>
          <w:b/>
        </w:rPr>
        <w:t>Membership</w:t>
      </w:r>
      <w:r>
        <w:rPr/>
        <w:t> </w:t>
      </w:r>
      <w:r>
        <w:rPr>
          <w:b/>
        </w:rPr>
        <w:t>to</w:t>
      </w:r>
      <w:r>
        <w:rPr/>
        <w:t> </w:t>
      </w:r>
      <w:r>
        <w:rPr>
          <w:b/>
        </w:rPr>
        <w:t>any</w:t>
      </w:r>
      <w:r>
        <w:rPr/>
        <w:t> </w:t>
      </w:r>
      <w:r>
        <w:rPr>
          <w:b/>
        </w:rPr>
        <w:t>Cooperatives</w:t>
      </w:r>
      <w:r>
        <w:rPr/>
        <w:t> </w:t>
      </w:r>
      <w:r>
        <w:rPr>
          <w:b/>
        </w:rPr>
        <w:t>(MCoop)</w:t>
      </w:r>
      <w:r>
        <w:rPr/>
        <w:t>: Membership in any cooperative determines farm household’s market outlet choice decision. As hypothesized the coefficients for this variable is positively and significantly related with collector outlets at 10% significance level. This result indicated that those households who were members of cooperatives the probability of choosing collector outlet increased by 93.7% compared to base category. This is mostly related to the reality that those multipurpose cooperatives passing down production and market information they accessed directly or indirectly to their members.</w:t>
      </w:r>
    </w:p>
    <w:p>
      <w:pPr>
        <w:pStyle w:val="BodyText"/>
        <w:ind w:right="224" w:hanging="1"/>
      </w:pPr>
      <w:r>
        <w:rPr>
          <w:b/>
        </w:rPr>
        <w:t>Credit</w:t>
      </w:r>
      <w:r>
        <w:rPr/>
        <w:t> </w:t>
      </w:r>
      <w:r>
        <w:rPr>
          <w:b/>
        </w:rPr>
        <w:t>Access</w:t>
      </w:r>
      <w:r>
        <w:rPr/>
        <w:t> </w:t>
      </w:r>
      <w:r>
        <w:rPr>
          <w:b/>
        </w:rPr>
        <w:t>(Credit):</w:t>
      </w:r>
      <w:r>
        <w:rPr/>
        <w:t> It was negatively and significant related with retail outlet choice at less than 10% significance level. The result also confirmed that, if the household head had access to credit the probability of choice of collector outlet decreased by 17.3% relative to wholesaler outlet. Credit is related with the wholesale market outlet because sesame requires high capital throughout its production processes; farmers who had more access to credit service produce market-oriented cash crops like sesame to increases and strengthen the linkage with wholesalers.</w:t>
      </w:r>
    </w:p>
    <w:p>
      <w:pPr>
        <w:pStyle w:val="BodyText"/>
        <w:ind w:right="223"/>
      </w:pPr>
      <w:r>
        <w:rPr>
          <w:b/>
        </w:rPr>
        <w:t>Owning</w:t>
      </w:r>
      <w:r>
        <w:rPr/>
        <w:t> </w:t>
      </w:r>
      <w:r>
        <w:rPr>
          <w:b/>
        </w:rPr>
        <w:t>Transport</w:t>
      </w:r>
      <w:r>
        <w:rPr/>
        <w:t> </w:t>
      </w:r>
      <w:r>
        <w:rPr>
          <w:b/>
        </w:rPr>
        <w:t>Facility</w:t>
      </w:r>
      <w:r>
        <w:rPr/>
        <w:t> </w:t>
      </w:r>
      <w:r>
        <w:rPr>
          <w:b/>
        </w:rPr>
        <w:t>(OTran):</w:t>
      </w:r>
      <w:r>
        <w:rPr/>
        <w:t> This</w:t>
      </w:r>
      <w:r>
        <w:rPr>
          <w:spacing w:val="-5"/>
        </w:rPr>
        <w:t> </w:t>
      </w:r>
      <w:r>
        <w:rPr/>
        <w:t>variable</w:t>
      </w:r>
      <w:r>
        <w:rPr>
          <w:spacing w:val="-5"/>
        </w:rPr>
        <w:t> </w:t>
      </w:r>
      <w:r>
        <w:rPr/>
        <w:t>determines</w:t>
      </w:r>
      <w:r>
        <w:rPr>
          <w:spacing w:val="-3"/>
        </w:rPr>
        <w:t> </w:t>
      </w:r>
      <w:r>
        <w:rPr/>
        <w:t>farm</w:t>
      </w:r>
      <w:r>
        <w:rPr>
          <w:spacing w:val="-5"/>
        </w:rPr>
        <w:t> </w:t>
      </w:r>
      <w:r>
        <w:rPr/>
        <w:t>household’s</w:t>
      </w:r>
      <w:r>
        <w:rPr>
          <w:spacing w:val="-3"/>
        </w:rPr>
        <w:t> </w:t>
      </w:r>
      <w:r>
        <w:rPr/>
        <w:t>market</w:t>
      </w:r>
      <w:r>
        <w:rPr>
          <w:spacing w:val="-3"/>
        </w:rPr>
        <w:t> </w:t>
      </w:r>
      <w:r>
        <w:rPr/>
        <w:t>outlet</w:t>
      </w:r>
      <w:r>
        <w:rPr>
          <w:spacing w:val="-5"/>
        </w:rPr>
        <w:t> </w:t>
      </w:r>
      <w:r>
        <w:rPr/>
        <w:t>choice</w:t>
      </w:r>
      <w:r>
        <w:rPr>
          <w:spacing w:val="-5"/>
        </w:rPr>
        <w:t> </w:t>
      </w:r>
      <w:r>
        <w:rPr/>
        <w:t>decision. As hypothesized the coefficients for this variable is negatively and significantly related with collector outlets at 10% significance level. Ownership of transport facilities by farmers decreased the probability of choosing collectors outlet by 18% relative to wholesaler outlet. This might be due to the reason that, farmers who have transport facility could supply their product to local market center and sell to wholesalers directly by getting better price which might go to the collectors. This shows that the availability of transportation facilities helps reduce long market distance constraint, offering greater depth in marketing choices.</w:t>
      </w:r>
    </w:p>
    <w:p>
      <w:pPr>
        <w:pStyle w:val="BodyText"/>
        <w:ind w:right="226"/>
      </w:pPr>
      <w:r>
        <w:rPr>
          <w:b/>
        </w:rPr>
        <w:t>Quantity</w:t>
      </w:r>
      <w:r>
        <w:rPr/>
        <w:t> </w:t>
      </w:r>
      <w:r>
        <w:rPr>
          <w:b/>
        </w:rPr>
        <w:t>of</w:t>
      </w:r>
      <w:r>
        <w:rPr/>
        <w:t> </w:t>
      </w:r>
      <w:r>
        <w:rPr>
          <w:b/>
        </w:rPr>
        <w:t>sesame</w:t>
      </w:r>
      <w:r>
        <w:rPr/>
        <w:t> </w:t>
      </w:r>
      <w:r>
        <w:rPr>
          <w:b/>
        </w:rPr>
        <w:t>produced</w:t>
      </w:r>
      <w:r>
        <w:rPr/>
        <w:t> </w:t>
      </w:r>
      <w:r>
        <w:rPr>
          <w:b/>
        </w:rPr>
        <w:t>(QPron)</w:t>
      </w:r>
      <w:r>
        <w:rPr/>
        <w:t>:</w:t>
      </w:r>
      <w:r>
        <w:rPr>
          <w:spacing w:val="-2"/>
        </w:rPr>
        <w:t> </w:t>
      </w:r>
      <w:r>
        <w:rPr/>
        <w:t>It was</w:t>
      </w:r>
      <w:r>
        <w:rPr>
          <w:spacing w:val="-2"/>
        </w:rPr>
        <w:t> </w:t>
      </w:r>
      <w:r>
        <w:rPr/>
        <w:t>negatively</w:t>
      </w:r>
      <w:r>
        <w:rPr>
          <w:spacing w:val="-3"/>
        </w:rPr>
        <w:t> </w:t>
      </w:r>
      <w:r>
        <w:rPr/>
        <w:t>and significant</w:t>
      </w:r>
      <w:r>
        <w:rPr>
          <w:spacing w:val="-2"/>
        </w:rPr>
        <w:t> </w:t>
      </w:r>
      <w:r>
        <w:rPr/>
        <w:t>related with</w:t>
      </w:r>
      <w:r>
        <w:rPr>
          <w:spacing w:val="-3"/>
        </w:rPr>
        <w:t> </w:t>
      </w:r>
      <w:r>
        <w:rPr/>
        <w:t>cooperative</w:t>
      </w:r>
      <w:r>
        <w:rPr>
          <w:spacing w:val="-1"/>
        </w:rPr>
        <w:t> </w:t>
      </w:r>
      <w:r>
        <w:rPr/>
        <w:t>outlet</w:t>
      </w:r>
      <w:r>
        <w:rPr>
          <w:spacing w:val="-2"/>
        </w:rPr>
        <w:t> </w:t>
      </w:r>
      <w:r>
        <w:rPr/>
        <w:t>choice at less than 5% significance level. The result also confirmed that, if the household head is produced more quantity the probability of choice of cooperative outlet increased by 7.5% relative to wholesaler outlet. Quantity of sesame produced is related with the wholesale market outlet because as the quantity level increases farmers’ ability to post harvests handling activities increases and strengthen the linkage with wholesalers.</w:t>
      </w:r>
    </w:p>
    <w:p>
      <w:pPr>
        <w:pStyle w:val="BodyText"/>
        <w:spacing w:before="5"/>
        <w:ind w:left="0"/>
        <w:jc w:val="left"/>
      </w:pPr>
    </w:p>
    <w:p>
      <w:pPr>
        <w:pStyle w:val="Heading3"/>
        <w:ind w:right="4817"/>
      </w:pPr>
      <w:r>
        <w:rPr/>
        <w:t>Constraints</w:t>
      </w:r>
      <w:r>
        <w:rPr>
          <w:b w:val="0"/>
          <w:spacing w:val="-9"/>
        </w:rPr>
        <w:t> </w:t>
      </w:r>
      <w:r>
        <w:rPr/>
        <w:t>and</w:t>
      </w:r>
      <w:r>
        <w:rPr>
          <w:b w:val="0"/>
          <w:spacing w:val="-8"/>
        </w:rPr>
        <w:t> </w:t>
      </w:r>
      <w:r>
        <w:rPr/>
        <w:t>Opportunities</w:t>
      </w:r>
      <w:r>
        <w:rPr>
          <w:b w:val="0"/>
          <w:spacing w:val="-9"/>
        </w:rPr>
        <w:t> </w:t>
      </w:r>
      <w:r>
        <w:rPr/>
        <w:t>in</w:t>
      </w:r>
      <w:r>
        <w:rPr>
          <w:b w:val="0"/>
          <w:spacing w:val="-8"/>
        </w:rPr>
        <w:t> </w:t>
      </w:r>
      <w:r>
        <w:rPr/>
        <w:t>Sesame</w:t>
      </w:r>
      <w:r>
        <w:rPr>
          <w:b w:val="0"/>
          <w:spacing w:val="-8"/>
        </w:rPr>
        <w:t> </w:t>
      </w:r>
      <w:r>
        <w:rPr/>
        <w:t>Marketing</w:t>
      </w:r>
      <w:r>
        <w:rPr>
          <w:b w:val="0"/>
        </w:rPr>
        <w:t> </w:t>
      </w:r>
      <w:r>
        <w:rPr/>
        <w:t>Marketing</w:t>
      </w:r>
      <w:r>
        <w:rPr>
          <w:b w:val="0"/>
        </w:rPr>
        <w:t> </w:t>
      </w:r>
      <w:r>
        <w:rPr/>
        <w:t>constraints</w:t>
      </w:r>
    </w:p>
    <w:p>
      <w:pPr>
        <w:pStyle w:val="BodyText"/>
        <w:ind w:right="223"/>
      </w:pPr>
      <w:r>
        <w:rPr/>
        <w:t>Almost all sesame producer farmers responded that there were market problems in their area (Table 18). The major sesame marketing constraints are related with non-availability of market/limited access to market, low price of product, and lack of storage, lack of transport, low quality product demand and Lack of Packaging </w:t>
      </w:r>
      <w:r>
        <w:rPr>
          <w:spacing w:val="-2"/>
        </w:rPr>
        <w:t>material.</w:t>
      </w:r>
    </w:p>
    <w:p>
      <w:pPr>
        <w:pStyle w:val="BodyText"/>
        <w:ind w:right="223" w:firstLine="720"/>
      </w:pPr>
      <w:r>
        <w:rPr/>
        <w:t>Again all traders engage in sesame value chain confirmed that there is marketing problems in sesame value chain. The major sesame marketing constraints mentioned by traders are related with the limited power of price setting, the problem of supply shortage, lack of storage facility, problem in information flow, low product quality and lack of support from concerned bodies (Table 18).</w:t>
      </w:r>
    </w:p>
    <w:p>
      <w:pPr>
        <w:pStyle w:val="Heading3"/>
        <w:spacing w:line="228" w:lineRule="exact" w:before="230"/>
      </w:pPr>
      <w:r>
        <w:rPr/>
        <w:t>Problems</w:t>
      </w:r>
      <w:r>
        <w:rPr>
          <w:b w:val="0"/>
          <w:spacing w:val="-7"/>
        </w:rPr>
        <w:t> </w:t>
      </w:r>
      <w:r>
        <w:rPr/>
        <w:t>related</w:t>
      </w:r>
      <w:r>
        <w:rPr>
          <w:b w:val="0"/>
          <w:spacing w:val="-6"/>
        </w:rPr>
        <w:t> </w:t>
      </w:r>
      <w:r>
        <w:rPr/>
        <w:t>to</w:t>
      </w:r>
      <w:r>
        <w:rPr>
          <w:b w:val="0"/>
          <w:spacing w:val="-5"/>
        </w:rPr>
        <w:t> </w:t>
      </w:r>
      <w:r>
        <w:rPr>
          <w:spacing w:val="-2"/>
        </w:rPr>
        <w:t>transport</w:t>
      </w:r>
    </w:p>
    <w:p>
      <w:pPr>
        <w:pStyle w:val="BodyText"/>
        <w:ind w:right="224"/>
      </w:pPr>
      <w:r>
        <w:rPr/>
        <w:t>Out of the major sesame producing areas, Gimbi Woreda is relatively good in terms of road condition, availability</w:t>
      </w:r>
      <w:r>
        <w:rPr>
          <w:spacing w:val="-1"/>
        </w:rPr>
        <w:t> </w:t>
      </w:r>
      <w:r>
        <w:rPr/>
        <w:t>and transport rates. However, these factors are not evenly</w:t>
      </w:r>
      <w:r>
        <w:rPr>
          <w:spacing w:val="-3"/>
        </w:rPr>
        <w:t> </w:t>
      </w:r>
      <w:r>
        <w:rPr/>
        <w:t>distributed to all PKAs and have their own problems. About </w:t>
      </w:r>
      <w:r>
        <w:rPr>
          <w:b/>
        </w:rPr>
        <w:t>15</w:t>
      </w:r>
      <w:r>
        <w:rPr/>
        <w:t> </w:t>
      </w:r>
      <w:r>
        <w:rPr>
          <w:b/>
        </w:rPr>
        <w:t>percent</w:t>
      </w:r>
      <w:r>
        <w:rPr/>
        <w:t> of the assemblers reported that they lack transport for marketing sesame. Many are constrained with lack of all-weather access roads to and fro farming areas that made difficult transporting</w:t>
      </w:r>
      <w:r>
        <w:rPr>
          <w:spacing w:val="80"/>
        </w:rPr>
        <w:t> </w:t>
      </w:r>
      <w:r>
        <w:rPr/>
        <w:t>outputs soon after threshed. The rate of transportation was so high for localities away from the main road. This high transportation cost had implications on the price paid to producers. Beside, at local level there existed seasonal shortage of transport vehicles consequently created high transportation costs.</w:t>
      </w:r>
    </w:p>
    <w:p>
      <w:pPr>
        <w:spacing w:after="0"/>
        <w:sectPr>
          <w:pgSz w:w="11900" w:h="16840"/>
          <w:pgMar w:header="846" w:footer="819" w:top="1640" w:bottom="1000" w:left="1180" w:right="1180"/>
        </w:sectPr>
      </w:pPr>
    </w:p>
    <w:p>
      <w:pPr>
        <w:spacing w:before="103" w:after="3"/>
        <w:ind w:left="240" w:right="0" w:firstLine="0"/>
        <w:jc w:val="both"/>
        <w:rPr>
          <w:b/>
          <w:sz w:val="20"/>
        </w:rPr>
      </w:pPr>
      <w:r>
        <w:rPr>
          <w:b/>
          <w:sz w:val="20"/>
        </w:rPr>
        <w:t>Table</w:t>
      </w:r>
      <w:r>
        <w:rPr>
          <w:spacing w:val="-7"/>
          <w:sz w:val="20"/>
        </w:rPr>
        <w:t> </w:t>
      </w:r>
      <w:r>
        <w:rPr>
          <w:b/>
          <w:sz w:val="20"/>
        </w:rPr>
        <w:t>18.</w:t>
      </w:r>
      <w:r>
        <w:rPr>
          <w:spacing w:val="-8"/>
          <w:sz w:val="20"/>
        </w:rPr>
        <w:t> </w:t>
      </w:r>
      <w:r>
        <w:rPr>
          <w:b/>
          <w:sz w:val="20"/>
        </w:rPr>
        <w:t>Major</w:t>
      </w:r>
      <w:r>
        <w:rPr>
          <w:spacing w:val="-4"/>
          <w:sz w:val="20"/>
        </w:rPr>
        <w:t> </w:t>
      </w:r>
      <w:r>
        <w:rPr>
          <w:b/>
          <w:sz w:val="20"/>
        </w:rPr>
        <w:t>marketing</w:t>
      </w:r>
      <w:r>
        <w:rPr>
          <w:spacing w:val="-6"/>
          <w:sz w:val="20"/>
        </w:rPr>
        <w:t> </w:t>
      </w:r>
      <w:r>
        <w:rPr>
          <w:b/>
          <w:sz w:val="20"/>
        </w:rPr>
        <w:t>constraints</w:t>
      </w:r>
      <w:r>
        <w:rPr>
          <w:spacing w:val="-7"/>
          <w:sz w:val="20"/>
        </w:rPr>
        <w:t> </w:t>
      </w:r>
      <w:r>
        <w:rPr>
          <w:b/>
          <w:sz w:val="20"/>
        </w:rPr>
        <w:t>of</w:t>
      </w:r>
      <w:r>
        <w:rPr>
          <w:spacing w:val="-6"/>
          <w:sz w:val="20"/>
        </w:rPr>
        <w:t> </w:t>
      </w:r>
      <w:r>
        <w:rPr>
          <w:b/>
          <w:sz w:val="20"/>
        </w:rPr>
        <w:t>sesame</w:t>
      </w:r>
      <w:r>
        <w:rPr>
          <w:spacing w:val="-6"/>
          <w:sz w:val="20"/>
        </w:rPr>
        <w:t> </w:t>
      </w:r>
      <w:r>
        <w:rPr>
          <w:b/>
          <w:spacing w:val="-2"/>
          <w:sz w:val="20"/>
        </w:rPr>
        <w:t>producers</w:t>
      </w:r>
    </w:p>
    <w:p>
      <w:pPr>
        <w:pStyle w:val="BodyText"/>
        <w:spacing w:line="28" w:lineRule="exact"/>
        <w:ind w:left="132"/>
        <w:jc w:val="left"/>
        <w:rPr>
          <w:sz w:val="2"/>
        </w:rPr>
      </w:pPr>
      <w:r>
        <w:rPr>
          <w:position w:val="0"/>
          <w:sz w:val="2"/>
        </w:rPr>
        <mc:AlternateContent>
          <mc:Choice Requires="wps">
            <w:drawing>
              <wp:inline distT="0" distB="0" distL="0" distR="0">
                <wp:extent cx="5897880" cy="18415"/>
                <wp:effectExtent l="0" t="0" r="0" b="0"/>
                <wp:docPr id="38" name="Group 38"/>
                <wp:cNvGraphicFramePr>
                  <a:graphicFrameLocks/>
                </wp:cNvGraphicFramePr>
                <a:graphic>
                  <a:graphicData uri="http://schemas.microsoft.com/office/word/2010/wordprocessingGroup">
                    <wpg:wgp>
                      <wpg:cNvPr id="38" name="Group 38"/>
                      <wpg:cNvGrpSpPr/>
                      <wpg:grpSpPr>
                        <a:xfrm>
                          <a:off x="0" y="0"/>
                          <a:ext cx="5897880" cy="18415"/>
                          <a:chExt cx="5897880" cy="18415"/>
                        </a:xfrm>
                      </wpg:grpSpPr>
                      <wps:wsp>
                        <wps:cNvPr id="39" name="Graphic 39"/>
                        <wps:cNvSpPr/>
                        <wps:spPr>
                          <a:xfrm>
                            <a:off x="0" y="4"/>
                            <a:ext cx="5897880" cy="18415"/>
                          </a:xfrm>
                          <a:custGeom>
                            <a:avLst/>
                            <a:gdLst/>
                            <a:ahLst/>
                            <a:cxnLst/>
                            <a:rect l="l" t="t" r="r" b="b"/>
                            <a:pathLst>
                              <a:path w="5897880" h="18415">
                                <a:moveTo>
                                  <a:pt x="5897880" y="12192"/>
                                </a:moveTo>
                                <a:lnTo>
                                  <a:pt x="1990344" y="12192"/>
                                </a:lnTo>
                                <a:lnTo>
                                  <a:pt x="1972056" y="12192"/>
                                </a:lnTo>
                                <a:lnTo>
                                  <a:pt x="0" y="12192"/>
                                </a:lnTo>
                                <a:lnTo>
                                  <a:pt x="0" y="18288"/>
                                </a:lnTo>
                                <a:lnTo>
                                  <a:pt x="1972056" y="18288"/>
                                </a:lnTo>
                                <a:lnTo>
                                  <a:pt x="1990344" y="18288"/>
                                </a:lnTo>
                                <a:lnTo>
                                  <a:pt x="5897880" y="18288"/>
                                </a:lnTo>
                                <a:lnTo>
                                  <a:pt x="5897880" y="12192"/>
                                </a:lnTo>
                                <a:close/>
                              </a:path>
                              <a:path w="5897880" h="18415">
                                <a:moveTo>
                                  <a:pt x="5897880" y="0"/>
                                </a:moveTo>
                                <a:lnTo>
                                  <a:pt x="1990344" y="0"/>
                                </a:lnTo>
                                <a:lnTo>
                                  <a:pt x="1972056" y="0"/>
                                </a:lnTo>
                                <a:lnTo>
                                  <a:pt x="0" y="0"/>
                                </a:lnTo>
                                <a:lnTo>
                                  <a:pt x="0" y="6096"/>
                                </a:lnTo>
                                <a:lnTo>
                                  <a:pt x="1972056" y="6096"/>
                                </a:lnTo>
                                <a:lnTo>
                                  <a:pt x="1990344" y="6096"/>
                                </a:lnTo>
                                <a:lnTo>
                                  <a:pt x="5897880" y="6096"/>
                                </a:lnTo>
                                <a:lnTo>
                                  <a:pt x="5897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4.4pt;height:1.45pt;mso-position-horizontal-relative:char;mso-position-vertical-relative:line" id="docshapegroup35" coordorigin="0,0" coordsize="9288,29">
                <v:shape style="position:absolute;left:0;top:0;width:9288;height:29" id="docshape36" coordorigin="0,0" coordsize="9288,29" path="m9288,19l3134,19,3106,19,0,19,0,29,3106,29,3134,29,9288,29,9288,19xm9288,0l3134,0,3106,0,0,0,0,10,3106,10,3134,10,9288,10,9288,0xe" filled="true" fillcolor="#000000" stroked="false">
                  <v:path arrowok="t"/>
                  <v:fill type="solid"/>
                </v:shape>
              </v:group>
            </w:pict>
          </mc:Fallback>
        </mc:AlternateContent>
      </w:r>
      <w:r>
        <w:rPr>
          <w:position w:val="0"/>
          <w:sz w:val="2"/>
        </w:rPr>
      </w:r>
    </w:p>
    <w:p>
      <w:pPr>
        <w:tabs>
          <w:tab w:pos="3238" w:val="left" w:leader="none"/>
          <w:tab w:pos="5379" w:val="left" w:leader="none"/>
          <w:tab w:pos="9420" w:val="left" w:leader="none"/>
        </w:tabs>
        <w:spacing w:before="0" w:after="28"/>
        <w:ind w:left="339" w:right="0" w:firstLine="0"/>
        <w:jc w:val="both"/>
        <w:rPr>
          <w:sz w:val="20"/>
        </w:rPr>
      </w:pPr>
      <w:r>
        <w:rPr>
          <w:b/>
          <w:sz w:val="20"/>
        </w:rPr>
        <w:t>Major</w:t>
      </w:r>
      <w:r>
        <w:rPr>
          <w:spacing w:val="-2"/>
          <w:sz w:val="20"/>
        </w:rPr>
        <w:t> </w:t>
      </w:r>
      <w:r>
        <w:rPr>
          <w:b/>
          <w:spacing w:val="-2"/>
          <w:sz w:val="20"/>
        </w:rPr>
        <w:t>Problem</w:t>
      </w:r>
      <w:r>
        <w:rPr>
          <w:sz w:val="20"/>
        </w:rPr>
        <w:tab/>
      </w:r>
      <w:r>
        <w:rPr>
          <w:sz w:val="20"/>
          <w:u w:val="single"/>
        </w:rPr>
        <w:tab/>
      </w:r>
      <w:r>
        <w:rPr>
          <w:b/>
          <w:sz w:val="20"/>
          <w:u w:val="single"/>
        </w:rPr>
        <w:t>Total</w:t>
      </w:r>
      <w:r>
        <w:rPr>
          <w:spacing w:val="-7"/>
          <w:sz w:val="20"/>
          <w:u w:val="single"/>
        </w:rPr>
        <w:t> </w:t>
      </w:r>
      <w:r>
        <w:rPr>
          <w:b/>
          <w:sz w:val="20"/>
          <w:u w:val="single"/>
        </w:rPr>
        <w:t>Household</w:t>
      </w:r>
      <w:r>
        <w:rPr>
          <w:spacing w:val="-7"/>
          <w:sz w:val="20"/>
          <w:u w:val="single"/>
        </w:rPr>
        <w:t> </w:t>
      </w:r>
      <w:r>
        <w:rPr>
          <w:b/>
          <w:spacing w:val="-2"/>
          <w:sz w:val="20"/>
          <w:u w:val="single"/>
        </w:rPr>
        <w:t>(127)</w:t>
      </w:r>
      <w:r>
        <w:rPr>
          <w:sz w:val="20"/>
          <w:u w:val="single"/>
        </w:rPr>
        <w:tab/>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6"/>
        <w:gridCol w:w="2731"/>
        <w:gridCol w:w="3176"/>
      </w:tblGrid>
      <w:tr>
        <w:trPr>
          <w:trHeight w:val="222" w:hRule="atLeast"/>
        </w:trPr>
        <w:tc>
          <w:tcPr>
            <w:tcW w:w="3396" w:type="dxa"/>
            <w:tcBorders>
              <w:bottom w:val="double" w:sz="4" w:space="0" w:color="000000"/>
            </w:tcBorders>
          </w:tcPr>
          <w:p>
            <w:pPr>
              <w:pStyle w:val="TableParagraph"/>
              <w:spacing w:line="240" w:lineRule="auto"/>
              <w:jc w:val="left"/>
              <w:rPr>
                <w:sz w:val="14"/>
              </w:rPr>
            </w:pPr>
          </w:p>
        </w:tc>
        <w:tc>
          <w:tcPr>
            <w:tcW w:w="2731" w:type="dxa"/>
            <w:tcBorders>
              <w:bottom w:val="double" w:sz="4" w:space="0" w:color="000000"/>
            </w:tcBorders>
          </w:tcPr>
          <w:p>
            <w:pPr>
              <w:pStyle w:val="TableParagraph"/>
              <w:spacing w:line="202" w:lineRule="exact"/>
              <w:ind w:right="192"/>
              <w:rPr>
                <w:b/>
                <w:sz w:val="20"/>
              </w:rPr>
            </w:pPr>
            <w:r>
              <w:rPr>
                <w:b/>
                <w:spacing w:val="-2"/>
                <w:sz w:val="20"/>
              </w:rPr>
              <w:t>Number</w:t>
            </w:r>
          </w:p>
        </w:tc>
        <w:tc>
          <w:tcPr>
            <w:tcW w:w="3176" w:type="dxa"/>
            <w:tcBorders>
              <w:bottom w:val="double" w:sz="4" w:space="0" w:color="000000"/>
            </w:tcBorders>
          </w:tcPr>
          <w:p>
            <w:pPr>
              <w:pStyle w:val="TableParagraph"/>
              <w:spacing w:line="202" w:lineRule="exact"/>
              <w:ind w:left="82" w:right="2"/>
              <w:rPr>
                <w:b/>
                <w:sz w:val="20"/>
              </w:rPr>
            </w:pPr>
            <w:r>
              <w:rPr>
                <w:b/>
                <w:sz w:val="20"/>
              </w:rPr>
              <w:t>Percent</w:t>
            </w:r>
            <w:r>
              <w:rPr>
                <w:spacing w:val="-7"/>
                <w:sz w:val="20"/>
              </w:rPr>
              <w:t> </w:t>
            </w:r>
            <w:r>
              <w:rPr>
                <w:b/>
                <w:spacing w:val="-5"/>
                <w:sz w:val="20"/>
              </w:rPr>
              <w:t>(%)</w:t>
            </w:r>
          </w:p>
        </w:tc>
      </w:tr>
      <w:tr>
        <w:trPr>
          <w:trHeight w:val="231" w:hRule="atLeast"/>
        </w:trPr>
        <w:tc>
          <w:tcPr>
            <w:tcW w:w="3396" w:type="dxa"/>
            <w:tcBorders>
              <w:top w:val="double" w:sz="4" w:space="0" w:color="000000"/>
            </w:tcBorders>
          </w:tcPr>
          <w:p>
            <w:pPr>
              <w:pStyle w:val="TableParagraph"/>
              <w:spacing w:line="211" w:lineRule="exact"/>
              <w:ind w:left="122"/>
              <w:jc w:val="left"/>
              <w:rPr>
                <w:b/>
                <w:sz w:val="20"/>
              </w:rPr>
            </w:pPr>
            <w:r>
              <w:rPr>
                <w:b/>
                <w:sz w:val="20"/>
              </w:rPr>
              <w:t>Low</w:t>
            </w:r>
            <w:r>
              <w:rPr>
                <w:spacing w:val="-1"/>
                <w:sz w:val="20"/>
              </w:rPr>
              <w:t> </w:t>
            </w:r>
            <w:r>
              <w:rPr>
                <w:b/>
                <w:sz w:val="20"/>
              </w:rPr>
              <w:t>price</w:t>
            </w:r>
            <w:r>
              <w:rPr>
                <w:spacing w:val="-4"/>
                <w:sz w:val="20"/>
              </w:rPr>
              <w:t> </w:t>
            </w:r>
            <w:r>
              <w:rPr>
                <w:b/>
                <w:sz w:val="20"/>
              </w:rPr>
              <w:t>of</w:t>
            </w:r>
            <w:r>
              <w:rPr>
                <w:spacing w:val="-2"/>
                <w:sz w:val="20"/>
              </w:rPr>
              <w:t> </w:t>
            </w:r>
            <w:r>
              <w:rPr>
                <w:b/>
                <w:spacing w:val="-2"/>
                <w:sz w:val="20"/>
              </w:rPr>
              <w:t>products</w:t>
            </w:r>
          </w:p>
        </w:tc>
        <w:tc>
          <w:tcPr>
            <w:tcW w:w="2731" w:type="dxa"/>
            <w:tcBorders>
              <w:top w:val="double" w:sz="4" w:space="0" w:color="000000"/>
            </w:tcBorders>
          </w:tcPr>
          <w:p>
            <w:pPr>
              <w:pStyle w:val="TableParagraph"/>
              <w:spacing w:line="211" w:lineRule="exact"/>
              <w:ind w:left="6" w:right="192"/>
              <w:rPr>
                <w:sz w:val="20"/>
              </w:rPr>
            </w:pPr>
            <w:r>
              <w:rPr>
                <w:spacing w:val="-5"/>
                <w:sz w:val="20"/>
              </w:rPr>
              <w:t>37</w:t>
            </w:r>
          </w:p>
        </w:tc>
        <w:tc>
          <w:tcPr>
            <w:tcW w:w="3176" w:type="dxa"/>
            <w:tcBorders>
              <w:top w:val="double" w:sz="4" w:space="0" w:color="000000"/>
            </w:tcBorders>
          </w:tcPr>
          <w:p>
            <w:pPr>
              <w:pStyle w:val="TableParagraph"/>
              <w:spacing w:line="211" w:lineRule="exact"/>
              <w:ind w:left="82" w:right="3"/>
              <w:rPr>
                <w:sz w:val="20"/>
              </w:rPr>
            </w:pPr>
            <w:r>
              <w:rPr>
                <w:spacing w:val="-4"/>
                <w:sz w:val="20"/>
              </w:rPr>
              <w:t>29.1</w:t>
            </w:r>
          </w:p>
        </w:tc>
      </w:tr>
      <w:tr>
        <w:trPr>
          <w:trHeight w:val="229" w:hRule="atLeast"/>
        </w:trPr>
        <w:tc>
          <w:tcPr>
            <w:tcW w:w="3396" w:type="dxa"/>
          </w:tcPr>
          <w:p>
            <w:pPr>
              <w:pStyle w:val="TableParagraph"/>
              <w:spacing w:line="209" w:lineRule="exact"/>
              <w:ind w:left="122"/>
              <w:jc w:val="left"/>
              <w:rPr>
                <w:b/>
                <w:sz w:val="20"/>
              </w:rPr>
            </w:pPr>
            <w:r>
              <w:rPr>
                <w:b/>
                <w:sz w:val="20"/>
              </w:rPr>
              <w:t>Lack</w:t>
            </w:r>
            <w:r>
              <w:rPr>
                <w:spacing w:val="-7"/>
                <w:sz w:val="20"/>
              </w:rPr>
              <w:t> </w:t>
            </w:r>
            <w:r>
              <w:rPr>
                <w:b/>
                <w:sz w:val="20"/>
              </w:rPr>
              <w:t>of</w:t>
            </w:r>
            <w:r>
              <w:rPr>
                <w:sz w:val="20"/>
              </w:rPr>
              <w:t> </w:t>
            </w:r>
            <w:r>
              <w:rPr>
                <w:b/>
                <w:spacing w:val="-2"/>
                <w:sz w:val="20"/>
              </w:rPr>
              <w:t>storage</w:t>
            </w:r>
          </w:p>
        </w:tc>
        <w:tc>
          <w:tcPr>
            <w:tcW w:w="2731" w:type="dxa"/>
          </w:tcPr>
          <w:p>
            <w:pPr>
              <w:pStyle w:val="TableParagraph"/>
              <w:spacing w:line="209" w:lineRule="exact"/>
              <w:ind w:left="6" w:right="192"/>
              <w:rPr>
                <w:sz w:val="20"/>
              </w:rPr>
            </w:pPr>
            <w:r>
              <w:rPr>
                <w:spacing w:val="-5"/>
                <w:sz w:val="20"/>
              </w:rPr>
              <w:t>26</w:t>
            </w:r>
          </w:p>
        </w:tc>
        <w:tc>
          <w:tcPr>
            <w:tcW w:w="3176" w:type="dxa"/>
          </w:tcPr>
          <w:p>
            <w:pPr>
              <w:pStyle w:val="TableParagraph"/>
              <w:spacing w:line="209" w:lineRule="exact"/>
              <w:ind w:left="82" w:right="3"/>
              <w:rPr>
                <w:sz w:val="20"/>
              </w:rPr>
            </w:pPr>
            <w:r>
              <w:rPr>
                <w:spacing w:val="-4"/>
                <w:sz w:val="20"/>
              </w:rPr>
              <w:t>20.5</w:t>
            </w:r>
          </w:p>
        </w:tc>
      </w:tr>
      <w:tr>
        <w:trPr>
          <w:trHeight w:val="230" w:hRule="atLeast"/>
        </w:trPr>
        <w:tc>
          <w:tcPr>
            <w:tcW w:w="3396" w:type="dxa"/>
          </w:tcPr>
          <w:p>
            <w:pPr>
              <w:pStyle w:val="TableParagraph"/>
              <w:ind w:left="122"/>
              <w:jc w:val="left"/>
              <w:rPr>
                <w:b/>
                <w:sz w:val="20"/>
              </w:rPr>
            </w:pPr>
            <w:r>
              <w:rPr>
                <w:b/>
                <w:sz w:val="20"/>
              </w:rPr>
              <w:t>Low</w:t>
            </w:r>
            <w:r>
              <w:rPr>
                <w:spacing w:val="-2"/>
                <w:sz w:val="20"/>
              </w:rPr>
              <w:t> </w:t>
            </w:r>
            <w:r>
              <w:rPr>
                <w:b/>
                <w:sz w:val="20"/>
              </w:rPr>
              <w:t>quality</w:t>
            </w:r>
            <w:r>
              <w:rPr>
                <w:spacing w:val="-4"/>
                <w:sz w:val="20"/>
              </w:rPr>
              <w:t> </w:t>
            </w:r>
            <w:r>
              <w:rPr>
                <w:b/>
                <w:sz w:val="20"/>
              </w:rPr>
              <w:t>of</w:t>
            </w:r>
            <w:r>
              <w:rPr>
                <w:spacing w:val="-6"/>
                <w:sz w:val="20"/>
              </w:rPr>
              <w:t> </w:t>
            </w:r>
            <w:r>
              <w:rPr>
                <w:b/>
                <w:spacing w:val="-2"/>
                <w:sz w:val="20"/>
              </w:rPr>
              <w:t>product</w:t>
            </w:r>
          </w:p>
        </w:tc>
        <w:tc>
          <w:tcPr>
            <w:tcW w:w="2731" w:type="dxa"/>
          </w:tcPr>
          <w:p>
            <w:pPr>
              <w:pStyle w:val="TableParagraph"/>
              <w:ind w:left="6" w:right="192"/>
              <w:rPr>
                <w:sz w:val="20"/>
              </w:rPr>
            </w:pPr>
            <w:r>
              <w:rPr>
                <w:spacing w:val="-5"/>
                <w:sz w:val="20"/>
              </w:rPr>
              <w:t>24</w:t>
            </w:r>
          </w:p>
        </w:tc>
        <w:tc>
          <w:tcPr>
            <w:tcW w:w="3176" w:type="dxa"/>
          </w:tcPr>
          <w:p>
            <w:pPr>
              <w:pStyle w:val="TableParagraph"/>
              <w:ind w:left="82" w:right="3"/>
              <w:rPr>
                <w:sz w:val="20"/>
              </w:rPr>
            </w:pPr>
            <w:r>
              <w:rPr>
                <w:spacing w:val="-4"/>
                <w:sz w:val="20"/>
              </w:rPr>
              <w:t>18.9</w:t>
            </w:r>
          </w:p>
        </w:tc>
      </w:tr>
      <w:tr>
        <w:trPr>
          <w:trHeight w:val="230" w:hRule="atLeast"/>
        </w:trPr>
        <w:tc>
          <w:tcPr>
            <w:tcW w:w="3396" w:type="dxa"/>
          </w:tcPr>
          <w:p>
            <w:pPr>
              <w:pStyle w:val="TableParagraph"/>
              <w:ind w:left="122"/>
              <w:jc w:val="left"/>
              <w:rPr>
                <w:b/>
                <w:sz w:val="20"/>
              </w:rPr>
            </w:pPr>
            <w:r>
              <w:rPr>
                <w:b/>
                <w:sz w:val="20"/>
              </w:rPr>
              <w:t>Lack</w:t>
            </w:r>
            <w:r>
              <w:rPr>
                <w:spacing w:val="-7"/>
                <w:sz w:val="20"/>
              </w:rPr>
              <w:t> </w:t>
            </w:r>
            <w:r>
              <w:rPr>
                <w:b/>
                <w:sz w:val="20"/>
              </w:rPr>
              <w:t>of</w:t>
            </w:r>
            <w:r>
              <w:rPr>
                <w:sz w:val="20"/>
              </w:rPr>
              <w:t> </w:t>
            </w:r>
            <w:r>
              <w:rPr>
                <w:b/>
                <w:spacing w:val="-2"/>
                <w:sz w:val="20"/>
              </w:rPr>
              <w:t>transport</w:t>
            </w:r>
          </w:p>
        </w:tc>
        <w:tc>
          <w:tcPr>
            <w:tcW w:w="2731" w:type="dxa"/>
          </w:tcPr>
          <w:p>
            <w:pPr>
              <w:pStyle w:val="TableParagraph"/>
              <w:ind w:left="6" w:right="192"/>
              <w:rPr>
                <w:sz w:val="20"/>
              </w:rPr>
            </w:pPr>
            <w:r>
              <w:rPr>
                <w:spacing w:val="-5"/>
                <w:sz w:val="20"/>
              </w:rPr>
              <w:t>19</w:t>
            </w:r>
          </w:p>
        </w:tc>
        <w:tc>
          <w:tcPr>
            <w:tcW w:w="3176" w:type="dxa"/>
          </w:tcPr>
          <w:p>
            <w:pPr>
              <w:pStyle w:val="TableParagraph"/>
              <w:ind w:left="82"/>
              <w:rPr>
                <w:sz w:val="20"/>
              </w:rPr>
            </w:pPr>
            <w:r>
              <w:rPr>
                <w:spacing w:val="-5"/>
                <w:sz w:val="20"/>
              </w:rPr>
              <w:t>15</w:t>
            </w:r>
          </w:p>
        </w:tc>
      </w:tr>
      <w:tr>
        <w:trPr>
          <w:trHeight w:val="230" w:hRule="atLeast"/>
        </w:trPr>
        <w:tc>
          <w:tcPr>
            <w:tcW w:w="3396" w:type="dxa"/>
          </w:tcPr>
          <w:p>
            <w:pPr>
              <w:pStyle w:val="TableParagraph"/>
              <w:ind w:left="122"/>
              <w:jc w:val="left"/>
              <w:rPr>
                <w:b/>
                <w:sz w:val="20"/>
              </w:rPr>
            </w:pPr>
            <w:r>
              <w:rPr>
                <w:b/>
                <w:sz w:val="20"/>
              </w:rPr>
              <w:t>Lack</w:t>
            </w:r>
            <w:r>
              <w:rPr>
                <w:spacing w:val="-8"/>
                <w:sz w:val="20"/>
              </w:rPr>
              <w:t> </w:t>
            </w:r>
            <w:r>
              <w:rPr>
                <w:b/>
                <w:sz w:val="20"/>
              </w:rPr>
              <w:t>of</w:t>
            </w:r>
            <w:r>
              <w:rPr>
                <w:spacing w:val="-3"/>
                <w:sz w:val="20"/>
              </w:rPr>
              <w:t> </w:t>
            </w:r>
            <w:r>
              <w:rPr>
                <w:b/>
                <w:sz w:val="20"/>
              </w:rPr>
              <w:t>Packaging</w:t>
            </w:r>
            <w:r>
              <w:rPr>
                <w:spacing w:val="-1"/>
                <w:sz w:val="20"/>
              </w:rPr>
              <w:t> </w:t>
            </w:r>
            <w:r>
              <w:rPr>
                <w:b/>
                <w:spacing w:val="-2"/>
                <w:sz w:val="20"/>
              </w:rPr>
              <w:t>material</w:t>
            </w:r>
          </w:p>
        </w:tc>
        <w:tc>
          <w:tcPr>
            <w:tcW w:w="2731" w:type="dxa"/>
          </w:tcPr>
          <w:p>
            <w:pPr>
              <w:pStyle w:val="TableParagraph"/>
              <w:ind w:left="6" w:right="192"/>
              <w:rPr>
                <w:sz w:val="20"/>
              </w:rPr>
            </w:pPr>
            <w:r>
              <w:rPr>
                <w:spacing w:val="-5"/>
                <w:sz w:val="20"/>
              </w:rPr>
              <w:t>31</w:t>
            </w:r>
          </w:p>
        </w:tc>
        <w:tc>
          <w:tcPr>
            <w:tcW w:w="3176" w:type="dxa"/>
          </w:tcPr>
          <w:p>
            <w:pPr>
              <w:pStyle w:val="TableParagraph"/>
              <w:ind w:left="82" w:right="3"/>
              <w:rPr>
                <w:sz w:val="20"/>
              </w:rPr>
            </w:pPr>
            <w:r>
              <w:rPr>
                <w:spacing w:val="-4"/>
                <w:sz w:val="20"/>
              </w:rPr>
              <w:t>24.4</w:t>
            </w:r>
          </w:p>
        </w:tc>
      </w:tr>
      <w:tr>
        <w:trPr>
          <w:trHeight w:val="230" w:hRule="atLeast"/>
        </w:trPr>
        <w:tc>
          <w:tcPr>
            <w:tcW w:w="3396" w:type="dxa"/>
          </w:tcPr>
          <w:p>
            <w:pPr>
              <w:pStyle w:val="TableParagraph"/>
              <w:ind w:left="122"/>
              <w:jc w:val="left"/>
              <w:rPr>
                <w:b/>
                <w:sz w:val="20"/>
              </w:rPr>
            </w:pPr>
            <w:r>
              <w:rPr>
                <w:b/>
                <w:sz w:val="20"/>
              </w:rPr>
              <w:t>Lack</w:t>
            </w:r>
            <w:r>
              <w:rPr>
                <w:spacing w:val="-5"/>
                <w:sz w:val="20"/>
              </w:rPr>
              <w:t> </w:t>
            </w:r>
            <w:r>
              <w:rPr>
                <w:b/>
                <w:sz w:val="20"/>
              </w:rPr>
              <w:t>of</w:t>
            </w:r>
            <w:r>
              <w:rPr>
                <w:sz w:val="20"/>
              </w:rPr>
              <w:t> </w:t>
            </w:r>
            <w:r>
              <w:rPr>
                <w:b/>
                <w:spacing w:val="-2"/>
                <w:sz w:val="20"/>
              </w:rPr>
              <w:t>finance</w:t>
            </w:r>
          </w:p>
        </w:tc>
        <w:tc>
          <w:tcPr>
            <w:tcW w:w="2731" w:type="dxa"/>
          </w:tcPr>
          <w:p>
            <w:pPr>
              <w:pStyle w:val="TableParagraph"/>
              <w:ind w:left="6" w:right="192"/>
              <w:rPr>
                <w:sz w:val="20"/>
              </w:rPr>
            </w:pPr>
            <w:r>
              <w:rPr>
                <w:spacing w:val="-5"/>
                <w:sz w:val="20"/>
              </w:rPr>
              <w:t>63</w:t>
            </w:r>
          </w:p>
        </w:tc>
        <w:tc>
          <w:tcPr>
            <w:tcW w:w="3176" w:type="dxa"/>
          </w:tcPr>
          <w:p>
            <w:pPr>
              <w:pStyle w:val="TableParagraph"/>
              <w:ind w:left="82" w:right="3"/>
              <w:rPr>
                <w:sz w:val="20"/>
              </w:rPr>
            </w:pPr>
            <w:r>
              <w:rPr>
                <w:spacing w:val="-4"/>
                <w:sz w:val="20"/>
              </w:rPr>
              <w:t>49.6</w:t>
            </w:r>
          </w:p>
        </w:tc>
      </w:tr>
      <w:tr>
        <w:trPr>
          <w:trHeight w:val="229" w:hRule="atLeast"/>
        </w:trPr>
        <w:tc>
          <w:tcPr>
            <w:tcW w:w="3396" w:type="dxa"/>
            <w:tcBorders>
              <w:bottom w:val="double" w:sz="4" w:space="0" w:color="000000"/>
            </w:tcBorders>
          </w:tcPr>
          <w:p>
            <w:pPr>
              <w:pStyle w:val="TableParagraph"/>
              <w:ind w:left="122"/>
              <w:jc w:val="left"/>
              <w:rPr>
                <w:b/>
                <w:sz w:val="20"/>
              </w:rPr>
            </w:pPr>
            <w:r>
              <w:rPr>
                <w:b/>
                <w:sz w:val="20"/>
              </w:rPr>
              <w:t>Lack</w:t>
            </w:r>
            <w:r>
              <w:rPr>
                <w:spacing w:val="-8"/>
                <w:sz w:val="20"/>
              </w:rPr>
              <w:t> </w:t>
            </w:r>
            <w:r>
              <w:rPr>
                <w:b/>
                <w:sz w:val="20"/>
              </w:rPr>
              <w:t>of</w:t>
            </w:r>
            <w:r>
              <w:rPr>
                <w:spacing w:val="-4"/>
                <w:sz w:val="20"/>
              </w:rPr>
              <w:t> </w:t>
            </w:r>
            <w:r>
              <w:rPr>
                <w:b/>
                <w:sz w:val="20"/>
              </w:rPr>
              <w:t>Extension</w:t>
            </w:r>
            <w:r>
              <w:rPr>
                <w:spacing w:val="-5"/>
                <w:sz w:val="20"/>
              </w:rPr>
              <w:t> </w:t>
            </w:r>
            <w:r>
              <w:rPr>
                <w:b/>
                <w:spacing w:val="-2"/>
                <w:sz w:val="20"/>
              </w:rPr>
              <w:t>service</w:t>
            </w:r>
          </w:p>
        </w:tc>
        <w:tc>
          <w:tcPr>
            <w:tcW w:w="2731" w:type="dxa"/>
            <w:tcBorders>
              <w:bottom w:val="double" w:sz="4" w:space="0" w:color="000000"/>
            </w:tcBorders>
          </w:tcPr>
          <w:p>
            <w:pPr>
              <w:pStyle w:val="TableParagraph"/>
              <w:ind w:left="6" w:right="192"/>
              <w:rPr>
                <w:sz w:val="20"/>
              </w:rPr>
            </w:pPr>
            <w:r>
              <w:rPr>
                <w:spacing w:val="-5"/>
                <w:sz w:val="20"/>
              </w:rPr>
              <w:t>57</w:t>
            </w:r>
          </w:p>
        </w:tc>
        <w:tc>
          <w:tcPr>
            <w:tcW w:w="3176" w:type="dxa"/>
            <w:tcBorders>
              <w:bottom w:val="double" w:sz="4" w:space="0" w:color="000000"/>
            </w:tcBorders>
          </w:tcPr>
          <w:p>
            <w:pPr>
              <w:pStyle w:val="TableParagraph"/>
              <w:ind w:left="82" w:right="3"/>
              <w:rPr>
                <w:sz w:val="20"/>
              </w:rPr>
            </w:pPr>
            <w:r>
              <w:rPr>
                <w:spacing w:val="-4"/>
                <w:sz w:val="20"/>
              </w:rPr>
              <w:t>44.9</w:t>
            </w:r>
          </w:p>
        </w:tc>
      </w:tr>
    </w:tbl>
    <w:p>
      <w:pPr>
        <w:spacing w:line="228" w:lineRule="exact" w:before="0"/>
        <w:ind w:left="240" w:right="0" w:firstLine="0"/>
        <w:jc w:val="both"/>
        <w:rPr>
          <w:b/>
          <w:sz w:val="20"/>
        </w:rPr>
      </w:pPr>
      <w:r>
        <w:rPr>
          <w:b/>
          <w:sz w:val="20"/>
        </w:rPr>
        <w:t>Source:</w:t>
      </w:r>
      <w:r>
        <w:rPr>
          <w:spacing w:val="-6"/>
          <w:sz w:val="20"/>
        </w:rPr>
        <w:t> </w:t>
      </w:r>
      <w:r>
        <w:rPr>
          <w:b/>
          <w:sz w:val="20"/>
        </w:rPr>
        <w:t>Own</w:t>
      </w:r>
      <w:r>
        <w:rPr>
          <w:spacing w:val="-6"/>
          <w:sz w:val="20"/>
        </w:rPr>
        <w:t> </w:t>
      </w:r>
      <w:r>
        <w:rPr>
          <w:b/>
          <w:sz w:val="20"/>
        </w:rPr>
        <w:t>computation</w:t>
      </w:r>
      <w:r>
        <w:rPr>
          <w:spacing w:val="-6"/>
          <w:sz w:val="20"/>
        </w:rPr>
        <w:t> </w:t>
      </w:r>
      <w:r>
        <w:rPr>
          <w:b/>
          <w:sz w:val="20"/>
        </w:rPr>
        <w:t>from</w:t>
      </w:r>
      <w:r>
        <w:rPr>
          <w:spacing w:val="-11"/>
          <w:sz w:val="20"/>
        </w:rPr>
        <w:t> </w:t>
      </w:r>
      <w:r>
        <w:rPr>
          <w:b/>
          <w:sz w:val="20"/>
        </w:rPr>
        <w:t>survey</w:t>
      </w:r>
      <w:r>
        <w:rPr>
          <w:spacing w:val="-5"/>
          <w:sz w:val="20"/>
        </w:rPr>
        <w:t> </w:t>
      </w:r>
      <w:r>
        <w:rPr>
          <w:b/>
          <w:sz w:val="20"/>
        </w:rPr>
        <w:t>result,</w:t>
      </w:r>
      <w:r>
        <w:rPr>
          <w:spacing w:val="-5"/>
          <w:sz w:val="20"/>
        </w:rPr>
        <w:t> </w:t>
      </w:r>
      <w:r>
        <w:rPr>
          <w:b/>
          <w:spacing w:val="-4"/>
          <w:sz w:val="20"/>
        </w:rPr>
        <w:t>2015</w:t>
      </w:r>
    </w:p>
    <w:p>
      <w:pPr>
        <w:pStyle w:val="BodyText"/>
        <w:ind w:right="226"/>
      </w:pPr>
      <w:r>
        <w:rPr>
          <w:b/>
        </w:rPr>
        <w:t>Low</w:t>
      </w:r>
      <w:r>
        <w:rPr/>
        <w:t> </w:t>
      </w:r>
      <w:r>
        <w:rPr>
          <w:b/>
        </w:rPr>
        <w:t>selling</w:t>
      </w:r>
      <w:r>
        <w:rPr/>
        <w:t> </w:t>
      </w:r>
      <w:r>
        <w:rPr>
          <w:b/>
        </w:rPr>
        <w:t>price</w:t>
      </w:r>
      <w:r>
        <w:rPr/>
        <w:t> </w:t>
      </w:r>
      <w:r>
        <w:rPr>
          <w:b/>
        </w:rPr>
        <w:t>of</w:t>
      </w:r>
      <w:r>
        <w:rPr/>
        <w:t> </w:t>
      </w:r>
      <w:r>
        <w:rPr>
          <w:b/>
        </w:rPr>
        <w:t>sesame</w:t>
      </w:r>
      <w:r>
        <w:rPr/>
        <w:t> </w:t>
      </w:r>
      <w:r>
        <w:rPr>
          <w:b/>
        </w:rPr>
        <w:t>seed:</w:t>
      </w:r>
      <w:r>
        <w:rPr/>
        <w:t> sesame</w:t>
      </w:r>
      <w:r>
        <w:rPr>
          <w:spacing w:val="-1"/>
        </w:rPr>
        <w:t> </w:t>
      </w:r>
      <w:r>
        <w:rPr/>
        <w:t>production</w:t>
      </w:r>
      <w:r>
        <w:rPr>
          <w:spacing w:val="-2"/>
        </w:rPr>
        <w:t> </w:t>
      </w:r>
      <w:r>
        <w:rPr/>
        <w:t>is</w:t>
      </w:r>
      <w:r>
        <w:rPr>
          <w:spacing w:val="-1"/>
        </w:rPr>
        <w:t> </w:t>
      </w:r>
      <w:r>
        <w:rPr/>
        <w:t>associated with</w:t>
      </w:r>
      <w:r>
        <w:rPr>
          <w:spacing w:val="-2"/>
        </w:rPr>
        <w:t> </w:t>
      </w:r>
      <w:r>
        <w:rPr/>
        <w:t>high</w:t>
      </w:r>
      <w:r>
        <w:rPr>
          <w:spacing w:val="-2"/>
        </w:rPr>
        <w:t> </w:t>
      </w:r>
      <w:r>
        <w:rPr/>
        <w:t>cost</w:t>
      </w:r>
      <w:r>
        <w:rPr>
          <w:spacing w:val="-1"/>
        </w:rPr>
        <w:t> </w:t>
      </w:r>
      <w:r>
        <w:rPr/>
        <w:t>of</w:t>
      </w:r>
      <w:r>
        <w:rPr>
          <w:spacing w:val="-2"/>
        </w:rPr>
        <w:t> </w:t>
      </w:r>
      <w:r>
        <w:rPr/>
        <w:t>production.</w:t>
      </w:r>
      <w:r>
        <w:rPr>
          <w:spacing w:val="-1"/>
        </w:rPr>
        <w:t> </w:t>
      </w:r>
      <w:r>
        <w:rPr/>
        <w:t>However,</w:t>
      </w:r>
      <w:r>
        <w:rPr>
          <w:spacing w:val="-1"/>
        </w:rPr>
        <w:t> </w:t>
      </w:r>
      <w:r>
        <w:rPr/>
        <w:t>sells price of</w:t>
      </w:r>
      <w:r>
        <w:rPr>
          <w:spacing w:val="-1"/>
        </w:rPr>
        <w:t> </w:t>
      </w:r>
      <w:r>
        <w:rPr/>
        <w:t>seed sesame is reported as low. The survey</w:t>
      </w:r>
      <w:r>
        <w:rPr>
          <w:spacing w:val="-1"/>
        </w:rPr>
        <w:t> </w:t>
      </w:r>
      <w:r>
        <w:rPr/>
        <w:t>result indicated that 29.1 percent of</w:t>
      </w:r>
      <w:r>
        <w:rPr>
          <w:spacing w:val="-1"/>
        </w:rPr>
        <w:t> </w:t>
      </w:r>
      <w:r>
        <w:rPr/>
        <w:t>the producers mentioned low sells price of sesame as one of the major problems in sesame marketing.</w:t>
      </w:r>
    </w:p>
    <w:p>
      <w:pPr>
        <w:pStyle w:val="BodyText"/>
        <w:spacing w:before="2"/>
        <w:ind w:left="0"/>
        <w:jc w:val="left"/>
      </w:pPr>
    </w:p>
    <w:p>
      <w:pPr>
        <w:pStyle w:val="Heading3"/>
        <w:spacing w:line="228" w:lineRule="exact"/>
      </w:pPr>
      <w:r>
        <w:rPr/>
        <w:t>Problems</w:t>
      </w:r>
      <w:r>
        <w:rPr>
          <w:b w:val="0"/>
          <w:spacing w:val="-6"/>
        </w:rPr>
        <w:t> </w:t>
      </w:r>
      <w:r>
        <w:rPr/>
        <w:t>related</w:t>
      </w:r>
      <w:r>
        <w:rPr>
          <w:b w:val="0"/>
          <w:spacing w:val="-5"/>
        </w:rPr>
        <w:t> </w:t>
      </w:r>
      <w:r>
        <w:rPr/>
        <w:t>to</w:t>
      </w:r>
      <w:r>
        <w:rPr>
          <w:b w:val="0"/>
          <w:spacing w:val="-4"/>
        </w:rPr>
        <w:t> </w:t>
      </w:r>
      <w:r>
        <w:rPr/>
        <w:t>access</w:t>
      </w:r>
      <w:r>
        <w:rPr>
          <w:b w:val="0"/>
          <w:spacing w:val="-6"/>
        </w:rPr>
        <w:t> </w:t>
      </w:r>
      <w:r>
        <w:rPr/>
        <w:t>to</w:t>
      </w:r>
      <w:r>
        <w:rPr>
          <w:b w:val="0"/>
          <w:spacing w:val="-4"/>
        </w:rPr>
        <w:t> </w:t>
      </w:r>
      <w:r>
        <w:rPr>
          <w:spacing w:val="-2"/>
        </w:rPr>
        <w:t>service</w:t>
      </w:r>
    </w:p>
    <w:p>
      <w:pPr>
        <w:pStyle w:val="BodyText"/>
        <w:ind w:right="225"/>
      </w:pPr>
      <w:r>
        <w:rPr/>
        <w:t>Though the study finding indicated that 50.4% of producers had access to credit at an interest rate of 25 percent and the major source of credit was Oromia Credit and saving (Micro finance). Majority of respondents cannot</w:t>
      </w:r>
      <w:r>
        <w:rPr>
          <w:spacing w:val="40"/>
        </w:rPr>
        <w:t> </w:t>
      </w:r>
      <w:r>
        <w:rPr/>
        <w:t>get maximum birr from micro finance because of interest rates. Credit facilities are lacking because of the absence of financial institutions in the high potential areas. Hence, shortage of finance was explained as the critical</w:t>
      </w:r>
      <w:r>
        <w:rPr>
          <w:spacing w:val="-1"/>
        </w:rPr>
        <w:t> </w:t>
      </w:r>
      <w:r>
        <w:rPr/>
        <w:t>problem</w:t>
      </w:r>
      <w:r>
        <w:rPr>
          <w:spacing w:val="-4"/>
        </w:rPr>
        <w:t> </w:t>
      </w:r>
      <w:r>
        <w:rPr/>
        <w:t>for both</w:t>
      </w:r>
      <w:r>
        <w:rPr>
          <w:spacing w:val="-2"/>
        </w:rPr>
        <w:t> </w:t>
      </w:r>
      <w:r>
        <w:rPr/>
        <w:t>traders</w:t>
      </w:r>
      <w:r>
        <w:rPr>
          <w:spacing w:val="-1"/>
        </w:rPr>
        <w:t> </w:t>
      </w:r>
      <w:r>
        <w:rPr/>
        <w:t>and producers. The high</w:t>
      </w:r>
      <w:r>
        <w:rPr>
          <w:spacing w:val="-2"/>
        </w:rPr>
        <w:t> </w:t>
      </w:r>
      <w:r>
        <w:rPr/>
        <w:t>percentage share and the incredibly</w:t>
      </w:r>
      <w:r>
        <w:rPr>
          <w:spacing w:val="-4"/>
        </w:rPr>
        <w:t> </w:t>
      </w:r>
      <w:r>
        <w:rPr/>
        <w:t>high</w:t>
      </w:r>
      <w:r>
        <w:rPr>
          <w:spacing w:val="-2"/>
        </w:rPr>
        <w:t> </w:t>
      </w:r>
      <w:r>
        <w:rPr/>
        <w:t>interest</w:t>
      </w:r>
      <w:r>
        <w:rPr>
          <w:spacing w:val="-1"/>
        </w:rPr>
        <w:t> </w:t>
      </w:r>
      <w:r>
        <w:rPr/>
        <w:t>rate of usurers</w:t>
      </w:r>
      <w:r>
        <w:rPr>
          <w:spacing w:val="-3"/>
        </w:rPr>
        <w:t> </w:t>
      </w:r>
      <w:r>
        <w:rPr/>
        <w:t>in</w:t>
      </w:r>
      <w:r>
        <w:rPr>
          <w:spacing w:val="-3"/>
        </w:rPr>
        <w:t> </w:t>
      </w:r>
      <w:r>
        <w:rPr/>
        <w:t>credit</w:t>
      </w:r>
      <w:r>
        <w:rPr>
          <w:spacing w:val="-2"/>
        </w:rPr>
        <w:t> </w:t>
      </w:r>
      <w:r>
        <w:rPr/>
        <w:t>provision</w:t>
      </w:r>
      <w:r>
        <w:rPr>
          <w:spacing w:val="-3"/>
        </w:rPr>
        <w:t> </w:t>
      </w:r>
      <w:r>
        <w:rPr/>
        <w:t>activities</w:t>
      </w:r>
      <w:r>
        <w:rPr>
          <w:spacing w:val="-3"/>
        </w:rPr>
        <w:t> </w:t>
      </w:r>
      <w:r>
        <w:rPr/>
        <w:t>can</w:t>
      </w:r>
      <w:r>
        <w:rPr>
          <w:spacing w:val="-3"/>
        </w:rPr>
        <w:t> </w:t>
      </w:r>
      <w:r>
        <w:rPr/>
        <w:t>be</w:t>
      </w:r>
      <w:r>
        <w:rPr>
          <w:spacing w:val="-2"/>
        </w:rPr>
        <w:t> </w:t>
      </w:r>
      <w:r>
        <w:rPr/>
        <w:t>a</w:t>
      </w:r>
      <w:r>
        <w:rPr>
          <w:spacing w:val="-2"/>
        </w:rPr>
        <w:t> </w:t>
      </w:r>
      <w:r>
        <w:rPr/>
        <w:t>simple</w:t>
      </w:r>
      <w:r>
        <w:rPr>
          <w:spacing w:val="-2"/>
        </w:rPr>
        <w:t> </w:t>
      </w:r>
      <w:r>
        <w:rPr/>
        <w:t>justification</w:t>
      </w:r>
      <w:r>
        <w:rPr>
          <w:spacing w:val="-3"/>
        </w:rPr>
        <w:t> </w:t>
      </w:r>
      <w:r>
        <w:rPr/>
        <w:t>of</w:t>
      </w:r>
      <w:r>
        <w:rPr>
          <w:spacing w:val="-4"/>
        </w:rPr>
        <w:t> </w:t>
      </w:r>
      <w:r>
        <w:rPr/>
        <w:t>the</w:t>
      </w:r>
      <w:r>
        <w:rPr>
          <w:spacing w:val="-2"/>
        </w:rPr>
        <w:t> </w:t>
      </w:r>
      <w:r>
        <w:rPr/>
        <w:t>existence</w:t>
      </w:r>
      <w:r>
        <w:rPr>
          <w:spacing w:val="-2"/>
        </w:rPr>
        <w:t> </w:t>
      </w:r>
      <w:r>
        <w:rPr/>
        <w:t>of</w:t>
      </w:r>
      <w:r>
        <w:rPr>
          <w:spacing w:val="-1"/>
        </w:rPr>
        <w:t> </w:t>
      </w:r>
      <w:r>
        <w:rPr/>
        <w:t>finance</w:t>
      </w:r>
      <w:r>
        <w:rPr>
          <w:spacing w:val="-2"/>
        </w:rPr>
        <w:t> </w:t>
      </w:r>
      <w:r>
        <w:rPr/>
        <w:t>shortage</w:t>
      </w:r>
      <w:r>
        <w:rPr>
          <w:spacing w:val="-2"/>
        </w:rPr>
        <w:t> </w:t>
      </w:r>
      <w:r>
        <w:rPr/>
        <w:t>and</w:t>
      </w:r>
      <w:r>
        <w:rPr>
          <w:spacing w:val="-1"/>
        </w:rPr>
        <w:t> </w:t>
      </w:r>
      <w:r>
        <w:rPr/>
        <w:t>absence of strong development oriented financial institutions. Even though considerable proportion of sampled farmers (83.5%) had access to market information, the quality of market information and timeliness was so uncertain.</w:t>
      </w:r>
      <w:r>
        <w:rPr>
          <w:spacing w:val="40"/>
        </w:rPr>
        <w:t> </w:t>
      </w:r>
      <w:r>
        <w:rPr/>
        <w:t>The information was delivered untimely and was nor reliable. Besides, it was not accessed equally among the channel members.</w:t>
      </w:r>
    </w:p>
    <w:p>
      <w:pPr>
        <w:pStyle w:val="BodyText"/>
        <w:ind w:right="226" w:firstLine="720"/>
      </w:pPr>
      <w:r>
        <w:rPr/>
        <w:t>Historically, extension</w:t>
      </w:r>
      <w:r>
        <w:rPr>
          <w:spacing w:val="-1"/>
        </w:rPr>
        <w:t> </w:t>
      </w:r>
      <w:r>
        <w:rPr/>
        <w:t>services</w:t>
      </w:r>
      <w:r>
        <w:rPr>
          <w:spacing w:val="-1"/>
        </w:rPr>
        <w:t> </w:t>
      </w:r>
      <w:r>
        <w:rPr/>
        <w:t>can</w:t>
      </w:r>
      <w:r>
        <w:rPr>
          <w:spacing w:val="-1"/>
        </w:rPr>
        <w:t> </w:t>
      </w:r>
      <w:r>
        <w:rPr/>
        <w:t>contribute to increase production</w:t>
      </w:r>
      <w:r>
        <w:rPr>
          <w:spacing w:val="-1"/>
        </w:rPr>
        <w:t> </w:t>
      </w:r>
      <w:r>
        <w:rPr/>
        <w:t>and productivity</w:t>
      </w:r>
      <w:r>
        <w:rPr>
          <w:spacing w:val="-4"/>
        </w:rPr>
        <w:t> </w:t>
      </w:r>
      <w:r>
        <w:rPr/>
        <w:t>and thus</w:t>
      </w:r>
      <w:r>
        <w:rPr>
          <w:spacing w:val="-1"/>
        </w:rPr>
        <w:t> </w:t>
      </w:r>
      <w:r>
        <w:rPr/>
        <w:t>increase marketed surplus. In this study we have learnt that only 55.1% of the respondents had access to extension services. The contacts they made with development agents were not regular and consistent. The study result indicated that 44.9% of the respondents reported untimely contact with extension agents, and many of the respondents also explained irregular visits of extension personnel. Besides, from the informal discussion with producers it is learnt that extension agents and sesame producers have equal knowledge about the existing farming practices.</w:t>
      </w:r>
    </w:p>
    <w:p>
      <w:pPr>
        <w:pStyle w:val="BodyText"/>
        <w:ind w:right="223" w:firstLine="720"/>
      </w:pPr>
      <w:r>
        <w:rPr/>
        <w:t>The assignment of extension workers to other pressing duties (settlement etc,) and loose follow up by their respective supervisors have contributed for the weak performance of extension services in the Woreda. Hence; modern extension service that could bring a change must be in place.</w:t>
      </w:r>
    </w:p>
    <w:p>
      <w:pPr>
        <w:pStyle w:val="BodyText"/>
        <w:ind w:right="222"/>
      </w:pPr>
      <w:r>
        <w:rPr>
          <w:b/>
        </w:rPr>
        <w:t>Storage:</w:t>
      </w:r>
      <w:r>
        <w:rPr/>
        <w:t> About 20.5 percent of</w:t>
      </w:r>
      <w:r>
        <w:rPr>
          <w:spacing w:val="-1"/>
        </w:rPr>
        <w:t> </w:t>
      </w:r>
      <w:r>
        <w:rPr/>
        <w:t>the farmers considered unavailability</w:t>
      </w:r>
      <w:r>
        <w:rPr>
          <w:spacing w:val="-1"/>
        </w:rPr>
        <w:t> </w:t>
      </w:r>
      <w:r>
        <w:rPr/>
        <w:t>of storage facility</w:t>
      </w:r>
      <w:r>
        <w:rPr>
          <w:spacing w:val="-3"/>
        </w:rPr>
        <w:t> </w:t>
      </w:r>
      <w:r>
        <w:rPr/>
        <w:t>as a problem, 36 percent indicated it is costly for them to rent storage and 15.5 percent of them reported loss of products at storage as problems. Absence of modern warehouses in the nearby areas has resulted in mishandling of output. Producers are unable to build their own storage devices due to tenure insecurity.</w:t>
      </w:r>
    </w:p>
    <w:p>
      <w:pPr>
        <w:pStyle w:val="BodyText"/>
        <w:ind w:right="225"/>
      </w:pPr>
      <w:r>
        <w:rPr>
          <w:b/>
        </w:rPr>
        <w:t>Packaging</w:t>
      </w:r>
      <w:r>
        <w:rPr/>
        <w:t> </w:t>
      </w:r>
      <w:r>
        <w:rPr>
          <w:b/>
        </w:rPr>
        <w:t>material:</w:t>
      </w:r>
      <w:r>
        <w:rPr/>
        <w:t> the availability, cost and quality of packaging materials were serious issues considered by farmers during the survey. About 24.4 percent of the farmers mentioned unavailability of packaging material (sisal sack), 56.5 percent of them reported high cost of packaging material (sisal sack), 19.1 percent of them mentioned poor quality of packaging materials (sisal as well as polythin sacks) as their major problems on packaging materials issue.</w:t>
      </w:r>
    </w:p>
    <w:p>
      <w:pPr>
        <w:pStyle w:val="BodyText"/>
        <w:spacing w:before="3"/>
        <w:ind w:left="0"/>
        <w:jc w:val="left"/>
      </w:pPr>
    </w:p>
    <w:p>
      <w:pPr>
        <w:pStyle w:val="Heading3"/>
        <w:spacing w:line="227" w:lineRule="exact"/>
      </w:pPr>
      <w:r>
        <w:rPr/>
        <w:t>Marketing</w:t>
      </w:r>
      <w:r>
        <w:rPr>
          <w:b w:val="0"/>
          <w:spacing w:val="-12"/>
        </w:rPr>
        <w:t> </w:t>
      </w:r>
      <w:r>
        <w:rPr>
          <w:spacing w:val="-2"/>
        </w:rPr>
        <w:t>opportunities</w:t>
      </w:r>
    </w:p>
    <w:p>
      <w:pPr>
        <w:pStyle w:val="ListParagraph"/>
        <w:numPr>
          <w:ilvl w:val="0"/>
          <w:numId w:val="2"/>
        </w:numPr>
        <w:tabs>
          <w:tab w:pos="469" w:val="left" w:leader="none"/>
        </w:tabs>
        <w:spacing w:line="240" w:lineRule="auto" w:before="0" w:after="0"/>
        <w:ind w:left="240" w:right="228" w:firstLine="0"/>
        <w:jc w:val="both"/>
        <w:rPr>
          <w:sz w:val="20"/>
        </w:rPr>
      </w:pPr>
      <w:r>
        <w:rPr>
          <w:b/>
          <w:sz w:val="20"/>
        </w:rPr>
        <w:t>Availability</w:t>
      </w:r>
      <w:r>
        <w:rPr>
          <w:sz w:val="20"/>
        </w:rPr>
        <w:t> </w:t>
      </w:r>
      <w:r>
        <w:rPr>
          <w:b/>
          <w:sz w:val="20"/>
        </w:rPr>
        <w:t>of</w:t>
      </w:r>
      <w:r>
        <w:rPr>
          <w:sz w:val="20"/>
        </w:rPr>
        <w:t> </w:t>
      </w:r>
      <w:r>
        <w:rPr>
          <w:b/>
          <w:sz w:val="20"/>
        </w:rPr>
        <w:t>vast</w:t>
      </w:r>
      <w:r>
        <w:rPr>
          <w:sz w:val="20"/>
        </w:rPr>
        <w:t> </w:t>
      </w:r>
      <w:r>
        <w:rPr>
          <w:b/>
          <w:sz w:val="20"/>
        </w:rPr>
        <w:t>potential</w:t>
      </w:r>
      <w:r>
        <w:rPr>
          <w:sz w:val="20"/>
        </w:rPr>
        <w:t> </w:t>
      </w:r>
      <w:r>
        <w:rPr>
          <w:b/>
          <w:sz w:val="20"/>
        </w:rPr>
        <w:t>area</w:t>
      </w:r>
      <w:r>
        <w:rPr>
          <w:sz w:val="20"/>
        </w:rPr>
        <w:t> </w:t>
      </w:r>
      <w:r>
        <w:rPr>
          <w:b/>
          <w:sz w:val="20"/>
        </w:rPr>
        <w:t>for</w:t>
      </w:r>
      <w:r>
        <w:rPr>
          <w:sz w:val="20"/>
        </w:rPr>
        <w:t> </w:t>
      </w:r>
      <w:r>
        <w:rPr>
          <w:b/>
          <w:sz w:val="20"/>
        </w:rPr>
        <w:t>Sesame</w:t>
      </w:r>
      <w:r>
        <w:rPr>
          <w:sz w:val="20"/>
        </w:rPr>
        <w:t> </w:t>
      </w:r>
      <w:r>
        <w:rPr>
          <w:b/>
          <w:sz w:val="20"/>
        </w:rPr>
        <w:t>production</w:t>
      </w:r>
      <w:r>
        <w:rPr>
          <w:sz w:val="20"/>
        </w:rPr>
        <w:t>: Gimbi District is a potential area for sesame production. However, the potential has not yet been utilized due to production as well as marketing constraints.</w:t>
      </w:r>
    </w:p>
    <w:p>
      <w:pPr>
        <w:pStyle w:val="ListParagraph"/>
        <w:numPr>
          <w:ilvl w:val="0"/>
          <w:numId w:val="2"/>
        </w:numPr>
        <w:tabs>
          <w:tab w:pos="460" w:val="left" w:leader="none"/>
        </w:tabs>
        <w:spacing w:line="240" w:lineRule="auto" w:before="0" w:after="0"/>
        <w:ind w:left="240" w:right="225" w:firstLine="0"/>
        <w:jc w:val="both"/>
        <w:rPr>
          <w:sz w:val="20"/>
        </w:rPr>
      </w:pPr>
      <w:r>
        <w:rPr>
          <w:b/>
          <w:sz w:val="20"/>
        </w:rPr>
        <w:t>Availability</w:t>
      </w:r>
      <w:r>
        <w:rPr>
          <w:sz w:val="20"/>
        </w:rPr>
        <w:t> </w:t>
      </w:r>
      <w:r>
        <w:rPr>
          <w:b/>
          <w:sz w:val="20"/>
        </w:rPr>
        <w:t>of</w:t>
      </w:r>
      <w:r>
        <w:rPr>
          <w:sz w:val="20"/>
        </w:rPr>
        <w:t> </w:t>
      </w:r>
      <w:r>
        <w:rPr>
          <w:b/>
          <w:sz w:val="20"/>
        </w:rPr>
        <w:t>labor:</w:t>
      </w:r>
      <w:r>
        <w:rPr>
          <w:sz w:val="20"/>
        </w:rPr>
        <w:t> sesame production is labor-intensive and there is available labor force in the country. From</w:t>
      </w:r>
      <w:r>
        <w:rPr>
          <w:spacing w:val="-3"/>
          <w:sz w:val="20"/>
        </w:rPr>
        <w:t> </w:t>
      </w:r>
      <w:r>
        <w:rPr>
          <w:sz w:val="20"/>
        </w:rPr>
        <w:t>this labor force, some are migrating</w:t>
      </w:r>
      <w:r>
        <w:rPr>
          <w:spacing w:val="-1"/>
          <w:sz w:val="20"/>
        </w:rPr>
        <w:t> </w:t>
      </w:r>
      <w:r>
        <w:rPr>
          <w:sz w:val="20"/>
        </w:rPr>
        <w:t>to Gimbi District in</w:t>
      </w:r>
      <w:r>
        <w:rPr>
          <w:spacing w:val="-1"/>
          <w:sz w:val="20"/>
        </w:rPr>
        <w:t> </w:t>
      </w:r>
      <w:r>
        <w:rPr>
          <w:sz w:val="20"/>
        </w:rPr>
        <w:t>search</w:t>
      </w:r>
      <w:r>
        <w:rPr>
          <w:spacing w:val="-1"/>
          <w:sz w:val="20"/>
        </w:rPr>
        <w:t> </w:t>
      </w:r>
      <w:r>
        <w:rPr>
          <w:sz w:val="20"/>
        </w:rPr>
        <w:t>of</w:t>
      </w:r>
      <w:r>
        <w:rPr>
          <w:spacing w:val="-1"/>
          <w:sz w:val="20"/>
        </w:rPr>
        <w:t> </w:t>
      </w:r>
      <w:r>
        <w:rPr>
          <w:sz w:val="20"/>
        </w:rPr>
        <w:t>job opportunity. Therefore, it is possible to use this labor as major input in the production of sesame. It is possible to make labor an affordable input by increasing the productivity of sesame.</w:t>
      </w:r>
    </w:p>
    <w:p>
      <w:pPr>
        <w:pStyle w:val="ListParagraph"/>
        <w:numPr>
          <w:ilvl w:val="0"/>
          <w:numId w:val="2"/>
        </w:numPr>
        <w:tabs>
          <w:tab w:pos="460" w:val="left" w:leader="none"/>
        </w:tabs>
        <w:spacing w:line="240" w:lineRule="auto" w:before="0" w:after="0"/>
        <w:ind w:left="240" w:right="223" w:firstLine="0"/>
        <w:jc w:val="both"/>
        <w:rPr>
          <w:sz w:val="20"/>
        </w:rPr>
      </w:pPr>
      <w:r>
        <w:rPr>
          <w:b/>
          <w:sz w:val="20"/>
        </w:rPr>
        <w:t>Access</w:t>
      </w:r>
      <w:r>
        <w:rPr>
          <w:sz w:val="20"/>
        </w:rPr>
        <w:t> </w:t>
      </w:r>
      <w:r>
        <w:rPr>
          <w:b/>
          <w:sz w:val="20"/>
        </w:rPr>
        <w:t>to</w:t>
      </w:r>
      <w:r>
        <w:rPr>
          <w:sz w:val="20"/>
        </w:rPr>
        <w:t> </w:t>
      </w:r>
      <w:r>
        <w:rPr>
          <w:b/>
          <w:sz w:val="20"/>
        </w:rPr>
        <w:t>foreign</w:t>
      </w:r>
      <w:r>
        <w:rPr>
          <w:sz w:val="20"/>
        </w:rPr>
        <w:t> </w:t>
      </w:r>
      <w:r>
        <w:rPr>
          <w:b/>
          <w:sz w:val="20"/>
        </w:rPr>
        <w:t>markets:</w:t>
      </w:r>
      <w:r>
        <w:rPr>
          <w:sz w:val="20"/>
        </w:rPr>
        <w:t> As Mbwika (2003) noted, sesame is the most important oil seed export crop in Ethiopia and its contribution to foreign exchange earnings in the country has been increasing over the years. Ethiopia has the advantage of having good local varieties, favorable growing conditions, vast suitable area for sesame growing and relatively cheap labor that are important manual harvest of sesame are few of the</w:t>
      </w:r>
      <w:r>
        <w:rPr>
          <w:spacing w:val="40"/>
          <w:sz w:val="20"/>
        </w:rPr>
        <w:t> </w:t>
      </w:r>
      <w:r>
        <w:rPr>
          <w:sz w:val="20"/>
        </w:rPr>
        <w:t>advantages</w:t>
      </w:r>
      <w:r>
        <w:rPr>
          <w:spacing w:val="36"/>
          <w:sz w:val="20"/>
        </w:rPr>
        <w:t> </w:t>
      </w:r>
      <w:r>
        <w:rPr>
          <w:sz w:val="20"/>
        </w:rPr>
        <w:t>we</w:t>
      </w:r>
      <w:r>
        <w:rPr>
          <w:spacing w:val="35"/>
          <w:sz w:val="20"/>
        </w:rPr>
        <w:t> </w:t>
      </w:r>
      <w:r>
        <w:rPr>
          <w:sz w:val="20"/>
        </w:rPr>
        <w:t>have</w:t>
      </w:r>
      <w:r>
        <w:rPr>
          <w:spacing w:val="35"/>
          <w:sz w:val="20"/>
        </w:rPr>
        <w:t> </w:t>
      </w:r>
      <w:r>
        <w:rPr>
          <w:sz w:val="20"/>
        </w:rPr>
        <w:t>at</w:t>
      </w:r>
      <w:r>
        <w:rPr>
          <w:spacing w:val="34"/>
          <w:sz w:val="20"/>
        </w:rPr>
        <w:t> </w:t>
      </w:r>
      <w:r>
        <w:rPr>
          <w:sz w:val="20"/>
        </w:rPr>
        <w:t>hand.</w:t>
      </w:r>
      <w:r>
        <w:rPr>
          <w:spacing w:val="35"/>
          <w:sz w:val="20"/>
        </w:rPr>
        <w:t> </w:t>
      </w:r>
      <w:r>
        <w:rPr>
          <w:sz w:val="20"/>
        </w:rPr>
        <w:t>Ethiopia</w:t>
      </w:r>
      <w:r>
        <w:rPr>
          <w:spacing w:val="35"/>
          <w:sz w:val="20"/>
        </w:rPr>
        <w:t> </w:t>
      </w:r>
      <w:r>
        <w:rPr>
          <w:sz w:val="20"/>
        </w:rPr>
        <w:t>has</w:t>
      </w:r>
      <w:r>
        <w:rPr>
          <w:spacing w:val="34"/>
          <w:sz w:val="20"/>
        </w:rPr>
        <w:t> </w:t>
      </w:r>
      <w:r>
        <w:rPr>
          <w:sz w:val="20"/>
        </w:rPr>
        <w:t>access</w:t>
      </w:r>
      <w:r>
        <w:rPr>
          <w:spacing w:val="34"/>
          <w:sz w:val="20"/>
        </w:rPr>
        <w:t> </w:t>
      </w:r>
      <w:r>
        <w:rPr>
          <w:sz w:val="20"/>
        </w:rPr>
        <w:t>to</w:t>
      </w:r>
      <w:r>
        <w:rPr>
          <w:spacing w:val="36"/>
          <w:sz w:val="20"/>
        </w:rPr>
        <w:t> </w:t>
      </w:r>
      <w:r>
        <w:rPr>
          <w:sz w:val="20"/>
        </w:rPr>
        <w:t>a</w:t>
      </w:r>
      <w:r>
        <w:rPr>
          <w:spacing w:val="35"/>
          <w:sz w:val="20"/>
        </w:rPr>
        <w:t> </w:t>
      </w:r>
      <w:r>
        <w:rPr>
          <w:sz w:val="20"/>
        </w:rPr>
        <w:t>number</w:t>
      </w:r>
      <w:r>
        <w:rPr>
          <w:spacing w:val="35"/>
          <w:sz w:val="20"/>
        </w:rPr>
        <w:t> </w:t>
      </w:r>
      <w:r>
        <w:rPr>
          <w:sz w:val="20"/>
        </w:rPr>
        <w:t>of</w:t>
      </w:r>
      <w:r>
        <w:rPr>
          <w:spacing w:val="33"/>
          <w:sz w:val="20"/>
        </w:rPr>
        <w:t> </w:t>
      </w:r>
      <w:r>
        <w:rPr>
          <w:sz w:val="20"/>
        </w:rPr>
        <w:t>countries</w:t>
      </w:r>
      <w:r>
        <w:rPr>
          <w:spacing w:val="34"/>
          <w:sz w:val="20"/>
        </w:rPr>
        <w:t> </w:t>
      </w:r>
      <w:r>
        <w:rPr>
          <w:sz w:val="20"/>
        </w:rPr>
        <w:t>to</w:t>
      </w:r>
      <w:r>
        <w:rPr>
          <w:spacing w:val="36"/>
          <w:sz w:val="20"/>
        </w:rPr>
        <w:t> </w:t>
      </w:r>
      <w:r>
        <w:rPr>
          <w:sz w:val="20"/>
        </w:rPr>
        <w:t>export</w:t>
      </w:r>
      <w:r>
        <w:rPr>
          <w:spacing w:val="32"/>
          <w:sz w:val="20"/>
        </w:rPr>
        <w:t> </w:t>
      </w:r>
      <w:r>
        <w:rPr>
          <w:sz w:val="20"/>
        </w:rPr>
        <w:t>sesame</w:t>
      </w:r>
      <w:r>
        <w:rPr>
          <w:spacing w:val="35"/>
          <w:sz w:val="20"/>
        </w:rPr>
        <w:t> </w:t>
      </w:r>
      <w:r>
        <w:rPr>
          <w:sz w:val="20"/>
        </w:rPr>
        <w:t>products.</w:t>
      </w:r>
      <w:r>
        <w:rPr>
          <w:spacing w:val="33"/>
          <w:sz w:val="20"/>
        </w:rPr>
        <w:t> </w:t>
      </w:r>
      <w:r>
        <w:rPr>
          <w:sz w:val="20"/>
        </w:rPr>
        <w:t>The</w:t>
      </w:r>
    </w:p>
    <w:p>
      <w:pPr>
        <w:spacing w:after="0" w:line="240" w:lineRule="auto"/>
        <w:jc w:val="both"/>
        <w:rPr>
          <w:sz w:val="20"/>
        </w:rPr>
        <w:sectPr>
          <w:pgSz w:w="11900" w:h="16840"/>
          <w:pgMar w:header="846" w:footer="819" w:top="1640" w:bottom="1000" w:left="1180" w:right="1180"/>
        </w:sectPr>
      </w:pPr>
    </w:p>
    <w:p>
      <w:pPr>
        <w:pStyle w:val="BodyText"/>
        <w:spacing w:before="98"/>
        <w:ind w:right="226"/>
      </w:pPr>
      <w:r>
        <w:rPr/>
        <w:t>country’s proximity</w:t>
      </w:r>
      <w:r>
        <w:rPr>
          <w:spacing w:val="-1"/>
        </w:rPr>
        <w:t> </w:t>
      </w:r>
      <w:r>
        <w:rPr/>
        <w:t>to Middle East markets also gives it an advantage over some other countries such</w:t>
      </w:r>
      <w:r>
        <w:rPr>
          <w:spacing w:val="-1"/>
        </w:rPr>
        <w:t> </w:t>
      </w:r>
      <w:r>
        <w:rPr/>
        <w:t>as Far and East</w:t>
      </w:r>
      <w:r>
        <w:rPr>
          <w:spacing w:val="-2"/>
        </w:rPr>
        <w:t> </w:t>
      </w:r>
      <w:r>
        <w:rPr/>
        <w:t>countries</w:t>
      </w:r>
      <w:r>
        <w:rPr>
          <w:spacing w:val="-2"/>
        </w:rPr>
        <w:t> </w:t>
      </w:r>
      <w:r>
        <w:rPr/>
        <w:t>(China</w:t>
      </w:r>
      <w:r>
        <w:rPr>
          <w:spacing w:val="-1"/>
        </w:rPr>
        <w:t> </w:t>
      </w:r>
      <w:r>
        <w:rPr/>
        <w:t>and India).</w:t>
      </w:r>
      <w:r>
        <w:rPr>
          <w:spacing w:val="-1"/>
        </w:rPr>
        <w:t> </w:t>
      </w:r>
      <w:r>
        <w:rPr/>
        <w:t>We</w:t>
      </w:r>
      <w:r>
        <w:rPr>
          <w:spacing w:val="-3"/>
        </w:rPr>
        <w:t> </w:t>
      </w:r>
      <w:r>
        <w:rPr/>
        <w:t>can</w:t>
      </w:r>
      <w:r>
        <w:rPr>
          <w:spacing w:val="-2"/>
        </w:rPr>
        <w:t> </w:t>
      </w:r>
      <w:r>
        <w:rPr/>
        <w:t>also take</w:t>
      </w:r>
      <w:r>
        <w:rPr>
          <w:spacing w:val="-1"/>
        </w:rPr>
        <w:t> </w:t>
      </w:r>
      <w:r>
        <w:rPr/>
        <w:t>the</w:t>
      </w:r>
      <w:r>
        <w:rPr>
          <w:spacing w:val="-1"/>
        </w:rPr>
        <w:t> </w:t>
      </w:r>
      <w:r>
        <w:rPr/>
        <w:t>advantage</w:t>
      </w:r>
      <w:r>
        <w:rPr>
          <w:spacing w:val="-1"/>
        </w:rPr>
        <w:t> </w:t>
      </w:r>
      <w:r>
        <w:rPr/>
        <w:t>of</w:t>
      </w:r>
      <w:r>
        <w:rPr>
          <w:spacing w:val="-2"/>
        </w:rPr>
        <w:t> </w:t>
      </w:r>
      <w:r>
        <w:rPr/>
        <w:t>the</w:t>
      </w:r>
      <w:r>
        <w:rPr>
          <w:spacing w:val="-1"/>
        </w:rPr>
        <w:t> </w:t>
      </w:r>
      <w:r>
        <w:rPr/>
        <w:t>Israel market, which</w:t>
      </w:r>
      <w:r>
        <w:rPr>
          <w:spacing w:val="-2"/>
        </w:rPr>
        <w:t> </w:t>
      </w:r>
      <w:r>
        <w:rPr/>
        <w:t>for</w:t>
      </w:r>
      <w:r>
        <w:rPr>
          <w:spacing w:val="-1"/>
        </w:rPr>
        <w:t> </w:t>
      </w:r>
      <w:r>
        <w:rPr/>
        <w:t>political</w:t>
      </w:r>
      <w:r>
        <w:rPr>
          <w:spacing w:val="-2"/>
        </w:rPr>
        <w:t> </w:t>
      </w:r>
      <w:r>
        <w:rPr/>
        <w:t>reasons cannot import from Arab countries such as Sudan (World Bank, 2002).</w:t>
      </w:r>
    </w:p>
    <w:p>
      <w:pPr>
        <w:pStyle w:val="BodyText"/>
        <w:ind w:right="225" w:firstLine="720"/>
      </w:pPr>
      <w:r>
        <w:rPr/>
        <w:t>Given that sesame is largely commercially grown in the country, its level of management is higher</w:t>
      </w:r>
      <w:r>
        <w:rPr>
          <w:spacing w:val="40"/>
        </w:rPr>
        <w:t> </w:t>
      </w:r>
      <w:r>
        <w:rPr/>
        <w:t>when compared to other African countries where production is predominantly by small scale producers. The organic nature of Ethiopian sesame is another preferred trait in the international market which can fetch higher price to the country. Besides, the yearly new ads of exporters into the export market are few of the opportunities that we could explore.</w:t>
      </w:r>
    </w:p>
    <w:p>
      <w:pPr>
        <w:pStyle w:val="BodyText"/>
        <w:ind w:right="228" w:firstLine="720"/>
      </w:pPr>
      <w:r>
        <w:rPr/>
        <w:t>The increasing world demand of sesame by 5% yearly (World bank, 2002) and special offer of free import tariffs by EU countries market made the Ethiopian sesame fortunate and opportunist.</w:t>
      </w:r>
    </w:p>
    <w:p>
      <w:pPr>
        <w:pStyle w:val="BodyText"/>
        <w:spacing w:before="5"/>
        <w:ind w:left="0"/>
        <w:jc w:val="left"/>
      </w:pPr>
    </w:p>
    <w:p>
      <w:pPr>
        <w:pStyle w:val="Heading2"/>
        <w:spacing w:line="240" w:lineRule="auto"/>
        <w:jc w:val="both"/>
      </w:pPr>
      <w:r>
        <w:rPr/>
        <w:t>SUMMARY,</w:t>
      </w:r>
      <w:r>
        <w:rPr>
          <w:b w:val="0"/>
          <w:spacing w:val="-8"/>
        </w:rPr>
        <w:t> </w:t>
      </w:r>
      <w:r>
        <w:rPr/>
        <w:t>CONCLUSION</w:t>
      </w:r>
      <w:r>
        <w:rPr>
          <w:b w:val="0"/>
          <w:spacing w:val="-8"/>
        </w:rPr>
        <w:t> </w:t>
      </w:r>
      <w:r>
        <w:rPr/>
        <w:t>AND</w:t>
      </w:r>
      <w:r>
        <w:rPr>
          <w:b w:val="0"/>
          <w:spacing w:val="-8"/>
        </w:rPr>
        <w:t> </w:t>
      </w:r>
      <w:r>
        <w:rPr>
          <w:spacing w:val="-2"/>
        </w:rPr>
        <w:t>RECOMMENDATIONS</w:t>
      </w:r>
    </w:p>
    <w:p>
      <w:pPr>
        <w:pStyle w:val="Heading3"/>
        <w:spacing w:line="228" w:lineRule="exact" w:before="1"/>
      </w:pPr>
      <w:r>
        <w:rPr/>
        <w:t>Summary</w:t>
      </w:r>
      <w:r>
        <w:rPr>
          <w:b w:val="0"/>
          <w:spacing w:val="-6"/>
        </w:rPr>
        <w:t> </w:t>
      </w:r>
      <w:r>
        <w:rPr/>
        <w:t>and</w:t>
      </w:r>
      <w:r>
        <w:rPr>
          <w:b w:val="0"/>
          <w:spacing w:val="-7"/>
        </w:rPr>
        <w:t> </w:t>
      </w:r>
      <w:r>
        <w:rPr>
          <w:spacing w:val="-2"/>
        </w:rPr>
        <w:t>Conclusion</w:t>
      </w:r>
    </w:p>
    <w:p>
      <w:pPr>
        <w:pStyle w:val="BodyText"/>
        <w:ind w:right="223"/>
      </w:pPr>
      <w:r>
        <w:rPr/>
        <w:t>This study was aimed at analyzing marketing chain of sesame in Gimbi Woreda of Oromia region. The specific objectives of the study include identifying challenges of sesame marketing, marketing channels and factors affecting outlet choice decisions of farm households. The data were generated from both primary and secondary sources. The primary data were collected from individual interview using pre-tested semi-structured questionnaire and checklist. The primary data for this study were collected from 127 randomly selected households from Gimbi Woreda, 17 traders and from 22 consumers. The analysis was made using descriptive statistics and econometric model using SPSS and STATA software. All the sampled households were sesame producers. Market outlet choice decision multinomial logit model (MNL) was applied to analyze factors</w:t>
      </w:r>
      <w:r>
        <w:rPr>
          <w:spacing w:val="40"/>
        </w:rPr>
        <w:t> </w:t>
      </w:r>
      <w:r>
        <w:rPr/>
        <w:t>affecting market outlet choice of farmers for selling sesame in the study areas. Constraints hindering the development of sesame marketing are found in all the stages of the chain. At the farm-level, sesame producers are faced with lack of improved input supply and high postharvest losses. On marketing side, limited access to market, low price of product, lack of storage, lack of transport, and low quality of product are the major </w:t>
      </w:r>
      <w:r>
        <w:rPr>
          <w:spacing w:val="-2"/>
        </w:rPr>
        <w:t>problems.</w:t>
      </w:r>
    </w:p>
    <w:p>
      <w:pPr>
        <w:pStyle w:val="BodyText"/>
        <w:ind w:right="223" w:firstLine="720"/>
      </w:pPr>
      <w:r>
        <w:rPr/>
        <w:t>Sesame producers in the study areas supply their produce through different market outlets. Farmers</w:t>
      </w:r>
      <w:r>
        <w:rPr>
          <w:spacing w:val="40"/>
        </w:rPr>
        <w:t> </w:t>
      </w:r>
      <w:r>
        <w:rPr/>
        <w:t>were classified into three categories according to their outlet choice decision: those who have supplied most of their produce to wholesalers (34.6%); those who have supplied most of their produce to collectors (31.5%); and those farmers who have supplied most of their produce to cooperatives (33.9%). The multinomial logit model was run to identify factors determining farmers’</w:t>
      </w:r>
      <w:r>
        <w:rPr>
          <w:spacing w:val="-5"/>
        </w:rPr>
        <w:t> </w:t>
      </w:r>
      <w:r>
        <w:rPr/>
        <w:t>market outlet choice decision. The model results indicated that the probability to choose the collector outlet was significantly affected by Land, Market price of sesame, Membership to any Cooperatives, Credit Access, and Owning Transport Facility compared to wholesale outlet. Similarly, the probability of choosing cooperative marketing outlet was affected by land and Quantity of sesame produced compared to wholesale outlet. Therefore, availability of credit service can help to facilitate farmers to participate in its production and to produce a significant amount. Broadening and expanding sources of such institutional service is another possible recommendation from the present study, if active participation of smallholder farmers is required in sesame production and marketing in the study area.</w:t>
      </w:r>
    </w:p>
    <w:p>
      <w:pPr>
        <w:pStyle w:val="BodyText"/>
        <w:spacing w:before="1"/>
        <w:ind w:left="0"/>
        <w:jc w:val="left"/>
      </w:pPr>
    </w:p>
    <w:p>
      <w:pPr>
        <w:pStyle w:val="Heading2"/>
      </w:pPr>
      <w:r>
        <w:rPr/>
        <w:t>6.</w:t>
      </w:r>
      <w:r>
        <w:rPr>
          <w:b w:val="0"/>
        </w:rPr>
        <w:t> </w:t>
      </w:r>
      <w:r>
        <w:rPr>
          <w:spacing w:val="-2"/>
        </w:rPr>
        <w:t>REFERENCES</w:t>
      </w:r>
    </w:p>
    <w:p>
      <w:pPr>
        <w:pStyle w:val="BodyText"/>
        <w:ind w:left="1039" w:right="227" w:hanging="800"/>
      </w:pPr>
      <w:r>
        <w:rPr/>
        <w:t>ADLI (Agricultural Development Lead Industrialization), 2001. Rural Development Policies and Strategies: Department of press and Audiovisual, Ministry of Information. Addis Ababa, Ethiopia.</w:t>
      </w:r>
    </w:p>
    <w:p>
      <w:pPr>
        <w:pStyle w:val="BodyText"/>
        <w:ind w:left="1039" w:right="225" w:hanging="800"/>
      </w:pPr>
      <w:r>
        <w:rPr/>
        <w:t>Adugna</w:t>
      </w:r>
      <w:r>
        <w:rPr>
          <w:spacing w:val="-3"/>
        </w:rPr>
        <w:t> </w:t>
      </w:r>
      <w:r>
        <w:rPr/>
        <w:t>Gessesse,</w:t>
      </w:r>
      <w:r>
        <w:rPr>
          <w:spacing w:val="-2"/>
        </w:rPr>
        <w:t> </w:t>
      </w:r>
      <w:r>
        <w:rPr/>
        <w:t>2009.</w:t>
      </w:r>
      <w:r>
        <w:rPr>
          <w:spacing w:val="-2"/>
        </w:rPr>
        <w:t> </w:t>
      </w:r>
      <w:r>
        <w:rPr/>
        <w:t>Analysis</w:t>
      </w:r>
      <w:r>
        <w:rPr>
          <w:spacing w:val="-4"/>
        </w:rPr>
        <w:t> </w:t>
      </w:r>
      <w:r>
        <w:rPr/>
        <w:t>of</w:t>
      </w:r>
      <w:r>
        <w:rPr>
          <w:spacing w:val="-2"/>
        </w:rPr>
        <w:t> </w:t>
      </w:r>
      <w:r>
        <w:rPr/>
        <w:t>fruit</w:t>
      </w:r>
      <w:r>
        <w:rPr>
          <w:spacing w:val="-3"/>
        </w:rPr>
        <w:t> </w:t>
      </w:r>
      <w:r>
        <w:rPr/>
        <w:t>and</w:t>
      </w:r>
      <w:r>
        <w:rPr>
          <w:spacing w:val="-2"/>
        </w:rPr>
        <w:t> </w:t>
      </w:r>
      <w:r>
        <w:rPr/>
        <w:t>vegetable market</w:t>
      </w:r>
      <w:r>
        <w:rPr>
          <w:spacing w:val="-3"/>
        </w:rPr>
        <w:t> </w:t>
      </w:r>
      <w:r>
        <w:rPr/>
        <w:t>chains</w:t>
      </w:r>
      <w:r>
        <w:rPr>
          <w:spacing w:val="-4"/>
        </w:rPr>
        <w:t> </w:t>
      </w:r>
      <w:r>
        <w:rPr/>
        <w:t>in</w:t>
      </w:r>
      <w:r>
        <w:rPr>
          <w:spacing w:val="-2"/>
        </w:rPr>
        <w:t> </w:t>
      </w:r>
      <w:r>
        <w:rPr/>
        <w:t>Alamata,</w:t>
      </w:r>
      <w:r>
        <w:rPr>
          <w:spacing w:val="-2"/>
        </w:rPr>
        <w:t> </w:t>
      </w:r>
      <w:r>
        <w:rPr/>
        <w:t>Southern</w:t>
      </w:r>
      <w:r>
        <w:rPr>
          <w:spacing w:val="-4"/>
        </w:rPr>
        <w:t> </w:t>
      </w:r>
      <w:r>
        <w:rPr/>
        <w:t>Zone</w:t>
      </w:r>
      <w:r>
        <w:rPr>
          <w:spacing w:val="-3"/>
        </w:rPr>
        <w:t> </w:t>
      </w:r>
      <w:r>
        <w:rPr/>
        <w:t>of</w:t>
      </w:r>
      <w:r>
        <w:rPr>
          <w:spacing w:val="-5"/>
        </w:rPr>
        <w:t> </w:t>
      </w:r>
      <w:r>
        <w:rPr/>
        <w:t>Tigray:</w:t>
      </w:r>
      <w:r>
        <w:rPr>
          <w:spacing w:val="-3"/>
        </w:rPr>
        <w:t> </w:t>
      </w:r>
      <w:r>
        <w:rPr/>
        <w:t>The case of onion, tomato and papaya. M.Sc thesis presented to the school of graduate studies, Haramaya University. pp98.Africa, 21:3, 531-554. African Centre for Economic Transformation, </w:t>
      </w:r>
      <w:hyperlink r:id="rId9">
        <w:r>
          <w:rPr>
            <w:spacing w:val="-2"/>
          </w:rPr>
          <w:t>http://acetforafrica.org/</w:t>
        </w:r>
      </w:hyperlink>
    </w:p>
    <w:p>
      <w:pPr>
        <w:pStyle w:val="BodyText"/>
        <w:ind w:left="1039" w:right="226" w:hanging="800"/>
      </w:pPr>
      <w:r>
        <w:rPr/>
        <w:t>Alemu, Dawit and Gerdien W. Meijerink, 2010. Sesame Traders and the ECX: An Overview with Focus on Transaction Costs and Risks, VC4PPD Report #8, Addis Ababa.</w:t>
      </w:r>
    </w:p>
    <w:p>
      <w:pPr>
        <w:pStyle w:val="BodyText"/>
        <w:ind w:left="1039" w:right="224" w:hanging="800"/>
      </w:pPr>
      <w:r>
        <w:rPr/>
        <w:t>Alemu, Dawit, 2009. ‘Role of the Ethiopian Commodity Exchange (ECX) in the Sesame Value chain in Ethiopia’, Final Report, Action Research Program Sesame Value Chain Ethiopia.</w:t>
      </w:r>
    </w:p>
    <w:p>
      <w:pPr>
        <w:pStyle w:val="BodyText"/>
      </w:pPr>
      <w:r>
        <w:rPr/>
        <w:t>Amare,</w:t>
      </w:r>
      <w:r>
        <w:rPr>
          <w:spacing w:val="4"/>
        </w:rPr>
        <w:t> </w:t>
      </w:r>
      <w:r>
        <w:rPr/>
        <w:t>H.</w:t>
      </w:r>
      <w:r>
        <w:rPr>
          <w:spacing w:val="4"/>
        </w:rPr>
        <w:t> </w:t>
      </w:r>
      <w:r>
        <w:rPr/>
        <w:t>S,</w:t>
      </w:r>
      <w:r>
        <w:rPr>
          <w:spacing w:val="4"/>
        </w:rPr>
        <w:t> </w:t>
      </w:r>
      <w:r>
        <w:rPr/>
        <w:t>2009.</w:t>
      </w:r>
      <w:r>
        <w:rPr>
          <w:spacing w:val="2"/>
        </w:rPr>
        <w:t> </w:t>
      </w:r>
      <w:r>
        <w:rPr/>
        <w:t>Production</w:t>
      </w:r>
      <w:r>
        <w:rPr>
          <w:spacing w:val="2"/>
        </w:rPr>
        <w:t> </w:t>
      </w:r>
      <w:r>
        <w:rPr/>
        <w:t>and</w:t>
      </w:r>
      <w:r>
        <w:rPr>
          <w:spacing w:val="5"/>
        </w:rPr>
        <w:t> </w:t>
      </w:r>
      <w:r>
        <w:rPr/>
        <w:t>Marketing</w:t>
      </w:r>
      <w:r>
        <w:rPr>
          <w:spacing w:val="5"/>
        </w:rPr>
        <w:t> </w:t>
      </w:r>
      <w:r>
        <w:rPr/>
        <w:t>Analysis</w:t>
      </w:r>
      <w:r>
        <w:rPr>
          <w:spacing w:val="3"/>
        </w:rPr>
        <w:t> </w:t>
      </w:r>
      <w:r>
        <w:rPr/>
        <w:t>of</w:t>
      </w:r>
      <w:r>
        <w:rPr>
          <w:spacing w:val="3"/>
        </w:rPr>
        <w:t> </w:t>
      </w:r>
      <w:r>
        <w:rPr/>
        <w:t>Sesame</w:t>
      </w:r>
      <w:r>
        <w:rPr>
          <w:spacing w:val="4"/>
        </w:rPr>
        <w:t> </w:t>
      </w:r>
      <w:r>
        <w:rPr/>
        <w:t>in</w:t>
      </w:r>
      <w:r>
        <w:rPr>
          <w:spacing w:val="2"/>
        </w:rPr>
        <w:t> </w:t>
      </w:r>
      <w:r>
        <w:rPr/>
        <w:t>Kafta_Humera</w:t>
      </w:r>
      <w:r>
        <w:rPr>
          <w:spacing w:val="4"/>
        </w:rPr>
        <w:t> </w:t>
      </w:r>
      <w:r>
        <w:rPr/>
        <w:t>Woreda</w:t>
      </w:r>
      <w:r>
        <w:rPr>
          <w:spacing w:val="4"/>
        </w:rPr>
        <w:t> </w:t>
      </w:r>
      <w:r>
        <w:rPr/>
        <w:t>(Western</w:t>
      </w:r>
      <w:r>
        <w:rPr>
          <w:spacing w:val="1"/>
        </w:rPr>
        <w:t> </w:t>
      </w:r>
      <w:r>
        <w:rPr>
          <w:spacing w:val="-2"/>
        </w:rPr>
        <w:t>Tigray).</w:t>
      </w:r>
    </w:p>
    <w:p>
      <w:pPr>
        <w:pStyle w:val="BodyText"/>
        <w:ind w:left="1039"/>
      </w:pPr>
      <w:r>
        <w:rPr/>
        <w:t>Mekelle,</w:t>
      </w:r>
      <w:r>
        <w:rPr>
          <w:spacing w:val="-9"/>
        </w:rPr>
        <w:t> </w:t>
      </w:r>
      <w:r>
        <w:rPr/>
        <w:t>Tigray</w:t>
      </w:r>
      <w:r>
        <w:rPr>
          <w:spacing w:val="-11"/>
        </w:rPr>
        <w:t> </w:t>
      </w:r>
      <w:r>
        <w:rPr/>
        <w:t>Agricultural</w:t>
      </w:r>
      <w:r>
        <w:rPr>
          <w:spacing w:val="-8"/>
        </w:rPr>
        <w:t> </w:t>
      </w:r>
      <w:r>
        <w:rPr/>
        <w:t>Research</w:t>
      </w:r>
      <w:r>
        <w:rPr>
          <w:spacing w:val="-10"/>
        </w:rPr>
        <w:t> </w:t>
      </w:r>
      <w:r>
        <w:rPr/>
        <w:t>Institute</w:t>
      </w:r>
      <w:r>
        <w:rPr>
          <w:spacing w:val="-10"/>
        </w:rPr>
        <w:t> </w:t>
      </w:r>
      <w:r>
        <w:rPr/>
        <w:t>Humera</w:t>
      </w:r>
      <w:r>
        <w:rPr>
          <w:spacing w:val="-7"/>
        </w:rPr>
        <w:t> </w:t>
      </w:r>
      <w:r>
        <w:rPr/>
        <w:t>Agricultural</w:t>
      </w:r>
      <w:r>
        <w:rPr>
          <w:spacing w:val="-10"/>
        </w:rPr>
        <w:t> </w:t>
      </w:r>
      <w:r>
        <w:rPr/>
        <w:t>Research</w:t>
      </w:r>
      <w:r>
        <w:rPr>
          <w:spacing w:val="-10"/>
        </w:rPr>
        <w:t> </w:t>
      </w:r>
      <w:r>
        <w:rPr>
          <w:spacing w:val="-2"/>
        </w:rPr>
        <w:t>Center.</w:t>
      </w:r>
    </w:p>
    <w:p>
      <w:pPr>
        <w:pStyle w:val="BodyText"/>
        <w:ind w:left="1039" w:right="226" w:hanging="800"/>
      </w:pPr>
      <w:r>
        <w:rPr/>
        <w:t>Anandajayasekeram, P. and Berhanu Gebremedhin, 2009. Integrating innovation systems perspective and value chain analysis in agricultural research for development: implications and challenges. Improving Productivity and Market Success (IPMS) of Ethiopian farmers project working paper 16. ILRI (International Livestock Research Institute), Nairobi, Kenya.</w:t>
      </w:r>
    </w:p>
    <w:p>
      <w:pPr>
        <w:pStyle w:val="BodyText"/>
        <w:ind w:left="1039" w:right="227" w:hanging="800"/>
      </w:pPr>
      <w:r>
        <w:rPr/>
        <w:t>Bammann, H., 2007. Participatory value chain analysis for improved farmer incomes, employment opportunities and food security. Pacific Economic Bulletin, 22, (3):125.</w:t>
      </w:r>
    </w:p>
    <w:p>
      <w:pPr>
        <w:pStyle w:val="BodyText"/>
      </w:pPr>
      <w:r>
        <w:rPr/>
        <w:t>Bongiwe</w:t>
      </w:r>
      <w:r>
        <w:rPr>
          <w:spacing w:val="16"/>
        </w:rPr>
        <w:t> </w:t>
      </w:r>
      <w:r>
        <w:rPr/>
        <w:t>G.</w:t>
      </w:r>
      <w:r>
        <w:rPr>
          <w:spacing w:val="16"/>
        </w:rPr>
        <w:t> </w:t>
      </w:r>
      <w:r>
        <w:rPr/>
        <w:t>and</w:t>
      </w:r>
      <w:r>
        <w:rPr>
          <w:spacing w:val="17"/>
        </w:rPr>
        <w:t> </w:t>
      </w:r>
      <w:r>
        <w:rPr/>
        <w:t>B.</w:t>
      </w:r>
      <w:r>
        <w:rPr>
          <w:spacing w:val="16"/>
        </w:rPr>
        <w:t> </w:t>
      </w:r>
      <w:r>
        <w:rPr/>
        <w:t>Masuku,</w:t>
      </w:r>
      <w:r>
        <w:rPr>
          <w:spacing w:val="18"/>
        </w:rPr>
        <w:t> </w:t>
      </w:r>
      <w:r>
        <w:rPr/>
        <w:t>2012.</w:t>
      </w:r>
      <w:r>
        <w:rPr>
          <w:spacing w:val="15"/>
        </w:rPr>
        <w:t> </w:t>
      </w:r>
      <w:r>
        <w:rPr/>
        <w:t>Factors</w:t>
      </w:r>
      <w:r>
        <w:rPr>
          <w:spacing w:val="15"/>
        </w:rPr>
        <w:t> </w:t>
      </w:r>
      <w:r>
        <w:rPr/>
        <w:t>affecting</w:t>
      </w:r>
      <w:r>
        <w:rPr>
          <w:spacing w:val="14"/>
        </w:rPr>
        <w:t> </w:t>
      </w:r>
      <w:r>
        <w:rPr/>
        <w:t>the</w:t>
      </w:r>
      <w:r>
        <w:rPr>
          <w:spacing w:val="16"/>
        </w:rPr>
        <w:t> </w:t>
      </w:r>
      <w:r>
        <w:rPr/>
        <w:t>choice</w:t>
      </w:r>
      <w:r>
        <w:rPr>
          <w:spacing w:val="16"/>
        </w:rPr>
        <w:t> </w:t>
      </w:r>
      <w:r>
        <w:rPr/>
        <w:t>of</w:t>
      </w:r>
      <w:r>
        <w:rPr>
          <w:spacing w:val="16"/>
        </w:rPr>
        <w:t> </w:t>
      </w:r>
      <w:r>
        <w:rPr/>
        <w:t>marketing</w:t>
      </w:r>
      <w:r>
        <w:rPr>
          <w:spacing w:val="14"/>
        </w:rPr>
        <w:t> </w:t>
      </w:r>
      <w:r>
        <w:rPr/>
        <w:t>channel</w:t>
      </w:r>
      <w:r>
        <w:rPr>
          <w:spacing w:val="15"/>
        </w:rPr>
        <w:t> </w:t>
      </w:r>
      <w:r>
        <w:rPr/>
        <w:t>by</w:t>
      </w:r>
      <w:r>
        <w:rPr>
          <w:spacing w:val="15"/>
        </w:rPr>
        <w:t> </w:t>
      </w:r>
      <w:r>
        <w:rPr/>
        <w:t>vegetable</w:t>
      </w:r>
      <w:r>
        <w:rPr>
          <w:spacing w:val="16"/>
        </w:rPr>
        <w:t> </w:t>
      </w:r>
      <w:r>
        <w:rPr/>
        <w:t>farmers</w:t>
      </w:r>
      <w:r>
        <w:rPr>
          <w:spacing w:val="15"/>
        </w:rPr>
        <w:t> </w:t>
      </w:r>
      <w:r>
        <w:rPr>
          <w:spacing w:val="-5"/>
        </w:rPr>
        <w:t>in</w:t>
      </w:r>
    </w:p>
    <w:p>
      <w:pPr>
        <w:spacing w:after="0"/>
        <w:sectPr>
          <w:pgSz w:w="11900" w:h="16840"/>
          <w:pgMar w:header="846" w:footer="819" w:top="1640" w:bottom="1000" w:left="1180" w:right="1180"/>
        </w:sectPr>
      </w:pPr>
    </w:p>
    <w:p>
      <w:pPr>
        <w:pStyle w:val="BodyText"/>
        <w:spacing w:before="98"/>
        <w:ind w:firstLine="799"/>
        <w:jc w:val="left"/>
      </w:pPr>
      <w:r>
        <w:rPr/>
        <w:t>Swaziland. Canadian Center of Science and Education. Sustainable Agriculture Research; 2, (1); 123. Bryceson,</w:t>
      </w:r>
      <w:r>
        <w:rPr>
          <w:spacing w:val="22"/>
        </w:rPr>
        <w:t> </w:t>
      </w:r>
      <w:r>
        <w:rPr/>
        <w:t>K</w:t>
      </w:r>
      <w:r>
        <w:rPr>
          <w:spacing w:val="22"/>
        </w:rPr>
        <w:t> </w:t>
      </w:r>
      <w:r>
        <w:rPr/>
        <w:t>and</w:t>
      </w:r>
      <w:r>
        <w:rPr>
          <w:spacing w:val="24"/>
        </w:rPr>
        <w:t> </w:t>
      </w:r>
      <w:r>
        <w:rPr/>
        <w:t>J.</w:t>
      </w:r>
      <w:r>
        <w:rPr>
          <w:spacing w:val="20"/>
        </w:rPr>
        <w:t> </w:t>
      </w:r>
      <w:r>
        <w:rPr/>
        <w:t>Kandampully,</w:t>
      </w:r>
      <w:r>
        <w:rPr>
          <w:spacing w:val="22"/>
        </w:rPr>
        <w:t> </w:t>
      </w:r>
      <w:r>
        <w:rPr/>
        <w:t>2004.</w:t>
      </w:r>
      <w:r>
        <w:rPr>
          <w:spacing w:val="21"/>
        </w:rPr>
        <w:t> </w:t>
      </w:r>
      <w:r>
        <w:rPr/>
        <w:t>The</w:t>
      </w:r>
      <w:r>
        <w:rPr>
          <w:spacing w:val="22"/>
        </w:rPr>
        <w:t> </w:t>
      </w:r>
      <w:r>
        <w:rPr/>
        <w:t>balancing</w:t>
      </w:r>
      <w:r>
        <w:rPr>
          <w:spacing w:val="22"/>
        </w:rPr>
        <w:t> </w:t>
      </w:r>
      <w:r>
        <w:rPr/>
        <w:t>act:</w:t>
      </w:r>
      <w:r>
        <w:rPr>
          <w:spacing w:val="22"/>
        </w:rPr>
        <w:t> </w:t>
      </w:r>
      <w:r>
        <w:rPr/>
        <w:t>“E”</w:t>
      </w:r>
      <w:r>
        <w:rPr>
          <w:spacing w:val="23"/>
        </w:rPr>
        <w:t> </w:t>
      </w:r>
      <w:r>
        <w:rPr/>
        <w:t>issues</w:t>
      </w:r>
      <w:r>
        <w:rPr>
          <w:spacing w:val="21"/>
        </w:rPr>
        <w:t> </w:t>
      </w:r>
      <w:r>
        <w:rPr/>
        <w:t>in</w:t>
      </w:r>
      <w:r>
        <w:rPr>
          <w:spacing w:val="21"/>
        </w:rPr>
        <w:t> </w:t>
      </w:r>
      <w:r>
        <w:rPr/>
        <w:t>the</w:t>
      </w:r>
      <w:r>
        <w:rPr>
          <w:spacing w:val="23"/>
        </w:rPr>
        <w:t> </w:t>
      </w:r>
      <w:r>
        <w:rPr/>
        <w:t>Australian</w:t>
      </w:r>
      <w:r>
        <w:rPr>
          <w:spacing w:val="23"/>
        </w:rPr>
        <w:t> </w:t>
      </w:r>
      <w:r>
        <w:rPr/>
        <w:t>agri-industry</w:t>
      </w:r>
      <w:r>
        <w:rPr>
          <w:spacing w:val="19"/>
        </w:rPr>
        <w:t> </w:t>
      </w:r>
      <w:r>
        <w:rPr>
          <w:spacing w:val="-2"/>
        </w:rPr>
        <w:t>sector.</w:t>
      </w:r>
    </w:p>
    <w:p>
      <w:pPr>
        <w:pStyle w:val="BodyText"/>
        <w:ind w:left="1039" w:right="259"/>
        <w:jc w:val="left"/>
      </w:pPr>
      <w:r>
        <w:rPr/>
        <w:t>Proceedings of the McMaster World Congress on the Management of Electronic Business, 14–16 Jan 2004, Hamilton, Ontario.</w:t>
      </w:r>
    </w:p>
    <w:p>
      <w:pPr>
        <w:pStyle w:val="BodyText"/>
        <w:ind w:left="1040" w:hanging="800"/>
        <w:jc w:val="left"/>
      </w:pPr>
      <w:r>
        <w:rPr/>
        <w:t>Central</w:t>
      </w:r>
      <w:r>
        <w:rPr>
          <w:spacing w:val="35"/>
        </w:rPr>
        <w:t> </w:t>
      </w:r>
      <w:r>
        <w:rPr/>
        <w:t>Statistical</w:t>
      </w:r>
      <w:r>
        <w:rPr>
          <w:spacing w:val="35"/>
        </w:rPr>
        <w:t> </w:t>
      </w:r>
      <w:r>
        <w:rPr/>
        <w:t>Agency</w:t>
      </w:r>
      <w:r>
        <w:rPr>
          <w:spacing w:val="32"/>
        </w:rPr>
        <w:t> </w:t>
      </w:r>
      <w:r>
        <w:rPr/>
        <w:t>(CSA-2010).Agricultural</w:t>
      </w:r>
      <w:r>
        <w:rPr>
          <w:spacing w:val="33"/>
        </w:rPr>
        <w:t> </w:t>
      </w:r>
      <w:r>
        <w:rPr/>
        <w:t>Sample</w:t>
      </w:r>
      <w:r>
        <w:rPr>
          <w:spacing w:val="33"/>
        </w:rPr>
        <w:t> </w:t>
      </w:r>
      <w:r>
        <w:rPr/>
        <w:t>Survey</w:t>
      </w:r>
      <w:r>
        <w:rPr>
          <w:spacing w:val="32"/>
        </w:rPr>
        <w:t> </w:t>
      </w:r>
      <w:r>
        <w:rPr/>
        <w:t>2009/10:</w:t>
      </w:r>
      <w:r>
        <w:rPr>
          <w:spacing w:val="33"/>
        </w:rPr>
        <w:t> </w:t>
      </w:r>
      <w:r>
        <w:rPr/>
        <w:t>Report</w:t>
      </w:r>
      <w:r>
        <w:rPr>
          <w:spacing w:val="33"/>
        </w:rPr>
        <w:t> </w:t>
      </w:r>
      <w:r>
        <w:rPr/>
        <w:t>on</w:t>
      </w:r>
      <w:r>
        <w:rPr>
          <w:spacing w:val="32"/>
        </w:rPr>
        <w:t> </w:t>
      </w:r>
      <w:r>
        <w:rPr/>
        <w:t>Crop</w:t>
      </w:r>
      <w:r>
        <w:rPr>
          <w:spacing w:val="34"/>
        </w:rPr>
        <w:t> </w:t>
      </w:r>
      <w:r>
        <w:rPr/>
        <w:t>and</w:t>
      </w:r>
      <w:r>
        <w:rPr>
          <w:spacing w:val="37"/>
        </w:rPr>
        <w:t> </w:t>
      </w:r>
      <w:r>
        <w:rPr/>
        <w:t>Livestock Product Utilization, Volume II, Addis Ababa.</w:t>
      </w:r>
    </w:p>
    <w:p>
      <w:pPr>
        <w:pStyle w:val="BodyText"/>
        <w:spacing w:before="1"/>
        <w:ind w:left="1039" w:right="230" w:hanging="800"/>
        <w:jc w:val="left"/>
      </w:pPr>
      <w:r>
        <w:rPr/>
        <w:t>Central Statistical Agency (CSA-2011),</w:t>
      </w:r>
      <w:r>
        <w:rPr>
          <w:spacing w:val="24"/>
        </w:rPr>
        <w:t> </w:t>
      </w:r>
      <w:r>
        <w:rPr/>
        <w:t>Agricultural Sample</w:t>
      </w:r>
      <w:r>
        <w:rPr>
          <w:spacing w:val="24"/>
        </w:rPr>
        <w:t> </w:t>
      </w:r>
      <w:r>
        <w:rPr/>
        <w:t>Survey 2010/2011 (2003 E.C.); Report On Area And Production of Major Crops, Volume I, Statistical Bulletin, April 2011, Addis Ababa.</w:t>
      </w:r>
    </w:p>
    <w:p>
      <w:pPr>
        <w:pStyle w:val="BodyText"/>
        <w:ind w:left="1040" w:hanging="800"/>
        <w:jc w:val="left"/>
      </w:pPr>
      <w:r>
        <w:rPr/>
        <w:t>Central</w:t>
      </w:r>
      <w:r>
        <w:rPr>
          <w:spacing w:val="80"/>
        </w:rPr>
        <w:t> </w:t>
      </w:r>
      <w:r>
        <w:rPr/>
        <w:t>Statistical</w:t>
      </w:r>
      <w:r>
        <w:rPr>
          <w:spacing w:val="80"/>
        </w:rPr>
        <w:t> </w:t>
      </w:r>
      <w:r>
        <w:rPr/>
        <w:t>Agency</w:t>
      </w:r>
      <w:r>
        <w:rPr>
          <w:spacing w:val="80"/>
        </w:rPr>
        <w:t> </w:t>
      </w:r>
      <w:r>
        <w:rPr/>
        <w:t>(CSA-2012).Agricultural</w:t>
      </w:r>
      <w:r>
        <w:rPr>
          <w:spacing w:val="80"/>
        </w:rPr>
        <w:t> </w:t>
      </w:r>
      <w:r>
        <w:rPr/>
        <w:t>Sample</w:t>
      </w:r>
      <w:r>
        <w:rPr>
          <w:spacing w:val="80"/>
        </w:rPr>
        <w:t> </w:t>
      </w:r>
      <w:r>
        <w:rPr/>
        <w:t>Survey</w:t>
      </w:r>
      <w:r>
        <w:rPr>
          <w:spacing w:val="80"/>
        </w:rPr>
        <w:t> </w:t>
      </w:r>
      <w:r>
        <w:rPr/>
        <w:t>2011/2012</w:t>
      </w:r>
      <w:r>
        <w:rPr>
          <w:spacing w:val="80"/>
        </w:rPr>
        <w:t> </w:t>
      </w:r>
      <w:r>
        <w:rPr/>
        <w:t>(2004</w:t>
      </w:r>
      <w:r>
        <w:rPr>
          <w:spacing w:val="80"/>
        </w:rPr>
        <w:t> </w:t>
      </w:r>
      <w:r>
        <w:rPr/>
        <w:t>E.C.),</w:t>
      </w:r>
      <w:r>
        <w:rPr>
          <w:spacing w:val="80"/>
        </w:rPr>
        <w:t> </w:t>
      </w:r>
      <w:r>
        <w:rPr/>
        <w:t>Area</w:t>
      </w:r>
      <w:r>
        <w:rPr>
          <w:spacing w:val="80"/>
        </w:rPr>
        <w:t> </w:t>
      </w:r>
      <w:r>
        <w:rPr/>
        <w:t>and Production of Major Crops, Statistical Bulletin, May 2012, Addis Ababa.</w:t>
      </w:r>
    </w:p>
    <w:p>
      <w:pPr>
        <w:pStyle w:val="BodyText"/>
        <w:jc w:val="left"/>
      </w:pPr>
      <w:r>
        <w:rPr/>
        <w:t>Chauvin,</w:t>
      </w:r>
      <w:r>
        <w:rPr>
          <w:spacing w:val="-5"/>
        </w:rPr>
        <w:t> </w:t>
      </w:r>
      <w:r>
        <w:rPr/>
        <w:t>Nicolas,</w:t>
      </w:r>
      <w:r>
        <w:rPr>
          <w:spacing w:val="-4"/>
        </w:rPr>
        <w:t> </w:t>
      </w:r>
      <w:r>
        <w:rPr/>
        <w:t>2012</w:t>
      </w:r>
      <w:r>
        <w:rPr>
          <w:spacing w:val="-4"/>
        </w:rPr>
        <w:t> </w:t>
      </w:r>
      <w:r>
        <w:rPr/>
        <w:t>.More</w:t>
      </w:r>
      <w:r>
        <w:rPr>
          <w:spacing w:val="-7"/>
        </w:rPr>
        <w:t> </w:t>
      </w:r>
      <w:r>
        <w:rPr/>
        <w:t>cash</w:t>
      </w:r>
      <w:r>
        <w:rPr>
          <w:spacing w:val="-4"/>
        </w:rPr>
        <w:t> </w:t>
      </w:r>
      <w:r>
        <w:rPr/>
        <w:t>from</w:t>
      </w:r>
      <w:r>
        <w:rPr>
          <w:spacing w:val="-9"/>
        </w:rPr>
        <w:t> </w:t>
      </w:r>
      <w:r>
        <w:rPr/>
        <w:t>cash</w:t>
      </w:r>
      <w:r>
        <w:rPr>
          <w:spacing w:val="-5"/>
        </w:rPr>
        <w:t> </w:t>
      </w:r>
      <w:r>
        <w:rPr/>
        <w:t>Crops:</w:t>
      </w:r>
      <w:r>
        <w:rPr>
          <w:spacing w:val="-5"/>
        </w:rPr>
        <w:t> </w:t>
      </w:r>
      <w:r>
        <w:rPr/>
        <w:t>Giving</w:t>
      </w:r>
      <w:r>
        <w:rPr>
          <w:spacing w:val="-4"/>
        </w:rPr>
        <w:t> </w:t>
      </w:r>
      <w:r>
        <w:rPr/>
        <w:t>Farmers</w:t>
      </w:r>
      <w:r>
        <w:rPr>
          <w:spacing w:val="-6"/>
        </w:rPr>
        <w:t> </w:t>
      </w:r>
      <w:r>
        <w:rPr/>
        <w:t>a</w:t>
      </w:r>
      <w:r>
        <w:rPr>
          <w:spacing w:val="-5"/>
        </w:rPr>
        <w:t> </w:t>
      </w:r>
      <w:r>
        <w:rPr/>
        <w:t>Better</w:t>
      </w:r>
      <w:r>
        <w:rPr>
          <w:spacing w:val="-4"/>
        </w:rPr>
        <w:t> </w:t>
      </w:r>
      <w:r>
        <w:rPr/>
        <w:t>Deal</w:t>
      </w:r>
      <w:r>
        <w:rPr>
          <w:spacing w:val="-5"/>
        </w:rPr>
        <w:t> </w:t>
      </w:r>
      <w:r>
        <w:rPr/>
        <w:t>in</w:t>
      </w:r>
      <w:r>
        <w:rPr>
          <w:spacing w:val="-4"/>
        </w:rPr>
        <w:t> </w:t>
      </w:r>
      <w:r>
        <w:rPr>
          <w:spacing w:val="-2"/>
        </w:rPr>
        <w:t>Africa,</w:t>
      </w:r>
    </w:p>
    <w:p>
      <w:pPr>
        <w:pStyle w:val="BodyText"/>
        <w:ind w:left="1040" w:right="226" w:hanging="800"/>
      </w:pPr>
      <w:r>
        <w:rPr/>
        <w:t>CIAT (Centro International de Agricultural Tropical), 2004. Increasing the competitiveness of market chains of smallholder’s producers. Manual, 3: Territorial Approach to Rural Agro Enterprise Development </w:t>
      </w:r>
      <w:r>
        <w:rPr>
          <w:spacing w:val="-2"/>
        </w:rPr>
        <w:t>Project.</w:t>
      </w:r>
    </w:p>
    <w:p>
      <w:pPr>
        <w:pStyle w:val="BodyText"/>
        <w:spacing w:line="229" w:lineRule="exact"/>
      </w:pPr>
      <w:r>
        <w:rPr/>
        <w:t>CSA</w:t>
      </w:r>
      <w:r>
        <w:rPr>
          <w:spacing w:val="18"/>
        </w:rPr>
        <w:t> </w:t>
      </w:r>
      <w:r>
        <w:rPr/>
        <w:t>(Central</w:t>
      </w:r>
      <w:r>
        <w:rPr>
          <w:spacing w:val="20"/>
        </w:rPr>
        <w:t> </w:t>
      </w:r>
      <w:r>
        <w:rPr/>
        <w:t>Statistical</w:t>
      </w:r>
      <w:r>
        <w:rPr>
          <w:spacing w:val="21"/>
        </w:rPr>
        <w:t> </w:t>
      </w:r>
      <w:r>
        <w:rPr/>
        <w:t>Agency),</w:t>
      </w:r>
      <w:r>
        <w:rPr>
          <w:spacing w:val="20"/>
        </w:rPr>
        <w:t> </w:t>
      </w:r>
      <w:r>
        <w:rPr/>
        <w:t>2006.</w:t>
      </w:r>
      <w:r>
        <w:rPr>
          <w:spacing w:val="18"/>
        </w:rPr>
        <w:t> </w:t>
      </w:r>
      <w:r>
        <w:rPr/>
        <w:t>Federal</w:t>
      </w:r>
      <w:r>
        <w:rPr>
          <w:spacing w:val="21"/>
        </w:rPr>
        <w:t> </w:t>
      </w:r>
      <w:r>
        <w:rPr/>
        <w:t>Democratic</w:t>
      </w:r>
      <w:r>
        <w:rPr>
          <w:spacing w:val="20"/>
        </w:rPr>
        <w:t> </w:t>
      </w:r>
      <w:r>
        <w:rPr/>
        <w:t>Republic</w:t>
      </w:r>
      <w:r>
        <w:rPr>
          <w:spacing w:val="20"/>
        </w:rPr>
        <w:t> </w:t>
      </w:r>
      <w:r>
        <w:rPr/>
        <w:t>of</w:t>
      </w:r>
      <w:r>
        <w:rPr>
          <w:spacing w:val="19"/>
        </w:rPr>
        <w:t> </w:t>
      </w:r>
      <w:r>
        <w:rPr/>
        <w:t>Ethiopia.</w:t>
      </w:r>
      <w:r>
        <w:rPr>
          <w:spacing w:val="20"/>
        </w:rPr>
        <w:t> </w:t>
      </w:r>
      <w:r>
        <w:rPr/>
        <w:t>Statistical</w:t>
      </w:r>
      <w:r>
        <w:rPr>
          <w:spacing w:val="22"/>
        </w:rPr>
        <w:t> </w:t>
      </w:r>
      <w:r>
        <w:rPr/>
        <w:t>Abstract.</w:t>
      </w:r>
      <w:r>
        <w:rPr>
          <w:spacing w:val="21"/>
        </w:rPr>
        <w:t> </w:t>
      </w:r>
      <w:r>
        <w:rPr>
          <w:spacing w:val="-2"/>
        </w:rPr>
        <w:t>2005.</w:t>
      </w:r>
    </w:p>
    <w:p>
      <w:pPr>
        <w:pStyle w:val="BodyText"/>
        <w:ind w:left="1040"/>
      </w:pPr>
      <w:r>
        <w:rPr/>
        <w:t>CSA,</w:t>
      </w:r>
      <w:r>
        <w:rPr>
          <w:spacing w:val="-4"/>
        </w:rPr>
        <w:t> </w:t>
      </w:r>
      <w:r>
        <w:rPr/>
        <w:t>Addis</w:t>
      </w:r>
      <w:r>
        <w:rPr>
          <w:spacing w:val="-5"/>
        </w:rPr>
        <w:t> </w:t>
      </w:r>
      <w:r>
        <w:rPr/>
        <w:t>Ababa,</w:t>
      </w:r>
      <w:r>
        <w:rPr>
          <w:spacing w:val="-5"/>
        </w:rPr>
        <w:t> </w:t>
      </w:r>
      <w:r>
        <w:rPr>
          <w:spacing w:val="-2"/>
        </w:rPr>
        <w:t>Ethiopia.</w:t>
      </w:r>
    </w:p>
    <w:p>
      <w:pPr>
        <w:pStyle w:val="BodyText"/>
      </w:pPr>
      <w:r>
        <w:rPr/>
        <w:t>CSA,</w:t>
      </w:r>
      <w:r>
        <w:rPr>
          <w:spacing w:val="-7"/>
        </w:rPr>
        <w:t> </w:t>
      </w:r>
      <w:r>
        <w:rPr/>
        <w:t>July</w:t>
      </w:r>
      <w:r>
        <w:rPr>
          <w:spacing w:val="-8"/>
        </w:rPr>
        <w:t> </w:t>
      </w:r>
      <w:r>
        <w:rPr/>
        <w:t>2007.Agricultural</w:t>
      </w:r>
      <w:r>
        <w:rPr>
          <w:spacing w:val="-5"/>
        </w:rPr>
        <w:t> </w:t>
      </w:r>
      <w:r>
        <w:rPr/>
        <w:t>Sample</w:t>
      </w:r>
      <w:r>
        <w:rPr>
          <w:spacing w:val="-7"/>
        </w:rPr>
        <w:t> </w:t>
      </w:r>
      <w:r>
        <w:rPr/>
        <w:t>Survey</w:t>
      </w:r>
      <w:r>
        <w:rPr>
          <w:spacing w:val="-8"/>
        </w:rPr>
        <w:t> </w:t>
      </w:r>
      <w:r>
        <w:rPr/>
        <w:t>2006-07,</w:t>
      </w:r>
      <w:r>
        <w:rPr>
          <w:spacing w:val="-6"/>
        </w:rPr>
        <w:t> </w:t>
      </w:r>
      <w:r>
        <w:rPr/>
        <w:t>Volume</w:t>
      </w:r>
      <w:r>
        <w:rPr>
          <w:spacing w:val="-7"/>
        </w:rPr>
        <w:t> </w:t>
      </w:r>
      <w:r>
        <w:rPr/>
        <w:t>I,</w:t>
      </w:r>
      <w:r>
        <w:rPr>
          <w:spacing w:val="-6"/>
        </w:rPr>
        <w:t> </w:t>
      </w:r>
      <w:r>
        <w:rPr/>
        <w:t>Addis</w:t>
      </w:r>
      <w:r>
        <w:rPr>
          <w:spacing w:val="-6"/>
        </w:rPr>
        <w:t> </w:t>
      </w:r>
      <w:r>
        <w:rPr>
          <w:spacing w:val="-2"/>
        </w:rPr>
        <w:t>Ababa.</w:t>
      </w:r>
    </w:p>
    <w:p>
      <w:pPr>
        <w:pStyle w:val="BodyText"/>
        <w:spacing w:before="1"/>
        <w:ind w:left="1040" w:right="225" w:hanging="800"/>
      </w:pPr>
      <w:r>
        <w:rPr/>
        <w:t>Daniel Endale, 2008. Investigation of the Genetic Variability among Land Races of Sesame from Ethiopia, MA Thesis, University of Hohenhein, Stuttgart, Germany.</w:t>
      </w:r>
    </w:p>
    <w:p>
      <w:pPr>
        <w:pStyle w:val="BodyText"/>
        <w:ind w:left="1040" w:right="228" w:hanging="800"/>
      </w:pPr>
      <w:r>
        <w:rPr/>
        <w:t>Desta Beyera, 2004. Impact of community managed irrigation on farm production efficiency and household income. The case of Weliso and Wenchi districts of Oromiya Regional State. M.Sc. Thesis Presented</w:t>
      </w:r>
      <w:r>
        <w:rPr>
          <w:spacing w:val="40"/>
        </w:rPr>
        <w:t> </w:t>
      </w:r>
      <w:r>
        <w:rPr/>
        <w:t>to the School of Graduate Studies, Haramaya University. 46p</w:t>
      </w:r>
    </w:p>
    <w:p>
      <w:pPr>
        <w:pStyle w:val="BodyText"/>
        <w:ind w:left="1040" w:right="225" w:hanging="800"/>
      </w:pPr>
      <w:r>
        <w:rPr/>
        <w:t>Emana, Bezabih, 2010. Market assessment and value chain analysis in Benishangul Gumuz Regional State, Ethiopia. SID-Consult-Support Integrated Development, Addis Ababa, Ethiopia.</w:t>
      </w:r>
    </w:p>
    <w:p>
      <w:pPr>
        <w:pStyle w:val="BodyText"/>
        <w:jc w:val="left"/>
      </w:pPr>
      <w:r>
        <w:rPr/>
        <w:t>Ethiopian</w:t>
      </w:r>
      <w:r>
        <w:rPr>
          <w:spacing w:val="-5"/>
        </w:rPr>
        <w:t> </w:t>
      </w:r>
      <w:r>
        <w:rPr/>
        <w:t>Investment</w:t>
      </w:r>
      <w:r>
        <w:rPr>
          <w:spacing w:val="-3"/>
        </w:rPr>
        <w:t> </w:t>
      </w:r>
      <w:r>
        <w:rPr/>
        <w:t>Agency</w:t>
      </w:r>
      <w:r>
        <w:rPr>
          <w:spacing w:val="-5"/>
        </w:rPr>
        <w:t> </w:t>
      </w:r>
      <w:r>
        <w:rPr/>
        <w:t>(EIA,</w:t>
      </w:r>
      <w:r>
        <w:rPr>
          <w:spacing w:val="-4"/>
        </w:rPr>
        <w:t> </w:t>
      </w:r>
      <w:r>
        <w:rPr/>
        <w:t>2012):</w:t>
      </w:r>
      <w:r>
        <w:rPr>
          <w:spacing w:val="-4"/>
        </w:rPr>
        <w:t> </w:t>
      </w:r>
      <w:hyperlink r:id="rId10">
        <w:r>
          <w:rPr/>
          <w:t>http://www.ethioinvest.org/</w:t>
        </w:r>
      </w:hyperlink>
      <w:r>
        <w:rPr>
          <w:spacing w:val="-4"/>
        </w:rPr>
        <w:t> </w:t>
      </w:r>
      <w:r>
        <w:rPr/>
        <w:t>Ethiopia</w:t>
      </w:r>
      <w:r>
        <w:rPr>
          <w:spacing w:val="-4"/>
        </w:rPr>
        <w:t> </w:t>
      </w:r>
      <w:r>
        <w:rPr/>
        <w:t>Investment</w:t>
      </w:r>
      <w:r>
        <w:rPr>
          <w:spacing w:val="-4"/>
        </w:rPr>
        <w:t> </w:t>
      </w:r>
      <w:r>
        <w:rPr/>
        <w:t>Guide_</w:t>
      </w:r>
      <w:r>
        <w:rPr>
          <w:spacing w:val="-4"/>
        </w:rPr>
        <w:t> </w:t>
      </w:r>
      <w:r>
        <w:rPr/>
        <w:t>2012.php/ Ethiopian Revenue and Custom Authority (ERCA), Export Data-2012, </w:t>
      </w:r>
      <w:hyperlink r:id="rId11">
        <w:r>
          <w:rPr/>
          <w:t>www.erca.gov.et.</w:t>
        </w:r>
      </w:hyperlink>
    </w:p>
    <w:p>
      <w:pPr>
        <w:pStyle w:val="BodyText"/>
        <w:spacing w:line="228" w:lineRule="exact"/>
        <w:jc w:val="left"/>
      </w:pPr>
      <w:r>
        <w:rPr/>
        <w:t>Evans,</w:t>
      </w:r>
      <w:r>
        <w:rPr>
          <w:spacing w:val="29"/>
        </w:rPr>
        <w:t> </w:t>
      </w:r>
      <w:r>
        <w:rPr/>
        <w:t>P.</w:t>
      </w:r>
      <w:r>
        <w:rPr>
          <w:spacing w:val="29"/>
        </w:rPr>
        <w:t> </w:t>
      </w:r>
      <w:r>
        <w:rPr/>
        <w:t>and</w:t>
      </w:r>
      <w:r>
        <w:rPr>
          <w:spacing w:val="31"/>
        </w:rPr>
        <w:t> </w:t>
      </w:r>
      <w:r>
        <w:rPr/>
        <w:t>T.</w:t>
      </w:r>
      <w:r>
        <w:rPr>
          <w:spacing w:val="29"/>
        </w:rPr>
        <w:t> </w:t>
      </w:r>
      <w:r>
        <w:rPr/>
        <w:t>Wurster,</w:t>
      </w:r>
      <w:r>
        <w:rPr>
          <w:spacing w:val="29"/>
        </w:rPr>
        <w:t> </w:t>
      </w:r>
      <w:r>
        <w:rPr/>
        <w:t>2000.</w:t>
      </w:r>
      <w:r>
        <w:rPr>
          <w:spacing w:val="28"/>
        </w:rPr>
        <w:t> </w:t>
      </w:r>
      <w:r>
        <w:rPr/>
        <w:t>Blown</w:t>
      </w:r>
      <w:r>
        <w:rPr>
          <w:spacing w:val="27"/>
        </w:rPr>
        <w:t> </w:t>
      </w:r>
      <w:r>
        <w:rPr/>
        <w:t>to</w:t>
      </w:r>
      <w:r>
        <w:rPr>
          <w:spacing w:val="30"/>
        </w:rPr>
        <w:t> </w:t>
      </w:r>
      <w:r>
        <w:rPr/>
        <w:t>bits:</w:t>
      </w:r>
      <w:r>
        <w:rPr>
          <w:spacing w:val="29"/>
        </w:rPr>
        <w:t> </w:t>
      </w:r>
      <w:r>
        <w:rPr/>
        <w:t>How</w:t>
      </w:r>
      <w:r>
        <w:rPr>
          <w:spacing w:val="26"/>
        </w:rPr>
        <w:t> </w:t>
      </w:r>
      <w:r>
        <w:rPr/>
        <w:t>the</w:t>
      </w:r>
      <w:r>
        <w:rPr>
          <w:spacing w:val="32"/>
        </w:rPr>
        <w:t> </w:t>
      </w:r>
      <w:r>
        <w:rPr/>
        <w:t>new</w:t>
      </w:r>
      <w:r>
        <w:rPr>
          <w:spacing w:val="26"/>
        </w:rPr>
        <w:t> </w:t>
      </w:r>
      <w:r>
        <w:rPr/>
        <w:t>economies</w:t>
      </w:r>
      <w:r>
        <w:rPr>
          <w:spacing w:val="29"/>
        </w:rPr>
        <w:t> </w:t>
      </w:r>
      <w:r>
        <w:rPr/>
        <w:t>of</w:t>
      </w:r>
      <w:r>
        <w:rPr>
          <w:spacing w:val="27"/>
        </w:rPr>
        <w:t> </w:t>
      </w:r>
      <w:r>
        <w:rPr/>
        <w:t>information</w:t>
      </w:r>
      <w:r>
        <w:rPr>
          <w:spacing w:val="28"/>
        </w:rPr>
        <w:t> </w:t>
      </w:r>
      <w:r>
        <w:rPr/>
        <w:t>transform</w:t>
      </w:r>
      <w:r>
        <w:rPr>
          <w:spacing w:val="27"/>
        </w:rPr>
        <w:t> </w:t>
      </w:r>
      <w:r>
        <w:rPr>
          <w:spacing w:val="-2"/>
        </w:rPr>
        <w:t>strategy.</w:t>
      </w:r>
    </w:p>
    <w:p>
      <w:pPr>
        <w:pStyle w:val="BodyText"/>
        <w:spacing w:before="1"/>
        <w:ind w:left="1040"/>
        <w:jc w:val="left"/>
      </w:pPr>
      <w:r>
        <w:rPr/>
        <w:t>Harvard</w:t>
      </w:r>
      <w:r>
        <w:rPr>
          <w:spacing w:val="-9"/>
        </w:rPr>
        <w:t> </w:t>
      </w:r>
      <w:r>
        <w:rPr/>
        <w:t>Business</w:t>
      </w:r>
      <w:r>
        <w:rPr>
          <w:spacing w:val="-10"/>
        </w:rPr>
        <w:t> </w:t>
      </w:r>
      <w:r>
        <w:rPr/>
        <w:t>Scholl</w:t>
      </w:r>
      <w:r>
        <w:rPr>
          <w:spacing w:val="-9"/>
        </w:rPr>
        <w:t> </w:t>
      </w:r>
      <w:r>
        <w:rPr/>
        <w:t>Press,</w:t>
      </w:r>
      <w:r>
        <w:rPr>
          <w:spacing w:val="-9"/>
        </w:rPr>
        <w:t> </w:t>
      </w:r>
      <w:r>
        <w:rPr/>
        <w:t>Cambridge,</w:t>
      </w:r>
      <w:r>
        <w:rPr>
          <w:spacing w:val="-9"/>
        </w:rPr>
        <w:t> </w:t>
      </w:r>
      <w:r>
        <w:rPr/>
        <w:t>Massachusetts,</w:t>
      </w:r>
      <w:r>
        <w:rPr>
          <w:spacing w:val="-6"/>
        </w:rPr>
        <w:t> </w:t>
      </w:r>
      <w:r>
        <w:rPr>
          <w:spacing w:val="-4"/>
        </w:rPr>
        <w:t>USA.</w:t>
      </w:r>
    </w:p>
    <w:p>
      <w:pPr>
        <w:pStyle w:val="BodyText"/>
        <w:ind w:left="1040" w:right="223" w:hanging="800"/>
      </w:pPr>
      <w:r>
        <w:rPr/>
        <w:t>Fakoya, O., M. Agbonlahor and A. Dipeolu, 2007. Attitude of women farmers towards sustainable land management practices in South-Western Nigeria. </w:t>
      </w:r>
      <w:r>
        <w:rPr>
          <w:i/>
        </w:rPr>
        <w:t>World</w:t>
      </w:r>
      <w:r>
        <w:rPr/>
        <w:t> </w:t>
      </w:r>
      <w:r>
        <w:rPr>
          <w:i/>
        </w:rPr>
        <w:t>Journal</w:t>
      </w:r>
      <w:r>
        <w:rPr/>
        <w:t> </w:t>
      </w:r>
      <w:r>
        <w:rPr>
          <w:i/>
        </w:rPr>
        <w:t>of</w:t>
      </w:r>
      <w:r>
        <w:rPr/>
        <w:t> </w:t>
      </w:r>
      <w:r>
        <w:rPr>
          <w:i/>
        </w:rPr>
        <w:t>Agricultural</w:t>
      </w:r>
      <w:r>
        <w:rPr/>
        <w:t> </w:t>
      </w:r>
      <w:r>
        <w:rPr>
          <w:i/>
        </w:rPr>
        <w:t>Sciences</w:t>
      </w:r>
      <w:r>
        <w:rPr/>
        <w:t>, 3(4): 536- </w:t>
      </w:r>
      <w:r>
        <w:rPr>
          <w:spacing w:val="-4"/>
        </w:rPr>
        <w:t>542.</w:t>
      </w:r>
    </w:p>
    <w:p>
      <w:pPr>
        <w:pStyle w:val="BodyText"/>
        <w:spacing w:line="229" w:lineRule="exact"/>
      </w:pPr>
      <w:r>
        <w:rPr/>
        <w:t>FAOSTAT:</w:t>
      </w:r>
      <w:r>
        <w:rPr>
          <w:spacing w:val="-8"/>
        </w:rPr>
        <w:t> </w:t>
      </w:r>
      <w:r>
        <w:rPr/>
        <w:t>http:</w:t>
      </w:r>
      <w:r>
        <w:rPr>
          <w:spacing w:val="-8"/>
        </w:rPr>
        <w:t> </w:t>
      </w:r>
      <w:r>
        <w:rPr/>
        <w:t>Export</w:t>
      </w:r>
      <w:r>
        <w:rPr>
          <w:spacing w:val="-8"/>
        </w:rPr>
        <w:t> </w:t>
      </w:r>
      <w:r>
        <w:rPr/>
        <w:t>Data,</w:t>
      </w:r>
      <w:r>
        <w:rPr>
          <w:spacing w:val="-6"/>
        </w:rPr>
        <w:t> </w:t>
      </w:r>
      <w:r>
        <w:rPr/>
        <w:t>2012.</w:t>
      </w:r>
      <w:hyperlink r:id="rId12">
        <w:r>
          <w:rPr/>
          <w:t>www.FAOSTAT.Com</w:t>
        </w:r>
      </w:hyperlink>
      <w:r>
        <w:rPr>
          <w:spacing w:val="-11"/>
        </w:rPr>
        <w:t> </w:t>
      </w:r>
      <w:r>
        <w:rPr/>
        <w:t>-Top</w:t>
      </w:r>
      <w:r>
        <w:rPr>
          <w:spacing w:val="-7"/>
        </w:rPr>
        <w:t> </w:t>
      </w:r>
      <w:r>
        <w:rPr/>
        <w:t>Five</w:t>
      </w:r>
      <w:r>
        <w:rPr>
          <w:spacing w:val="-8"/>
        </w:rPr>
        <w:t> </w:t>
      </w:r>
      <w:r>
        <w:rPr/>
        <w:t>Sesame</w:t>
      </w:r>
      <w:r>
        <w:rPr>
          <w:spacing w:val="-8"/>
        </w:rPr>
        <w:t> </w:t>
      </w:r>
      <w:r>
        <w:rPr/>
        <w:t>Seed</w:t>
      </w:r>
      <w:r>
        <w:rPr>
          <w:spacing w:val="-8"/>
        </w:rPr>
        <w:t> </w:t>
      </w:r>
      <w:r>
        <w:rPr/>
        <w:t>Producing</w:t>
      </w:r>
      <w:r>
        <w:rPr>
          <w:spacing w:val="-7"/>
        </w:rPr>
        <w:t> </w:t>
      </w:r>
      <w:r>
        <w:rPr>
          <w:spacing w:val="-2"/>
        </w:rPr>
        <w:t>Countries.</w:t>
      </w:r>
    </w:p>
    <w:p>
      <w:pPr>
        <w:pStyle w:val="BodyText"/>
      </w:pPr>
      <w:r>
        <w:rPr/>
        <w:t>Ferto,</w:t>
      </w:r>
      <w:r>
        <w:rPr>
          <w:spacing w:val="42"/>
        </w:rPr>
        <w:t> </w:t>
      </w:r>
      <w:r>
        <w:rPr/>
        <w:t>I.</w:t>
      </w:r>
      <w:r>
        <w:rPr>
          <w:spacing w:val="43"/>
        </w:rPr>
        <w:t> </w:t>
      </w:r>
      <w:r>
        <w:rPr/>
        <w:t>and</w:t>
      </w:r>
      <w:r>
        <w:rPr>
          <w:spacing w:val="42"/>
        </w:rPr>
        <w:t> </w:t>
      </w:r>
      <w:r>
        <w:rPr/>
        <w:t>Szabo,</w:t>
      </w:r>
      <w:r>
        <w:rPr>
          <w:spacing w:val="43"/>
        </w:rPr>
        <w:t> </w:t>
      </w:r>
      <w:r>
        <w:rPr/>
        <w:t>G.G.,</w:t>
      </w:r>
      <w:r>
        <w:rPr>
          <w:spacing w:val="39"/>
        </w:rPr>
        <w:t> </w:t>
      </w:r>
      <w:r>
        <w:rPr/>
        <w:t>2002.</w:t>
      </w:r>
      <w:r>
        <w:rPr>
          <w:spacing w:val="43"/>
        </w:rPr>
        <w:t> </w:t>
      </w:r>
      <w:r>
        <w:rPr/>
        <w:t>Vertical</w:t>
      </w:r>
      <w:r>
        <w:rPr>
          <w:spacing w:val="41"/>
        </w:rPr>
        <w:t> </w:t>
      </w:r>
      <w:r>
        <w:rPr/>
        <w:t>coordination</w:t>
      </w:r>
      <w:r>
        <w:rPr>
          <w:spacing w:val="41"/>
        </w:rPr>
        <w:t> </w:t>
      </w:r>
      <w:r>
        <w:rPr/>
        <w:t>in</w:t>
      </w:r>
      <w:r>
        <w:rPr>
          <w:spacing w:val="42"/>
        </w:rPr>
        <w:t> </w:t>
      </w:r>
      <w:r>
        <w:rPr/>
        <w:t>transition</w:t>
      </w:r>
      <w:r>
        <w:rPr>
          <w:spacing w:val="41"/>
        </w:rPr>
        <w:t> </w:t>
      </w:r>
      <w:r>
        <w:rPr/>
        <w:t>agriculture:</w:t>
      </w:r>
      <w:r>
        <w:rPr>
          <w:spacing w:val="44"/>
        </w:rPr>
        <w:t> </w:t>
      </w:r>
      <w:r>
        <w:rPr/>
        <w:t>A</w:t>
      </w:r>
      <w:r>
        <w:rPr>
          <w:spacing w:val="39"/>
        </w:rPr>
        <w:t> </w:t>
      </w:r>
      <w:r>
        <w:rPr/>
        <w:t>cooperative</w:t>
      </w:r>
      <w:r>
        <w:rPr>
          <w:spacing w:val="42"/>
        </w:rPr>
        <w:t> </w:t>
      </w:r>
      <w:r>
        <w:rPr/>
        <w:t>case</w:t>
      </w:r>
      <w:r>
        <w:rPr>
          <w:spacing w:val="41"/>
        </w:rPr>
        <w:t> </w:t>
      </w:r>
      <w:r>
        <w:rPr>
          <w:spacing w:val="-2"/>
        </w:rPr>
        <w:t>study.</w:t>
      </w:r>
    </w:p>
    <w:p>
      <w:pPr>
        <w:pStyle w:val="BodyText"/>
        <w:spacing w:before="1"/>
        <w:ind w:left="1040"/>
      </w:pPr>
      <w:r>
        <w:rPr/>
        <w:t>Institute</w:t>
      </w:r>
      <w:r>
        <w:rPr>
          <w:spacing w:val="-8"/>
        </w:rPr>
        <w:t> </w:t>
      </w:r>
      <w:r>
        <w:rPr/>
        <w:t>of</w:t>
      </w:r>
      <w:r>
        <w:rPr>
          <w:spacing w:val="-10"/>
        </w:rPr>
        <w:t> </w:t>
      </w:r>
      <w:r>
        <w:rPr/>
        <w:t>Economics,</w:t>
      </w:r>
      <w:r>
        <w:rPr>
          <w:spacing w:val="-7"/>
        </w:rPr>
        <w:t> </w:t>
      </w:r>
      <w:r>
        <w:rPr/>
        <w:t>Hungarian</w:t>
      </w:r>
      <w:r>
        <w:rPr>
          <w:spacing w:val="-7"/>
        </w:rPr>
        <w:t> </w:t>
      </w:r>
      <w:r>
        <w:rPr/>
        <w:t>Academy</w:t>
      </w:r>
      <w:r>
        <w:rPr>
          <w:spacing w:val="-9"/>
        </w:rPr>
        <w:t> </w:t>
      </w:r>
      <w:r>
        <w:rPr/>
        <w:t>of</w:t>
      </w:r>
      <w:r>
        <w:rPr>
          <w:spacing w:val="-9"/>
        </w:rPr>
        <w:t> </w:t>
      </w:r>
      <w:r>
        <w:rPr/>
        <w:t>Sciences,</w:t>
      </w:r>
      <w:r>
        <w:rPr>
          <w:spacing w:val="-7"/>
        </w:rPr>
        <w:t> </w:t>
      </w:r>
      <w:r>
        <w:rPr/>
        <w:t>Discussion</w:t>
      </w:r>
      <w:r>
        <w:rPr>
          <w:spacing w:val="-9"/>
        </w:rPr>
        <w:t> </w:t>
      </w:r>
      <w:r>
        <w:rPr>
          <w:spacing w:val="-2"/>
        </w:rPr>
        <w:t>Paper.</w:t>
      </w:r>
    </w:p>
    <w:p>
      <w:pPr>
        <w:pStyle w:val="BodyText"/>
      </w:pPr>
      <w:r>
        <w:rPr/>
        <w:t>Food</w:t>
      </w:r>
      <w:r>
        <w:rPr>
          <w:spacing w:val="-5"/>
        </w:rPr>
        <w:t> </w:t>
      </w:r>
      <w:r>
        <w:rPr/>
        <w:t>Crop</w:t>
      </w:r>
      <w:r>
        <w:rPr>
          <w:spacing w:val="-5"/>
        </w:rPr>
        <w:t> </w:t>
      </w:r>
      <w:r>
        <w:rPr/>
        <w:t>Debate"</w:t>
      </w:r>
      <w:r>
        <w:rPr>
          <w:spacing w:val="-2"/>
        </w:rPr>
        <w:t> </w:t>
      </w:r>
      <w:r>
        <w:rPr/>
        <w:t>Crop</w:t>
      </w:r>
      <w:r>
        <w:rPr>
          <w:spacing w:val="-7"/>
        </w:rPr>
        <w:t> </w:t>
      </w:r>
      <w:r>
        <w:rPr/>
        <w:t>Post</w:t>
      </w:r>
      <w:r>
        <w:rPr>
          <w:spacing w:val="-5"/>
        </w:rPr>
        <w:t> </w:t>
      </w:r>
      <w:r>
        <w:rPr/>
        <w:t>Harvest</w:t>
      </w:r>
      <w:r>
        <w:rPr>
          <w:spacing w:val="-6"/>
        </w:rPr>
        <w:t> </w:t>
      </w:r>
      <w:r>
        <w:rPr/>
        <w:t>Program,</w:t>
      </w:r>
      <w:r>
        <w:rPr>
          <w:spacing w:val="-4"/>
        </w:rPr>
        <w:t> </w:t>
      </w:r>
      <w:r>
        <w:rPr/>
        <w:t>Issue</w:t>
      </w:r>
      <w:r>
        <w:rPr>
          <w:spacing w:val="-6"/>
        </w:rPr>
        <w:t> </w:t>
      </w:r>
      <w:r>
        <w:rPr/>
        <w:t>Paper</w:t>
      </w:r>
      <w:r>
        <w:rPr>
          <w:spacing w:val="-7"/>
        </w:rPr>
        <w:t> </w:t>
      </w:r>
      <w:r>
        <w:rPr>
          <w:spacing w:val="-5"/>
        </w:rPr>
        <w:t>3.</w:t>
      </w:r>
    </w:p>
    <w:p>
      <w:pPr>
        <w:pStyle w:val="BodyText"/>
        <w:spacing w:before="1"/>
        <w:ind w:left="1040" w:right="226" w:hanging="800"/>
      </w:pPr>
      <w:r>
        <w:rPr/>
        <w:t>Geremew, Kefyalew,2012.Analysis of Smallholder Farmer’s Participation in Production and Marketing of</w:t>
      </w:r>
      <w:r>
        <w:rPr>
          <w:spacing w:val="40"/>
        </w:rPr>
        <w:t> </w:t>
      </w:r>
      <w:r>
        <w:rPr/>
        <w:t>Export Potential Sesame in Ethiopia, with particular reference to Diga area, MSc Paper, Addis Ababa </w:t>
      </w:r>
      <w:r>
        <w:rPr>
          <w:spacing w:val="-2"/>
        </w:rPr>
        <w:t>University.</w:t>
      </w:r>
    </w:p>
    <w:p>
      <w:pPr>
        <w:pStyle w:val="BodyText"/>
        <w:ind w:right="228"/>
      </w:pPr>
      <w:r>
        <w:rPr/>
        <w:t>Gibbon, P. and S. Ponte, 2005. Trading down: Africa, value chains and the global economy. DIIS, Copenhagen. Gilberto, Mendoza, 1995. Price, Products and People, A primer on marketing channels and margins. The Lynne</w:t>
      </w:r>
    </w:p>
    <w:p>
      <w:pPr>
        <w:pStyle w:val="BodyText"/>
        <w:ind w:left="1040"/>
      </w:pPr>
      <w:r>
        <w:rPr/>
        <w:t>Rienner</w:t>
      </w:r>
      <w:r>
        <w:rPr>
          <w:spacing w:val="-9"/>
        </w:rPr>
        <w:t> </w:t>
      </w:r>
      <w:r>
        <w:rPr/>
        <w:t>Publisher,</w:t>
      </w:r>
      <w:r>
        <w:rPr>
          <w:spacing w:val="-9"/>
        </w:rPr>
        <w:t> </w:t>
      </w:r>
      <w:r>
        <w:rPr>
          <w:spacing w:val="-2"/>
        </w:rPr>
        <w:t>Inc.257p.</w:t>
      </w:r>
    </w:p>
    <w:p>
      <w:pPr>
        <w:pStyle w:val="BodyText"/>
        <w:ind w:right="2690"/>
      </w:pPr>
      <w:r>
        <w:rPr/>
        <w:t>Greene,</w:t>
      </w:r>
      <w:r>
        <w:rPr>
          <w:spacing w:val="-3"/>
        </w:rPr>
        <w:t> </w:t>
      </w:r>
      <w:r>
        <w:rPr/>
        <w:t>W.,</w:t>
      </w:r>
      <w:r>
        <w:rPr>
          <w:spacing w:val="-3"/>
        </w:rPr>
        <w:t> </w:t>
      </w:r>
      <w:r>
        <w:rPr/>
        <w:t>2003.</w:t>
      </w:r>
      <w:r>
        <w:rPr>
          <w:spacing w:val="-3"/>
        </w:rPr>
        <w:t> </w:t>
      </w:r>
      <w:r>
        <w:rPr/>
        <w:t>Econometric</w:t>
      </w:r>
      <w:r>
        <w:rPr>
          <w:spacing w:val="-4"/>
        </w:rPr>
        <w:t> </w:t>
      </w:r>
      <w:r>
        <w:rPr/>
        <w:t>Analysis.</w:t>
      </w:r>
      <w:r>
        <w:rPr>
          <w:spacing w:val="-3"/>
        </w:rPr>
        <w:t> </w:t>
      </w:r>
      <w:r>
        <w:rPr/>
        <w:t>Fifth</w:t>
      </w:r>
      <w:r>
        <w:rPr>
          <w:spacing w:val="-5"/>
        </w:rPr>
        <w:t> </w:t>
      </w:r>
      <w:r>
        <w:rPr/>
        <w:t>edition.</w:t>
      </w:r>
      <w:r>
        <w:rPr>
          <w:spacing w:val="-3"/>
        </w:rPr>
        <w:t> </w:t>
      </w:r>
      <w:r>
        <w:rPr/>
        <w:t>Prentice</w:t>
      </w:r>
      <w:r>
        <w:rPr>
          <w:spacing w:val="-4"/>
        </w:rPr>
        <w:t> </w:t>
      </w:r>
      <w:r>
        <w:rPr/>
        <w:t>Hall,</w:t>
      </w:r>
      <w:r>
        <w:rPr>
          <w:spacing w:val="-4"/>
        </w:rPr>
        <w:t> </w:t>
      </w:r>
      <w:r>
        <w:rPr/>
        <w:t>New</w:t>
      </w:r>
      <w:r>
        <w:rPr>
          <w:spacing w:val="-9"/>
        </w:rPr>
        <w:t> </w:t>
      </w:r>
      <w:r>
        <w:rPr/>
        <w:t>Jersey. Greene, W., 2012. Econometric Analysis. 7th edn. NJ: Prentice Hall, Pearson.</w:t>
      </w:r>
    </w:p>
    <w:p>
      <w:pPr>
        <w:pStyle w:val="BodyText"/>
        <w:ind w:left="1040" w:hanging="800"/>
        <w:jc w:val="left"/>
      </w:pPr>
      <w:r>
        <w:rPr/>
        <w:t>Humphrey,</w:t>
      </w:r>
      <w:r>
        <w:rPr>
          <w:spacing w:val="22"/>
        </w:rPr>
        <w:t> </w:t>
      </w:r>
      <w:r>
        <w:rPr/>
        <w:t>J.</w:t>
      </w:r>
      <w:r>
        <w:rPr>
          <w:spacing w:val="22"/>
        </w:rPr>
        <w:t> </w:t>
      </w:r>
      <w:r>
        <w:rPr/>
        <w:t>and</w:t>
      </w:r>
      <w:r>
        <w:rPr>
          <w:spacing w:val="22"/>
        </w:rPr>
        <w:t> </w:t>
      </w:r>
      <w:r>
        <w:rPr/>
        <w:t>H. Schmitz,</w:t>
      </w:r>
      <w:r>
        <w:rPr>
          <w:spacing w:val="22"/>
        </w:rPr>
        <w:t> </w:t>
      </w:r>
      <w:r>
        <w:rPr/>
        <w:t>2002. How does</w:t>
      </w:r>
      <w:r>
        <w:rPr>
          <w:spacing w:val="20"/>
        </w:rPr>
        <w:t> </w:t>
      </w:r>
      <w:r>
        <w:rPr/>
        <w:t>insertion</w:t>
      </w:r>
      <w:r>
        <w:rPr>
          <w:spacing w:val="22"/>
        </w:rPr>
        <w:t> </w:t>
      </w:r>
      <w:r>
        <w:rPr/>
        <w:t>in</w:t>
      </w:r>
      <w:r>
        <w:rPr>
          <w:spacing w:val="20"/>
        </w:rPr>
        <w:t> </w:t>
      </w:r>
      <w:r>
        <w:rPr/>
        <w:t>global</w:t>
      </w:r>
      <w:r>
        <w:rPr>
          <w:spacing w:val="21"/>
        </w:rPr>
        <w:t> </w:t>
      </w:r>
      <w:r>
        <w:rPr/>
        <w:t>value</w:t>
      </w:r>
      <w:r>
        <w:rPr>
          <w:spacing w:val="21"/>
        </w:rPr>
        <w:t> </w:t>
      </w:r>
      <w:r>
        <w:rPr/>
        <w:t>chains</w:t>
      </w:r>
      <w:r>
        <w:rPr>
          <w:spacing w:val="20"/>
        </w:rPr>
        <w:t> </w:t>
      </w:r>
      <w:r>
        <w:rPr/>
        <w:t>affect</w:t>
      </w:r>
      <w:r>
        <w:rPr>
          <w:spacing w:val="21"/>
        </w:rPr>
        <w:t> </w:t>
      </w:r>
      <w:r>
        <w:rPr/>
        <w:t>upgrading</w:t>
      </w:r>
      <w:r>
        <w:rPr>
          <w:spacing w:val="20"/>
        </w:rPr>
        <w:t> </w:t>
      </w:r>
      <w:r>
        <w:rPr/>
        <w:t>in</w:t>
      </w:r>
      <w:r>
        <w:rPr>
          <w:spacing w:val="20"/>
        </w:rPr>
        <w:t> </w:t>
      </w:r>
      <w:r>
        <w:rPr/>
        <w:t>industrial clusters? Institute of Development Studies, Brighton.</w:t>
      </w:r>
    </w:p>
    <w:p>
      <w:pPr>
        <w:pStyle w:val="BodyText"/>
        <w:ind w:left="1040" w:hanging="800"/>
        <w:jc w:val="left"/>
      </w:pPr>
      <w:r>
        <w:rPr/>
        <w:t>Humphrey,</w:t>
      </w:r>
      <w:r>
        <w:rPr>
          <w:spacing w:val="21"/>
        </w:rPr>
        <w:t> </w:t>
      </w:r>
      <w:r>
        <w:rPr/>
        <w:t>J.</w:t>
      </w:r>
      <w:r>
        <w:rPr>
          <w:spacing w:val="21"/>
        </w:rPr>
        <w:t> </w:t>
      </w:r>
      <w:r>
        <w:rPr/>
        <w:t>and</w:t>
      </w:r>
      <w:r>
        <w:rPr>
          <w:spacing w:val="21"/>
        </w:rPr>
        <w:t> </w:t>
      </w:r>
      <w:r>
        <w:rPr/>
        <w:t>O.</w:t>
      </w:r>
      <w:r>
        <w:rPr>
          <w:spacing w:val="21"/>
        </w:rPr>
        <w:t> </w:t>
      </w:r>
      <w:r>
        <w:rPr/>
        <w:t>Memedovic,</w:t>
      </w:r>
      <w:r>
        <w:rPr>
          <w:spacing w:val="21"/>
        </w:rPr>
        <w:t> </w:t>
      </w:r>
      <w:r>
        <w:rPr/>
        <w:t>2006.</w:t>
      </w:r>
      <w:r>
        <w:rPr>
          <w:spacing w:val="21"/>
        </w:rPr>
        <w:t> </w:t>
      </w:r>
      <w:r>
        <w:rPr/>
        <w:t>Global value chains in the agri-food</w:t>
      </w:r>
      <w:r>
        <w:rPr>
          <w:spacing w:val="21"/>
        </w:rPr>
        <w:t> </w:t>
      </w:r>
      <w:r>
        <w:rPr/>
        <w:t>Sector</w:t>
      </w:r>
      <w:r>
        <w:rPr>
          <w:spacing w:val="21"/>
        </w:rPr>
        <w:t> </w:t>
      </w:r>
      <w:r>
        <w:rPr/>
        <w:t>UNIDO Working Paper, </w:t>
      </w:r>
      <w:r>
        <w:rPr>
          <w:spacing w:val="-2"/>
        </w:rPr>
        <w:t>Brighton.</w:t>
      </w:r>
    </w:p>
    <w:p>
      <w:pPr>
        <w:pStyle w:val="BodyText"/>
        <w:ind w:left="1040" w:hanging="800"/>
        <w:jc w:val="left"/>
      </w:pPr>
      <w:r>
        <w:rPr/>
        <w:t>Jagwe, J., E, Ouma and C, Machethe, 2007. Transaction costs and smallholder farmers’ participation in Banana Markets in the Great Lakes Region, Pretoria, South Africa.</w:t>
      </w:r>
    </w:p>
    <w:p>
      <w:pPr>
        <w:pStyle w:val="BodyText"/>
        <w:spacing w:line="228" w:lineRule="exact"/>
        <w:jc w:val="left"/>
      </w:pPr>
      <w:r>
        <w:rPr/>
        <w:t>Kaplinsky,</w:t>
      </w:r>
      <w:r>
        <w:rPr>
          <w:spacing w:val="-3"/>
        </w:rPr>
        <w:t> </w:t>
      </w:r>
      <w:r>
        <w:rPr/>
        <w:t>R.</w:t>
      </w:r>
      <w:r>
        <w:rPr>
          <w:spacing w:val="-5"/>
        </w:rPr>
        <w:t> </w:t>
      </w:r>
      <w:r>
        <w:rPr/>
        <w:t>and</w:t>
      </w:r>
      <w:r>
        <w:rPr>
          <w:spacing w:val="-5"/>
        </w:rPr>
        <w:t> </w:t>
      </w:r>
      <w:r>
        <w:rPr/>
        <w:t>M.</w:t>
      </w:r>
      <w:r>
        <w:rPr>
          <w:spacing w:val="-5"/>
        </w:rPr>
        <w:t> </w:t>
      </w:r>
      <w:r>
        <w:rPr/>
        <w:t>Morris,</w:t>
      </w:r>
      <w:r>
        <w:rPr>
          <w:spacing w:val="-4"/>
        </w:rPr>
        <w:t> </w:t>
      </w:r>
      <w:r>
        <w:rPr/>
        <w:t>2000.</w:t>
      </w:r>
      <w:r>
        <w:rPr>
          <w:spacing w:val="-8"/>
        </w:rPr>
        <w:t> </w:t>
      </w:r>
      <w:r>
        <w:rPr/>
        <w:t>A</w:t>
      </w:r>
      <w:r>
        <w:rPr>
          <w:spacing w:val="-7"/>
        </w:rPr>
        <w:t> </w:t>
      </w:r>
      <w:r>
        <w:rPr/>
        <w:t>handbook</w:t>
      </w:r>
      <w:r>
        <w:rPr>
          <w:spacing w:val="-7"/>
        </w:rPr>
        <w:t> </w:t>
      </w:r>
      <w:r>
        <w:rPr/>
        <w:t>for</w:t>
      </w:r>
      <w:r>
        <w:rPr>
          <w:spacing w:val="-4"/>
        </w:rPr>
        <w:t> </w:t>
      </w:r>
      <w:r>
        <w:rPr/>
        <w:t>value</w:t>
      </w:r>
      <w:r>
        <w:rPr>
          <w:spacing w:val="-6"/>
        </w:rPr>
        <w:t> </w:t>
      </w:r>
      <w:r>
        <w:rPr/>
        <w:t>chain</w:t>
      </w:r>
      <w:r>
        <w:rPr>
          <w:spacing w:val="-6"/>
        </w:rPr>
        <w:t> </w:t>
      </w:r>
      <w:r>
        <w:rPr/>
        <w:t>research,</w:t>
      </w:r>
      <w:r>
        <w:rPr>
          <w:spacing w:val="-5"/>
        </w:rPr>
        <w:t> </w:t>
      </w:r>
      <w:r>
        <w:rPr/>
        <w:t>IDRC.</w:t>
      </w:r>
      <w:r>
        <w:rPr>
          <w:spacing w:val="-5"/>
        </w:rPr>
        <w:t> </w:t>
      </w:r>
      <w:r>
        <w:rPr/>
        <w:t>Ottawa,</w:t>
      </w:r>
      <w:r>
        <w:rPr>
          <w:spacing w:val="-3"/>
        </w:rPr>
        <w:t> </w:t>
      </w:r>
      <w:r>
        <w:rPr>
          <w:spacing w:val="-2"/>
        </w:rPr>
        <w:t>Canada.</w:t>
      </w:r>
    </w:p>
    <w:p>
      <w:pPr>
        <w:pStyle w:val="BodyText"/>
        <w:ind w:left="1040" w:right="228" w:hanging="800"/>
      </w:pPr>
      <w:r>
        <w:rPr/>
        <w:t>Kaplinsky, R. and M. Morris, 2001. A handbook of value chain analysis. Working paper prepared for the IDRC, Institute for Development Studies, Brighton, UK.</w:t>
      </w:r>
    </w:p>
    <w:p>
      <w:pPr>
        <w:pStyle w:val="BodyText"/>
        <w:spacing w:before="1"/>
        <w:ind w:left="1040" w:right="223" w:hanging="800"/>
      </w:pPr>
      <w:r>
        <w:rPr/>
        <w:t>Kemal, Shkur, 2011.Supply Chain Assessments of Sesame Oilseed from humera to Djibouti port, MSc Paper, Addis Ababa University.</w:t>
      </w:r>
    </w:p>
    <w:p>
      <w:pPr>
        <w:pStyle w:val="BodyText"/>
        <w:ind w:left="1040" w:right="227" w:hanging="800"/>
      </w:pPr>
      <w:r>
        <w:rPr/>
        <w:t>Kindie, Aysheshum, 2007. Sesame Production and Marketing in Ethiopia, with particular reference to Metema area, MA Paper, Hara Maya University. MOARD (Ministry of Agriculture and Rural Development), 2003. Draft sesame development plans. Addis Ababa, Ethiopia.</w:t>
      </w:r>
    </w:p>
    <w:p>
      <w:pPr>
        <w:pStyle w:val="BodyText"/>
        <w:ind w:left="1040" w:right="226" w:hanging="800"/>
      </w:pPr>
      <w:r>
        <w:rPr/>
        <w:t>Lukanu; Maryann, Green; Peter, Greenfield &amp; Steve, Worth, 2004. Farmers' cash crop cultivation decisions in Southern Niassa province, Mozambique, Development Southern</w:t>
      </w:r>
    </w:p>
    <w:p>
      <w:pPr>
        <w:spacing w:after="0"/>
        <w:sectPr>
          <w:pgSz w:w="11900" w:h="16840"/>
          <w:pgMar w:header="846" w:footer="819" w:top="1640" w:bottom="1000" w:left="1180" w:right="1180"/>
        </w:sectPr>
      </w:pPr>
    </w:p>
    <w:p>
      <w:pPr>
        <w:pStyle w:val="BodyText"/>
        <w:spacing w:before="98"/>
        <w:ind w:left="1040" w:hanging="800"/>
        <w:jc w:val="left"/>
      </w:pPr>
      <w:r>
        <w:rPr/>
        <w:t>Mamo Girma and Degnet Abebaw, 2012. Patterns and determinants of live stock farmers’ choice of marketing channels: micro-level evidence. Ethiopian Economics Association, Addis Ababa, Ethiopia. P55.</w:t>
      </w:r>
    </w:p>
    <w:p>
      <w:pPr>
        <w:spacing w:before="0"/>
        <w:ind w:left="1039" w:right="225" w:hanging="800"/>
        <w:jc w:val="left"/>
        <w:rPr>
          <w:sz w:val="20"/>
        </w:rPr>
      </w:pPr>
      <w:r>
        <w:rPr>
          <w:sz w:val="20"/>
        </w:rPr>
        <w:t>McFadden,</w:t>
      </w:r>
      <w:r>
        <w:rPr>
          <w:spacing w:val="40"/>
          <w:sz w:val="20"/>
        </w:rPr>
        <w:t> </w:t>
      </w:r>
      <w:r>
        <w:rPr>
          <w:sz w:val="20"/>
        </w:rPr>
        <w:t>D.,</w:t>
      </w:r>
      <w:r>
        <w:rPr>
          <w:spacing w:val="40"/>
          <w:sz w:val="20"/>
        </w:rPr>
        <w:t> </w:t>
      </w:r>
      <w:r>
        <w:rPr>
          <w:sz w:val="20"/>
        </w:rPr>
        <w:t>1978.</w:t>
      </w:r>
      <w:r>
        <w:rPr>
          <w:spacing w:val="40"/>
          <w:sz w:val="20"/>
        </w:rPr>
        <w:t> </w:t>
      </w:r>
      <w:r>
        <w:rPr>
          <w:sz w:val="20"/>
        </w:rPr>
        <w:t>Quantal</w:t>
      </w:r>
      <w:r>
        <w:rPr>
          <w:spacing w:val="40"/>
          <w:sz w:val="20"/>
        </w:rPr>
        <w:t> </w:t>
      </w:r>
      <w:r>
        <w:rPr>
          <w:sz w:val="20"/>
        </w:rPr>
        <w:t>choice</w:t>
      </w:r>
      <w:r>
        <w:rPr>
          <w:spacing w:val="40"/>
          <w:sz w:val="20"/>
        </w:rPr>
        <w:t> </w:t>
      </w:r>
      <w:r>
        <w:rPr>
          <w:sz w:val="20"/>
        </w:rPr>
        <w:t>analysis:</w:t>
      </w:r>
      <w:r>
        <w:rPr>
          <w:spacing w:val="40"/>
          <w:sz w:val="20"/>
        </w:rPr>
        <w:t> </w:t>
      </w:r>
      <w:r>
        <w:rPr>
          <w:sz w:val="20"/>
        </w:rPr>
        <w:t>a</w:t>
      </w:r>
      <w:r>
        <w:rPr>
          <w:spacing w:val="40"/>
          <w:sz w:val="20"/>
        </w:rPr>
        <w:t> </w:t>
      </w:r>
      <w:r>
        <w:rPr>
          <w:sz w:val="20"/>
        </w:rPr>
        <w:t>survey.</w:t>
      </w:r>
      <w:r>
        <w:rPr>
          <w:spacing w:val="40"/>
          <w:sz w:val="20"/>
        </w:rPr>
        <w:t> </w:t>
      </w:r>
      <w:r>
        <w:rPr>
          <w:i/>
          <w:sz w:val="20"/>
        </w:rPr>
        <w:t>Annals</w:t>
      </w:r>
      <w:r>
        <w:rPr>
          <w:spacing w:val="40"/>
          <w:sz w:val="20"/>
        </w:rPr>
        <w:t> </w:t>
      </w:r>
      <w:r>
        <w:rPr>
          <w:i/>
          <w:sz w:val="20"/>
        </w:rPr>
        <w:t>of</w:t>
      </w:r>
      <w:r>
        <w:rPr>
          <w:spacing w:val="40"/>
          <w:sz w:val="20"/>
        </w:rPr>
        <w:t> </w:t>
      </w:r>
      <w:r>
        <w:rPr>
          <w:i/>
          <w:sz w:val="20"/>
        </w:rPr>
        <w:t>Economic</w:t>
      </w:r>
      <w:r>
        <w:rPr>
          <w:spacing w:val="40"/>
          <w:sz w:val="20"/>
        </w:rPr>
        <w:t> </w:t>
      </w:r>
      <w:r>
        <w:rPr>
          <w:i/>
          <w:sz w:val="20"/>
        </w:rPr>
        <w:t>and</w:t>
      </w:r>
      <w:r>
        <w:rPr>
          <w:spacing w:val="40"/>
          <w:sz w:val="20"/>
        </w:rPr>
        <w:t> </w:t>
      </w:r>
      <w:r>
        <w:rPr>
          <w:i/>
          <w:sz w:val="20"/>
        </w:rPr>
        <w:t>Social</w:t>
      </w:r>
      <w:r>
        <w:rPr>
          <w:spacing w:val="40"/>
          <w:sz w:val="20"/>
        </w:rPr>
        <w:t> </w:t>
      </w:r>
      <w:r>
        <w:rPr>
          <w:i/>
          <w:sz w:val="20"/>
        </w:rPr>
        <w:t>Measurement</w:t>
      </w:r>
      <w:r>
        <w:rPr>
          <w:sz w:val="20"/>
        </w:rPr>
        <w:t>,</w:t>
      </w:r>
      <w:r>
        <w:rPr>
          <w:spacing w:val="80"/>
          <w:sz w:val="20"/>
        </w:rPr>
        <w:t> </w:t>
      </w:r>
      <w:r>
        <w:rPr>
          <w:spacing w:val="-2"/>
          <w:sz w:val="20"/>
        </w:rPr>
        <w:t>5(1976):363-390.</w:t>
      </w:r>
    </w:p>
    <w:p>
      <w:pPr>
        <w:pStyle w:val="BodyText"/>
        <w:jc w:val="left"/>
      </w:pPr>
      <w:r>
        <w:rPr/>
        <w:t>Mendoza,</w:t>
      </w:r>
      <w:r>
        <w:rPr>
          <w:spacing w:val="-6"/>
        </w:rPr>
        <w:t> </w:t>
      </w:r>
      <w:r>
        <w:rPr/>
        <w:t>G.,</w:t>
      </w:r>
      <w:r>
        <w:rPr>
          <w:spacing w:val="-5"/>
        </w:rPr>
        <w:t> </w:t>
      </w:r>
      <w:r>
        <w:rPr/>
        <w:t>1995.</w:t>
      </w:r>
      <w:r>
        <w:rPr>
          <w:spacing w:val="-5"/>
        </w:rPr>
        <w:t> </w:t>
      </w:r>
      <w:r>
        <w:rPr/>
        <w:t>A</w:t>
      </w:r>
      <w:r>
        <w:rPr>
          <w:spacing w:val="-8"/>
        </w:rPr>
        <w:t> </w:t>
      </w:r>
      <w:r>
        <w:rPr/>
        <w:t>premier</w:t>
      </w:r>
      <w:r>
        <w:rPr>
          <w:spacing w:val="-4"/>
        </w:rPr>
        <w:t> </w:t>
      </w:r>
      <w:r>
        <w:rPr/>
        <w:t>on</w:t>
      </w:r>
      <w:r>
        <w:rPr>
          <w:spacing w:val="-5"/>
        </w:rPr>
        <w:t> </w:t>
      </w:r>
      <w:r>
        <w:rPr/>
        <w:t>marketing</w:t>
      </w:r>
      <w:r>
        <w:rPr>
          <w:spacing w:val="-7"/>
        </w:rPr>
        <w:t> </w:t>
      </w:r>
      <w:r>
        <w:rPr/>
        <w:t>channel</w:t>
      </w:r>
      <w:r>
        <w:rPr>
          <w:spacing w:val="-6"/>
        </w:rPr>
        <w:t> </w:t>
      </w:r>
      <w:r>
        <w:rPr/>
        <w:t>and</w:t>
      </w:r>
      <w:r>
        <w:rPr>
          <w:spacing w:val="-3"/>
        </w:rPr>
        <w:t> </w:t>
      </w:r>
      <w:r>
        <w:rPr/>
        <w:t>margins.</w:t>
      </w:r>
      <w:r>
        <w:rPr>
          <w:spacing w:val="-5"/>
        </w:rPr>
        <w:t> </w:t>
      </w:r>
      <w:r>
        <w:rPr/>
        <w:t>Lyme</w:t>
      </w:r>
      <w:r>
        <w:rPr>
          <w:spacing w:val="-7"/>
        </w:rPr>
        <w:t> </w:t>
      </w:r>
      <w:r>
        <w:rPr/>
        <w:t>Rimer</w:t>
      </w:r>
      <w:r>
        <w:rPr>
          <w:spacing w:val="-5"/>
        </w:rPr>
        <w:t> </w:t>
      </w:r>
      <w:r>
        <w:rPr/>
        <w:t>Publishers</w:t>
      </w:r>
      <w:r>
        <w:rPr>
          <w:spacing w:val="-4"/>
        </w:rPr>
        <w:t> </w:t>
      </w:r>
      <w:r>
        <w:rPr/>
        <w:t>Inc.,</w:t>
      </w:r>
      <w:r>
        <w:rPr>
          <w:spacing w:val="-6"/>
        </w:rPr>
        <w:t> </w:t>
      </w:r>
      <w:r>
        <w:rPr>
          <w:spacing w:val="-4"/>
        </w:rPr>
        <w:t>USA.</w:t>
      </w:r>
    </w:p>
    <w:p>
      <w:pPr>
        <w:pStyle w:val="BodyText"/>
        <w:ind w:left="1039" w:right="225" w:hanging="800"/>
      </w:pPr>
      <w:r>
        <w:rPr/>
        <w:t>MOTI (Ministry of Trade and Industry), 2004. Report on diagnostic trade integration study. Addis Ababa, </w:t>
      </w:r>
      <w:r>
        <w:rPr>
          <w:spacing w:val="-2"/>
        </w:rPr>
        <w:t>Ethiopia.</w:t>
      </w:r>
    </w:p>
    <w:p>
      <w:pPr>
        <w:pStyle w:val="BodyText"/>
        <w:spacing w:before="1"/>
        <w:ind w:left="1040" w:right="228" w:hanging="800"/>
      </w:pPr>
      <w:r>
        <w:rPr/>
        <w:t>MSPA (Mauritius Sugar Producers’ Association), 2010</w:t>
      </w:r>
      <w:r>
        <w:rPr>
          <w:b/>
        </w:rPr>
        <w:t>.</w:t>
      </w:r>
      <w:r>
        <w:rPr/>
        <w:t> Value-added products of sugarcane. </w:t>
      </w:r>
      <w:hyperlink r:id="rId13">
        <w:r>
          <w:rPr/>
          <w:t>http://www.mspa.mu/index.php?rubrique=15.</w:t>
        </w:r>
      </w:hyperlink>
      <w:r>
        <w:rPr/>
        <w:t> Date accessed: December 10, 2012.</w:t>
      </w:r>
    </w:p>
    <w:p>
      <w:pPr>
        <w:pStyle w:val="BodyText"/>
        <w:ind w:left="1039" w:right="223" w:hanging="800"/>
      </w:pPr>
      <w:r>
        <w:rPr/>
        <w:t>Muhammed Urgessa, 2011. Market chain analysis of teff and wheat production in halaba special Woreda, southern Ethiopia. M.Sc thesis submitted to the School of Graduate Studies, Haramaya University. </w:t>
      </w:r>
      <w:r>
        <w:rPr>
          <w:spacing w:val="-2"/>
        </w:rPr>
        <w:t>104p.</w:t>
      </w:r>
    </w:p>
    <w:p>
      <w:pPr>
        <w:pStyle w:val="BodyText"/>
        <w:ind w:left="1039" w:right="223" w:hanging="800"/>
      </w:pPr>
      <w:r>
        <w:rPr/>
        <w:t>Porter, M., 1985. Competitive advantage: creating and sustaining superior performance. The Free Press, New </w:t>
      </w:r>
      <w:r>
        <w:rPr>
          <w:spacing w:val="-2"/>
        </w:rPr>
        <w:t>York.</w:t>
      </w:r>
    </w:p>
    <w:p>
      <w:pPr>
        <w:pStyle w:val="BodyText"/>
        <w:spacing w:line="228" w:lineRule="exact"/>
      </w:pPr>
      <w:r>
        <w:rPr/>
        <w:t>Poulton,</w:t>
      </w:r>
      <w:r>
        <w:rPr>
          <w:spacing w:val="-5"/>
        </w:rPr>
        <w:t> </w:t>
      </w:r>
      <w:r>
        <w:rPr/>
        <w:t>C.,</w:t>
      </w:r>
      <w:r>
        <w:rPr>
          <w:spacing w:val="-4"/>
        </w:rPr>
        <w:t> </w:t>
      </w:r>
      <w:r>
        <w:rPr/>
        <w:t>R.</w:t>
      </w:r>
      <w:r>
        <w:rPr>
          <w:spacing w:val="-2"/>
        </w:rPr>
        <w:t> </w:t>
      </w:r>
      <w:r>
        <w:rPr/>
        <w:t>Al-Hassan,</w:t>
      </w:r>
      <w:r>
        <w:rPr>
          <w:spacing w:val="-4"/>
        </w:rPr>
        <w:t> </w:t>
      </w:r>
      <w:r>
        <w:rPr/>
        <w:t>G.</w:t>
      </w:r>
      <w:r>
        <w:rPr>
          <w:spacing w:val="-3"/>
        </w:rPr>
        <w:t> </w:t>
      </w:r>
      <w:r>
        <w:rPr/>
        <w:t>Cadish,</w:t>
      </w:r>
      <w:r>
        <w:rPr>
          <w:spacing w:val="-4"/>
        </w:rPr>
        <w:t> </w:t>
      </w:r>
      <w:r>
        <w:rPr/>
        <w:t>C.</w:t>
      </w:r>
      <w:r>
        <w:rPr>
          <w:spacing w:val="-4"/>
        </w:rPr>
        <w:t> </w:t>
      </w:r>
      <w:r>
        <w:rPr/>
        <w:t>Reddy</w:t>
      </w:r>
      <w:r>
        <w:rPr>
          <w:spacing w:val="-9"/>
        </w:rPr>
        <w:t> </w:t>
      </w:r>
      <w:r>
        <w:rPr/>
        <w:t>and</w:t>
      </w:r>
      <w:r>
        <w:rPr>
          <w:spacing w:val="-4"/>
        </w:rPr>
        <w:t> </w:t>
      </w:r>
      <w:r>
        <w:rPr/>
        <w:t>L.</w:t>
      </w:r>
      <w:r>
        <w:rPr>
          <w:spacing w:val="-4"/>
        </w:rPr>
        <w:t> </w:t>
      </w:r>
      <w:r>
        <w:rPr/>
        <w:t>Smith,</w:t>
      </w:r>
      <w:r>
        <w:rPr>
          <w:spacing w:val="-5"/>
        </w:rPr>
        <w:t> </w:t>
      </w:r>
      <w:r>
        <w:rPr/>
        <w:t>2001.The</w:t>
      </w:r>
      <w:r>
        <w:rPr>
          <w:spacing w:val="-5"/>
        </w:rPr>
        <w:t> </w:t>
      </w:r>
      <w:r>
        <w:rPr/>
        <w:t>Cash</w:t>
      </w:r>
      <w:r>
        <w:rPr>
          <w:spacing w:val="-6"/>
        </w:rPr>
        <w:t> </w:t>
      </w:r>
      <w:r>
        <w:rPr/>
        <w:t>Crop</w:t>
      </w:r>
      <w:r>
        <w:rPr>
          <w:spacing w:val="-4"/>
        </w:rPr>
        <w:t> </w:t>
      </w:r>
      <w:r>
        <w:rPr>
          <w:spacing w:val="-2"/>
        </w:rPr>
        <w:t>versus</w:t>
      </w:r>
    </w:p>
    <w:p>
      <w:pPr>
        <w:pStyle w:val="BodyText"/>
        <w:ind w:left="1040" w:hanging="800"/>
        <w:jc w:val="left"/>
      </w:pPr>
      <w:r>
        <w:rPr/>
        <w:t>Raikes,</w:t>
      </w:r>
      <w:r>
        <w:rPr>
          <w:spacing w:val="31"/>
        </w:rPr>
        <w:t> </w:t>
      </w:r>
      <w:r>
        <w:rPr/>
        <w:t>P.,</w:t>
      </w:r>
      <w:r>
        <w:rPr>
          <w:spacing w:val="31"/>
        </w:rPr>
        <w:t> </w:t>
      </w:r>
      <w:r>
        <w:rPr/>
        <w:t>M.</w:t>
      </w:r>
      <w:r>
        <w:rPr>
          <w:spacing w:val="31"/>
        </w:rPr>
        <w:t> </w:t>
      </w:r>
      <w:r>
        <w:rPr/>
        <w:t>Jensen,</w:t>
      </w:r>
      <w:r>
        <w:rPr>
          <w:spacing w:val="31"/>
        </w:rPr>
        <w:t> </w:t>
      </w:r>
      <w:r>
        <w:rPr/>
        <w:t>and</w:t>
      </w:r>
      <w:r>
        <w:rPr>
          <w:spacing w:val="34"/>
        </w:rPr>
        <w:t> </w:t>
      </w:r>
      <w:r>
        <w:rPr/>
        <w:t>S.</w:t>
      </w:r>
      <w:r>
        <w:rPr>
          <w:spacing w:val="31"/>
        </w:rPr>
        <w:t> </w:t>
      </w:r>
      <w:r>
        <w:rPr/>
        <w:t>Ponte,</w:t>
      </w:r>
      <w:r>
        <w:rPr>
          <w:spacing w:val="31"/>
        </w:rPr>
        <w:t> </w:t>
      </w:r>
      <w:r>
        <w:rPr/>
        <w:t>2000.</w:t>
      </w:r>
      <w:r>
        <w:rPr>
          <w:spacing w:val="31"/>
        </w:rPr>
        <w:t> </w:t>
      </w:r>
      <w:r>
        <w:rPr/>
        <w:t>Global</w:t>
      </w:r>
      <w:r>
        <w:rPr>
          <w:spacing w:val="30"/>
        </w:rPr>
        <w:t> </w:t>
      </w:r>
      <w:r>
        <w:rPr/>
        <w:t>commodity</w:t>
      </w:r>
      <w:r>
        <w:rPr>
          <w:spacing w:val="27"/>
        </w:rPr>
        <w:t> </w:t>
      </w:r>
      <w:r>
        <w:rPr/>
        <w:t>chain</w:t>
      </w:r>
      <w:r>
        <w:rPr>
          <w:spacing w:val="29"/>
        </w:rPr>
        <w:t> </w:t>
      </w:r>
      <w:r>
        <w:rPr/>
        <w:t>analysis</w:t>
      </w:r>
      <w:r>
        <w:rPr>
          <w:spacing w:val="30"/>
        </w:rPr>
        <w:t> </w:t>
      </w:r>
      <w:r>
        <w:rPr/>
        <w:t>and</w:t>
      </w:r>
      <w:r>
        <w:rPr>
          <w:spacing w:val="32"/>
        </w:rPr>
        <w:t> </w:t>
      </w:r>
      <w:r>
        <w:rPr/>
        <w:t>the</w:t>
      </w:r>
      <w:r>
        <w:rPr>
          <w:spacing w:val="33"/>
        </w:rPr>
        <w:t> </w:t>
      </w:r>
      <w:r>
        <w:rPr/>
        <w:t>Frencfiliére</w:t>
      </w:r>
      <w:r>
        <w:rPr>
          <w:spacing w:val="31"/>
        </w:rPr>
        <w:t> </w:t>
      </w:r>
      <w:r>
        <w:rPr/>
        <w:t>approach: comparison and critique. </w:t>
      </w:r>
      <w:r>
        <w:rPr>
          <w:i/>
        </w:rPr>
        <w:t>Economy</w:t>
      </w:r>
      <w:r>
        <w:rPr/>
        <w:t> </w:t>
      </w:r>
      <w:r>
        <w:rPr>
          <w:i/>
        </w:rPr>
        <w:t>and</w:t>
      </w:r>
      <w:r>
        <w:rPr/>
        <w:t> </w:t>
      </w:r>
      <w:r>
        <w:rPr>
          <w:i/>
        </w:rPr>
        <w:t>Society</w:t>
      </w:r>
      <w:r>
        <w:rPr/>
        <w:t>, 29 (3): 390-418.</w:t>
      </w:r>
    </w:p>
    <w:p>
      <w:pPr>
        <w:pStyle w:val="BodyText"/>
        <w:spacing w:before="1"/>
        <w:ind w:left="1040" w:hanging="800"/>
        <w:jc w:val="left"/>
      </w:pPr>
      <w:r>
        <w:rPr/>
        <w:t>Schmitz,</w:t>
      </w:r>
      <w:r>
        <w:rPr>
          <w:spacing w:val="30"/>
        </w:rPr>
        <w:t> </w:t>
      </w:r>
      <w:r>
        <w:rPr/>
        <w:t>H.,</w:t>
      </w:r>
      <w:r>
        <w:rPr>
          <w:spacing w:val="30"/>
        </w:rPr>
        <w:t> </w:t>
      </w:r>
      <w:r>
        <w:rPr/>
        <w:t>2005.</w:t>
      </w:r>
      <w:r>
        <w:rPr>
          <w:spacing w:val="30"/>
        </w:rPr>
        <w:t> </w:t>
      </w:r>
      <w:r>
        <w:rPr/>
        <w:t>Value</w:t>
      </w:r>
      <w:r>
        <w:rPr>
          <w:spacing w:val="30"/>
        </w:rPr>
        <w:t> </w:t>
      </w:r>
      <w:r>
        <w:rPr/>
        <w:t>chain</w:t>
      </w:r>
      <w:r>
        <w:rPr>
          <w:spacing w:val="29"/>
        </w:rPr>
        <w:t> </w:t>
      </w:r>
      <w:r>
        <w:rPr/>
        <w:t>analysis</w:t>
      </w:r>
      <w:r>
        <w:rPr>
          <w:spacing w:val="31"/>
        </w:rPr>
        <w:t> </w:t>
      </w:r>
      <w:r>
        <w:rPr/>
        <w:t>for</w:t>
      </w:r>
      <w:r>
        <w:rPr>
          <w:spacing w:val="30"/>
        </w:rPr>
        <w:t> </w:t>
      </w:r>
      <w:r>
        <w:rPr/>
        <w:t>policy</w:t>
      </w:r>
      <w:r>
        <w:rPr>
          <w:spacing w:val="29"/>
        </w:rPr>
        <w:t> </w:t>
      </w:r>
      <w:r>
        <w:rPr/>
        <w:t>makers</w:t>
      </w:r>
      <w:r>
        <w:rPr>
          <w:spacing w:val="29"/>
        </w:rPr>
        <w:t> </w:t>
      </w:r>
      <w:r>
        <w:rPr/>
        <w:t>and</w:t>
      </w:r>
      <w:r>
        <w:rPr>
          <w:spacing w:val="31"/>
        </w:rPr>
        <w:t> </w:t>
      </w:r>
      <w:r>
        <w:rPr/>
        <w:t>practitioners.</w:t>
      </w:r>
      <w:r>
        <w:rPr>
          <w:spacing w:val="30"/>
        </w:rPr>
        <w:t> </w:t>
      </w:r>
      <w:r>
        <w:rPr/>
        <w:t>International</w:t>
      </w:r>
      <w:r>
        <w:rPr>
          <w:spacing w:val="29"/>
        </w:rPr>
        <w:t> </w:t>
      </w:r>
      <w:r>
        <w:rPr/>
        <w:t>Labor</w:t>
      </w:r>
      <w:r>
        <w:rPr>
          <w:spacing w:val="30"/>
        </w:rPr>
        <w:t> </w:t>
      </w:r>
      <w:r>
        <w:rPr/>
        <w:t>Office</w:t>
      </w:r>
      <w:r>
        <w:rPr>
          <w:spacing w:val="30"/>
        </w:rPr>
        <w:t> </w:t>
      </w:r>
      <w:r>
        <w:rPr/>
        <w:t>and Rockefeller Foundation, Geneva, Switzerland.</w:t>
      </w:r>
    </w:p>
    <w:p>
      <w:pPr>
        <w:pStyle w:val="BodyText"/>
        <w:spacing w:before="1"/>
        <w:ind w:left="1040" w:hanging="800"/>
        <w:jc w:val="left"/>
      </w:pPr>
      <w:r>
        <w:rPr/>
        <w:t>Schneider,</w:t>
      </w:r>
      <w:r>
        <w:rPr>
          <w:spacing w:val="40"/>
        </w:rPr>
        <w:t> </w:t>
      </w:r>
      <w:r>
        <w:rPr/>
        <w:t>Kate</w:t>
      </w:r>
      <w:r>
        <w:rPr>
          <w:spacing w:val="40"/>
        </w:rPr>
        <w:t> </w:t>
      </w:r>
      <w:r>
        <w:rPr/>
        <w:t>and</w:t>
      </w:r>
      <w:r>
        <w:rPr>
          <w:spacing w:val="40"/>
        </w:rPr>
        <w:t> </w:t>
      </w:r>
      <w:r>
        <w:rPr/>
        <w:t>K.Gugerty,</w:t>
      </w:r>
      <w:r>
        <w:rPr>
          <w:spacing w:val="40"/>
        </w:rPr>
        <w:t> </w:t>
      </w:r>
      <w:r>
        <w:rPr/>
        <w:t>Mary,</w:t>
      </w:r>
      <w:r>
        <w:rPr>
          <w:spacing w:val="40"/>
        </w:rPr>
        <w:t> </w:t>
      </w:r>
      <w:r>
        <w:rPr/>
        <w:t>2010.</w:t>
      </w:r>
      <w:r>
        <w:rPr>
          <w:spacing w:val="40"/>
        </w:rPr>
        <w:t> </w:t>
      </w:r>
      <w:r>
        <w:rPr/>
        <w:t>The</w:t>
      </w:r>
      <w:r>
        <w:rPr>
          <w:spacing w:val="40"/>
        </w:rPr>
        <w:t> </w:t>
      </w:r>
      <w:r>
        <w:rPr/>
        <w:t>Impact</w:t>
      </w:r>
      <w:r>
        <w:rPr>
          <w:spacing w:val="40"/>
        </w:rPr>
        <w:t> </w:t>
      </w:r>
      <w:r>
        <w:rPr/>
        <w:t>of</w:t>
      </w:r>
      <w:r>
        <w:rPr>
          <w:spacing w:val="40"/>
        </w:rPr>
        <w:t> </w:t>
      </w:r>
      <w:r>
        <w:rPr/>
        <w:t>Export-Driven</w:t>
      </w:r>
      <w:r>
        <w:rPr>
          <w:spacing w:val="40"/>
        </w:rPr>
        <w:t> </w:t>
      </w:r>
      <w:r>
        <w:rPr/>
        <w:t>Cash</w:t>
      </w:r>
      <w:r>
        <w:rPr>
          <w:spacing w:val="40"/>
        </w:rPr>
        <w:t> </w:t>
      </w:r>
      <w:r>
        <w:rPr/>
        <w:t>Crops</w:t>
      </w:r>
      <w:r>
        <w:rPr>
          <w:spacing w:val="40"/>
        </w:rPr>
        <w:t> </w:t>
      </w:r>
      <w:r>
        <w:rPr/>
        <w:t>On</w:t>
      </w:r>
      <w:r>
        <w:rPr>
          <w:spacing w:val="40"/>
        </w:rPr>
        <w:t> </w:t>
      </w:r>
      <w:r>
        <w:rPr/>
        <w:t>Smallholder</w:t>
      </w:r>
      <w:r>
        <w:rPr>
          <w:spacing w:val="40"/>
        </w:rPr>
        <w:t> </w:t>
      </w:r>
      <w:r>
        <w:rPr/>
        <w:t>Households, Evans School of Public Affairs University of Washington; EPAR Brief No. 94</w:t>
      </w:r>
    </w:p>
    <w:p>
      <w:pPr>
        <w:pStyle w:val="BodyText"/>
        <w:spacing w:line="228" w:lineRule="exact"/>
        <w:jc w:val="left"/>
      </w:pPr>
      <w:r>
        <w:rPr/>
        <w:t>Sorsa,</w:t>
      </w:r>
      <w:r>
        <w:rPr>
          <w:spacing w:val="38"/>
        </w:rPr>
        <w:t> </w:t>
      </w:r>
      <w:r>
        <w:rPr/>
        <w:t>Debela</w:t>
      </w:r>
      <w:r>
        <w:rPr>
          <w:spacing w:val="39"/>
        </w:rPr>
        <w:t> </w:t>
      </w:r>
      <w:r>
        <w:rPr/>
        <w:t>Gelalcha,</w:t>
      </w:r>
      <w:r>
        <w:rPr>
          <w:spacing w:val="39"/>
        </w:rPr>
        <w:t> </w:t>
      </w:r>
      <w:r>
        <w:rPr/>
        <w:t>2009.</w:t>
      </w:r>
      <w:r>
        <w:rPr>
          <w:spacing w:val="38"/>
        </w:rPr>
        <w:t> </w:t>
      </w:r>
      <w:r>
        <w:rPr/>
        <w:t>Sesame</w:t>
      </w:r>
      <w:r>
        <w:rPr>
          <w:spacing w:val="39"/>
        </w:rPr>
        <w:t> </w:t>
      </w:r>
      <w:r>
        <w:rPr/>
        <w:t>trade</w:t>
      </w:r>
      <w:r>
        <w:rPr>
          <w:spacing w:val="39"/>
        </w:rPr>
        <w:t> </w:t>
      </w:r>
      <w:r>
        <w:rPr/>
        <w:t>arrangements,</w:t>
      </w:r>
      <w:r>
        <w:rPr>
          <w:spacing w:val="38"/>
        </w:rPr>
        <w:t> </w:t>
      </w:r>
      <w:r>
        <w:rPr/>
        <w:t>costs</w:t>
      </w:r>
      <w:r>
        <w:rPr>
          <w:spacing w:val="38"/>
        </w:rPr>
        <w:t> </w:t>
      </w:r>
      <w:r>
        <w:rPr/>
        <w:t>and</w:t>
      </w:r>
      <w:r>
        <w:rPr>
          <w:spacing w:val="40"/>
        </w:rPr>
        <w:t> </w:t>
      </w:r>
      <w:r>
        <w:rPr/>
        <w:t>risks</w:t>
      </w:r>
      <w:r>
        <w:rPr>
          <w:spacing w:val="38"/>
        </w:rPr>
        <w:t> </w:t>
      </w:r>
      <w:r>
        <w:rPr/>
        <w:t>in</w:t>
      </w:r>
      <w:r>
        <w:rPr>
          <w:spacing w:val="36"/>
        </w:rPr>
        <w:t> </w:t>
      </w:r>
      <w:r>
        <w:rPr/>
        <w:t>Ethiopia:</w:t>
      </w:r>
      <w:r>
        <w:rPr>
          <w:spacing w:val="38"/>
        </w:rPr>
        <w:t> </w:t>
      </w:r>
      <w:r>
        <w:rPr/>
        <w:t>A</w:t>
      </w:r>
      <w:r>
        <w:rPr>
          <w:spacing w:val="36"/>
        </w:rPr>
        <w:t> </w:t>
      </w:r>
      <w:r>
        <w:rPr/>
        <w:t>baseline</w:t>
      </w:r>
      <w:r>
        <w:rPr>
          <w:spacing w:val="39"/>
        </w:rPr>
        <w:t> </w:t>
      </w:r>
      <w:r>
        <w:rPr>
          <w:spacing w:val="-2"/>
        </w:rPr>
        <w:t>survey.</w:t>
      </w:r>
    </w:p>
    <w:p>
      <w:pPr>
        <w:pStyle w:val="BodyText"/>
        <w:ind w:left="1040"/>
        <w:jc w:val="left"/>
      </w:pPr>
      <w:r>
        <w:rPr/>
        <w:t>VC4PD</w:t>
      </w:r>
      <w:r>
        <w:rPr>
          <w:spacing w:val="-7"/>
        </w:rPr>
        <w:t> </w:t>
      </w:r>
      <w:r>
        <w:rPr/>
        <w:t>Research</w:t>
      </w:r>
      <w:r>
        <w:rPr>
          <w:spacing w:val="-8"/>
        </w:rPr>
        <w:t> </w:t>
      </w:r>
      <w:r>
        <w:rPr>
          <w:spacing w:val="-2"/>
        </w:rPr>
        <w:t>Papers.</w:t>
      </w:r>
    </w:p>
    <w:p>
      <w:pPr>
        <w:pStyle w:val="BodyText"/>
        <w:spacing w:before="1"/>
        <w:ind w:left="1039" w:hanging="800"/>
        <w:jc w:val="left"/>
      </w:pPr>
      <w:r>
        <w:rPr/>
        <w:t>Sturgeon</w:t>
      </w:r>
      <w:r>
        <w:rPr>
          <w:spacing w:val="-1"/>
        </w:rPr>
        <w:t> </w:t>
      </w:r>
      <w:r>
        <w:rPr/>
        <w:t>J. Timothy, 2001. How</w:t>
      </w:r>
      <w:r>
        <w:rPr>
          <w:spacing w:val="-4"/>
        </w:rPr>
        <w:t> </w:t>
      </w:r>
      <w:r>
        <w:rPr/>
        <w:t>Do We Define Value Chains and Production</w:t>
      </w:r>
      <w:r>
        <w:rPr>
          <w:spacing w:val="-1"/>
        </w:rPr>
        <w:t> </w:t>
      </w:r>
      <w:r>
        <w:rPr/>
        <w:t>Networks. </w:t>
      </w:r>
      <w:r>
        <w:rPr>
          <w:i/>
        </w:rPr>
        <w:t>IDS</w:t>
      </w:r>
      <w:r>
        <w:rPr/>
        <w:t> </w:t>
      </w:r>
      <w:r>
        <w:rPr>
          <w:i/>
        </w:rPr>
        <w:t>Bulleting</w:t>
      </w:r>
      <w:r>
        <w:rPr/>
        <w:t>, Vol. 32, No.3. Industrial performance Center, Massachusetts Institute of Technology.</w:t>
      </w:r>
    </w:p>
    <w:p>
      <w:pPr>
        <w:pStyle w:val="BodyText"/>
        <w:spacing w:line="228" w:lineRule="exact"/>
        <w:jc w:val="left"/>
      </w:pPr>
      <w:r>
        <w:rPr/>
        <w:t>Thomas,</w:t>
      </w:r>
      <w:r>
        <w:rPr>
          <w:spacing w:val="19"/>
        </w:rPr>
        <w:t> </w:t>
      </w:r>
      <w:r>
        <w:rPr/>
        <w:t>Tekle,</w:t>
      </w:r>
      <w:r>
        <w:rPr>
          <w:spacing w:val="17"/>
        </w:rPr>
        <w:t> </w:t>
      </w:r>
      <w:r>
        <w:rPr/>
        <w:t>2011.</w:t>
      </w:r>
      <w:r>
        <w:rPr>
          <w:spacing w:val="18"/>
        </w:rPr>
        <w:t> </w:t>
      </w:r>
      <w:r>
        <w:rPr/>
        <w:t>“Marketing</w:t>
      </w:r>
      <w:r>
        <w:rPr>
          <w:spacing w:val="15"/>
        </w:rPr>
        <w:t> </w:t>
      </w:r>
      <w:r>
        <w:rPr/>
        <w:t>of</w:t>
      </w:r>
      <w:r>
        <w:rPr>
          <w:spacing w:val="17"/>
        </w:rPr>
        <w:t> </w:t>
      </w:r>
      <w:r>
        <w:rPr/>
        <w:t>Sesame</w:t>
      </w:r>
      <w:r>
        <w:rPr>
          <w:spacing w:val="19"/>
        </w:rPr>
        <w:t> </w:t>
      </w:r>
      <w:r>
        <w:rPr/>
        <w:t>in</w:t>
      </w:r>
      <w:r>
        <w:rPr>
          <w:spacing w:val="18"/>
        </w:rPr>
        <w:t> </w:t>
      </w:r>
      <w:r>
        <w:rPr/>
        <w:t>Ethiopia</w:t>
      </w:r>
      <w:r>
        <w:rPr>
          <w:spacing w:val="17"/>
        </w:rPr>
        <w:t> </w:t>
      </w:r>
      <w:r>
        <w:rPr/>
        <w:t>the</w:t>
      </w:r>
      <w:r>
        <w:rPr>
          <w:spacing w:val="19"/>
        </w:rPr>
        <w:t> </w:t>
      </w:r>
      <w:r>
        <w:rPr/>
        <w:t>Case</w:t>
      </w:r>
      <w:r>
        <w:rPr>
          <w:spacing w:val="17"/>
        </w:rPr>
        <w:t> </w:t>
      </w:r>
      <w:r>
        <w:rPr/>
        <w:t>of</w:t>
      </w:r>
      <w:r>
        <w:rPr>
          <w:spacing w:val="15"/>
        </w:rPr>
        <w:t> </w:t>
      </w:r>
      <w:r>
        <w:rPr/>
        <w:t>East</w:t>
      </w:r>
      <w:r>
        <w:rPr>
          <w:spacing w:val="19"/>
        </w:rPr>
        <w:t> </w:t>
      </w:r>
      <w:r>
        <w:rPr/>
        <w:t>Wollega</w:t>
      </w:r>
      <w:r>
        <w:rPr>
          <w:spacing w:val="19"/>
        </w:rPr>
        <w:t> </w:t>
      </w:r>
      <w:r>
        <w:rPr/>
        <w:t>Zone</w:t>
      </w:r>
      <w:r>
        <w:rPr>
          <w:spacing w:val="17"/>
        </w:rPr>
        <w:t> </w:t>
      </w:r>
      <w:r>
        <w:rPr/>
        <w:t>of</w:t>
      </w:r>
      <w:r>
        <w:rPr>
          <w:spacing w:val="15"/>
        </w:rPr>
        <w:t> </w:t>
      </w:r>
      <w:r>
        <w:rPr/>
        <w:t>Oromia</w:t>
      </w:r>
      <w:r>
        <w:rPr>
          <w:spacing w:val="18"/>
        </w:rPr>
        <w:t> </w:t>
      </w:r>
      <w:r>
        <w:rPr>
          <w:spacing w:val="-2"/>
        </w:rPr>
        <w:t>Region”,</w:t>
      </w:r>
    </w:p>
    <w:p>
      <w:pPr>
        <w:pStyle w:val="BodyText"/>
        <w:ind w:left="1040"/>
        <w:jc w:val="left"/>
      </w:pPr>
      <w:r>
        <w:rPr/>
        <w:t>M.A.</w:t>
      </w:r>
      <w:r>
        <w:rPr>
          <w:spacing w:val="-5"/>
        </w:rPr>
        <w:t> </w:t>
      </w:r>
      <w:r>
        <w:rPr/>
        <w:t>thesis,</w:t>
      </w:r>
      <w:r>
        <w:rPr>
          <w:spacing w:val="-5"/>
        </w:rPr>
        <w:t> </w:t>
      </w:r>
      <w:r>
        <w:rPr/>
        <w:t>Addis</w:t>
      </w:r>
      <w:r>
        <w:rPr>
          <w:spacing w:val="-3"/>
        </w:rPr>
        <w:t> </w:t>
      </w:r>
      <w:r>
        <w:rPr/>
        <w:t>Ababa</w:t>
      </w:r>
      <w:r>
        <w:rPr>
          <w:spacing w:val="-6"/>
        </w:rPr>
        <w:t> </w:t>
      </w:r>
      <w:r>
        <w:rPr/>
        <w:t>University,</w:t>
      </w:r>
      <w:r>
        <w:rPr>
          <w:spacing w:val="-4"/>
        </w:rPr>
        <w:t> </w:t>
      </w:r>
      <w:r>
        <w:rPr/>
        <w:t>May</w:t>
      </w:r>
      <w:r>
        <w:rPr>
          <w:spacing w:val="-9"/>
        </w:rPr>
        <w:t> </w:t>
      </w:r>
      <w:r>
        <w:rPr/>
        <w:t>2011,</w:t>
      </w:r>
      <w:r>
        <w:rPr>
          <w:spacing w:val="-5"/>
        </w:rPr>
        <w:t> </w:t>
      </w:r>
      <w:r>
        <w:rPr/>
        <w:t>Addis</w:t>
      </w:r>
      <w:r>
        <w:rPr>
          <w:spacing w:val="-4"/>
        </w:rPr>
        <w:t> </w:t>
      </w:r>
      <w:r>
        <w:rPr>
          <w:spacing w:val="-2"/>
        </w:rPr>
        <w:t>Ababa.</w:t>
      </w:r>
    </w:p>
    <w:p>
      <w:pPr>
        <w:pStyle w:val="BodyText"/>
        <w:spacing w:before="1"/>
        <w:ind w:left="1040" w:right="224" w:hanging="800"/>
      </w:pPr>
      <w:r>
        <w:rPr/>
        <w:t>Urquieta, A., 2009. Effects of access to information on farmer’s market channel choice: The case of potato in Tiraque Sub-Watershed (Cochabamba - Bolivia). M.Sc thesis submitted to the Faculty of the Virginia Polytechnic Institute and State University. Blacksburg, Virginia.102p.</w:t>
      </w:r>
    </w:p>
    <w:p>
      <w:pPr>
        <w:pStyle w:val="BodyText"/>
        <w:spacing w:before="1"/>
        <w:ind w:right="1920"/>
      </w:pPr>
      <w:r>
        <w:rPr/>
        <w:t>USAID-Ethiopia Agribusiness and Trade Expansion; Market Bulletin, 2010: No. 9. Wijnands</w:t>
      </w:r>
      <w:r>
        <w:rPr>
          <w:spacing w:val="-4"/>
        </w:rPr>
        <w:t> </w:t>
      </w:r>
      <w:r>
        <w:rPr/>
        <w:t>J.and</w:t>
      </w:r>
      <w:r>
        <w:rPr>
          <w:spacing w:val="-2"/>
        </w:rPr>
        <w:t> </w:t>
      </w:r>
      <w:r>
        <w:rPr/>
        <w:t>Biersteker</w:t>
      </w:r>
      <w:r>
        <w:rPr>
          <w:spacing w:val="-2"/>
        </w:rPr>
        <w:t> </w:t>
      </w:r>
      <w:r>
        <w:rPr/>
        <w:t>J.</w:t>
      </w:r>
      <w:r>
        <w:rPr>
          <w:spacing w:val="-5"/>
        </w:rPr>
        <w:t> </w:t>
      </w:r>
      <w:r>
        <w:rPr/>
        <w:t>Oil</w:t>
      </w:r>
      <w:r>
        <w:rPr>
          <w:spacing w:val="-3"/>
        </w:rPr>
        <w:t> </w:t>
      </w:r>
      <w:r>
        <w:rPr/>
        <w:t>seeds</w:t>
      </w:r>
      <w:r>
        <w:rPr>
          <w:spacing w:val="-4"/>
        </w:rPr>
        <w:t> </w:t>
      </w:r>
      <w:r>
        <w:rPr/>
        <w:t>business</w:t>
      </w:r>
      <w:r>
        <w:rPr>
          <w:spacing w:val="-4"/>
        </w:rPr>
        <w:t> </w:t>
      </w:r>
      <w:r>
        <w:rPr/>
        <w:t>opportunities</w:t>
      </w:r>
      <w:r>
        <w:rPr>
          <w:spacing w:val="-4"/>
        </w:rPr>
        <w:t> </w:t>
      </w:r>
      <w:r>
        <w:rPr/>
        <w:t>in</w:t>
      </w:r>
      <w:r>
        <w:rPr>
          <w:spacing w:val="-4"/>
        </w:rPr>
        <w:t> </w:t>
      </w:r>
      <w:r>
        <w:rPr/>
        <w:t>Ethiopia;</w:t>
      </w:r>
      <w:r>
        <w:rPr>
          <w:spacing w:val="-3"/>
        </w:rPr>
        <w:t> </w:t>
      </w:r>
      <w:r>
        <w:rPr/>
        <w:t>The</w:t>
      </w:r>
      <w:r>
        <w:rPr>
          <w:spacing w:val="-3"/>
        </w:rPr>
        <w:t> </w:t>
      </w:r>
      <w:r>
        <w:rPr/>
        <w:t>Hague,</w:t>
      </w:r>
      <w:r>
        <w:rPr>
          <w:spacing w:val="-2"/>
        </w:rPr>
        <w:t> </w:t>
      </w:r>
      <w:r>
        <w:rPr/>
        <w:t>2007.</w:t>
      </w:r>
    </w:p>
    <w:p>
      <w:pPr>
        <w:pStyle w:val="BodyText"/>
        <w:ind w:left="1040" w:right="228" w:hanging="800"/>
      </w:pPr>
      <w:r>
        <w:rPr/>
        <w:t>Wolday Amaha, 1994. Food grain marketing development in Ethiopia after reform 1990. A case study of Alaba Siraro. PhD Dissertation Presented to Verlag Koster University, Berlin 293p.</w:t>
      </w:r>
    </w:p>
    <w:p>
      <w:pPr>
        <w:spacing w:before="0"/>
        <w:ind w:left="240" w:right="0" w:firstLine="0"/>
        <w:jc w:val="both"/>
        <w:rPr>
          <w:sz w:val="20"/>
        </w:rPr>
      </w:pPr>
      <w:r>
        <w:rPr>
          <w:sz w:val="20"/>
        </w:rPr>
        <w:t>Yamane,</w:t>
      </w:r>
      <w:r>
        <w:rPr>
          <w:spacing w:val="-5"/>
          <w:sz w:val="20"/>
        </w:rPr>
        <w:t> </w:t>
      </w:r>
      <w:r>
        <w:rPr>
          <w:sz w:val="20"/>
        </w:rPr>
        <w:t>Taro,</w:t>
      </w:r>
      <w:r>
        <w:rPr>
          <w:spacing w:val="-5"/>
          <w:sz w:val="20"/>
        </w:rPr>
        <w:t> </w:t>
      </w:r>
      <w:r>
        <w:rPr>
          <w:sz w:val="20"/>
        </w:rPr>
        <w:t>1967.</w:t>
      </w:r>
      <w:r>
        <w:rPr>
          <w:spacing w:val="-8"/>
          <w:sz w:val="20"/>
        </w:rPr>
        <w:t> </w:t>
      </w:r>
      <w:r>
        <w:rPr>
          <w:i/>
          <w:sz w:val="20"/>
        </w:rPr>
        <w:t>Statistics:</w:t>
      </w:r>
      <w:r>
        <w:rPr>
          <w:spacing w:val="-5"/>
          <w:sz w:val="20"/>
        </w:rPr>
        <w:t> </w:t>
      </w:r>
      <w:r>
        <w:rPr>
          <w:i/>
          <w:sz w:val="20"/>
        </w:rPr>
        <w:t>An</w:t>
      </w:r>
      <w:r>
        <w:rPr>
          <w:spacing w:val="-4"/>
          <w:sz w:val="20"/>
        </w:rPr>
        <w:t> </w:t>
      </w:r>
      <w:r>
        <w:rPr>
          <w:i/>
          <w:sz w:val="20"/>
        </w:rPr>
        <w:t>Introductory</w:t>
      </w:r>
      <w:r>
        <w:rPr>
          <w:spacing w:val="-6"/>
          <w:sz w:val="20"/>
        </w:rPr>
        <w:t> </w:t>
      </w:r>
      <w:r>
        <w:rPr>
          <w:i/>
          <w:sz w:val="20"/>
        </w:rPr>
        <w:t>Analysis</w:t>
      </w:r>
      <w:r>
        <w:rPr>
          <w:sz w:val="20"/>
        </w:rPr>
        <w:t>,</w:t>
      </w:r>
      <w:r>
        <w:rPr>
          <w:spacing w:val="-5"/>
          <w:sz w:val="20"/>
        </w:rPr>
        <w:t> </w:t>
      </w:r>
      <w:r>
        <w:rPr>
          <w:sz w:val="20"/>
        </w:rPr>
        <w:t>2nd</w:t>
      </w:r>
      <w:r>
        <w:rPr>
          <w:spacing w:val="-5"/>
          <w:sz w:val="20"/>
        </w:rPr>
        <w:t> </w:t>
      </w:r>
      <w:r>
        <w:rPr>
          <w:sz w:val="20"/>
        </w:rPr>
        <w:t>Ed.,</w:t>
      </w:r>
      <w:r>
        <w:rPr>
          <w:spacing w:val="-5"/>
          <w:sz w:val="20"/>
        </w:rPr>
        <w:t> </w:t>
      </w:r>
      <w:r>
        <w:rPr>
          <w:sz w:val="20"/>
        </w:rPr>
        <w:t>New</w:t>
      </w:r>
      <w:r>
        <w:rPr>
          <w:spacing w:val="-11"/>
          <w:sz w:val="20"/>
        </w:rPr>
        <w:t> </w:t>
      </w:r>
      <w:r>
        <w:rPr>
          <w:sz w:val="20"/>
        </w:rPr>
        <w:t>York:</w:t>
      </w:r>
      <w:r>
        <w:rPr>
          <w:spacing w:val="-5"/>
          <w:sz w:val="20"/>
        </w:rPr>
        <w:t> </w:t>
      </w:r>
      <w:r>
        <w:rPr>
          <w:sz w:val="20"/>
        </w:rPr>
        <w:t>Harper</w:t>
      </w:r>
      <w:r>
        <w:rPr>
          <w:spacing w:val="-5"/>
          <w:sz w:val="20"/>
        </w:rPr>
        <w:t> </w:t>
      </w:r>
      <w:r>
        <w:rPr>
          <w:sz w:val="20"/>
        </w:rPr>
        <w:t>and</w:t>
      </w:r>
      <w:r>
        <w:rPr>
          <w:spacing w:val="-5"/>
          <w:sz w:val="20"/>
        </w:rPr>
        <w:t> </w:t>
      </w:r>
      <w:r>
        <w:rPr>
          <w:spacing w:val="-4"/>
          <w:sz w:val="20"/>
        </w:rPr>
        <w:t>Row.</w:t>
      </w:r>
    </w:p>
    <w:sectPr>
      <w:pgSz w:w="11900" w:h="16840"/>
      <w:pgMar w:header="846" w:footer="819" w:top="1640" w:bottom="1000" w:left="1180" w:right="1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Wingdings">
    <w:altName w:val="Wingdings"/>
    <w:charset w:val="2"/>
    <w:family w:val="auto"/>
    <w:pitch w:val="variable"/>
  </w:font>
  <w:font w:name="FreeSerif">
    <w:altName w:val="FreeSerif"/>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6314496">
              <wp:simplePos x="0" y="0"/>
              <wp:positionH relativeFrom="page">
                <wp:posOffset>3648547</wp:posOffset>
              </wp:positionH>
              <wp:positionV relativeFrom="page">
                <wp:posOffset>10033565</wp:posOffset>
              </wp:positionV>
              <wp:extent cx="28067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80670" cy="165735"/>
                      </a:xfrm>
                      <a:prstGeom prst="rect">
                        <a:avLst/>
                      </a:prstGeom>
                    </wps:spPr>
                    <wps:txbx>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87.287201pt;margin-top:790.044556pt;width:22.1pt;height:13.05pt;mso-position-horizontal-relative:page;mso-position-vertical-relative:page;z-index:-17001984" type="#_x0000_t202" id="docshape4" filled="false" stroked="false">
              <v:textbox inset="0,0,0,0">
                <w:txbxContent>
                  <w:p>
                    <w:pPr>
                      <w:pStyle w:val="BodyText"/>
                      <w:spacing w:before="10"/>
                      <w:ind w:left="60"/>
                      <w:jc w:val="left"/>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w:drawing>
        <wp:anchor distT="0" distB="0" distL="0" distR="0" allowOverlap="1" layoutInCell="1" locked="0" behindDoc="1" simplePos="0" relativeHeight="486312448">
          <wp:simplePos x="0" y="0"/>
          <wp:positionH relativeFrom="page">
            <wp:posOffset>6390132</wp:posOffset>
          </wp:positionH>
          <wp:positionV relativeFrom="page">
            <wp:posOffset>679698</wp:posOffset>
          </wp:positionV>
          <wp:extent cx="275844" cy="27584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75844" cy="275844"/>
                  </a:xfrm>
                  <a:prstGeom prst="rect">
                    <a:avLst/>
                  </a:prstGeom>
                </pic:spPr>
              </pic:pic>
            </a:graphicData>
          </a:graphic>
        </wp:anchor>
      </w:drawing>
    </w:r>
    <w:r>
      <w:rPr/>
      <mc:AlternateContent>
        <mc:Choice Requires="wps">
          <w:drawing>
            <wp:anchor distT="0" distB="0" distL="0" distR="0" allowOverlap="1" layoutInCell="1" locked="0" behindDoc="1" simplePos="0" relativeHeight="486312960">
              <wp:simplePos x="0" y="0"/>
              <wp:positionH relativeFrom="page">
                <wp:posOffset>880872</wp:posOffset>
              </wp:positionH>
              <wp:positionV relativeFrom="page">
                <wp:posOffset>998215</wp:posOffset>
              </wp:positionV>
              <wp:extent cx="576834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768340" cy="9525"/>
                      </a:xfrm>
                      <a:custGeom>
                        <a:avLst/>
                        <a:gdLst/>
                        <a:ahLst/>
                        <a:cxnLst/>
                        <a:rect l="l" t="t" r="r" b="b"/>
                        <a:pathLst>
                          <a:path w="5768340" h="9525">
                            <a:moveTo>
                              <a:pt x="5768339" y="0"/>
                            </a:moveTo>
                            <a:lnTo>
                              <a:pt x="0" y="0"/>
                            </a:lnTo>
                            <a:lnTo>
                              <a:pt x="0" y="9143"/>
                            </a:lnTo>
                            <a:lnTo>
                              <a:pt x="5768339" y="9143"/>
                            </a:lnTo>
                            <a:lnTo>
                              <a:pt x="5768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78.599617pt;width:454.19999pt;height:.72pt;mso-position-horizontal-relative:page;mso-position-vertical-relative:page;z-index:-1700352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313472">
              <wp:simplePos x="0" y="0"/>
              <wp:positionH relativeFrom="page">
                <wp:posOffset>889507</wp:posOffset>
              </wp:positionH>
              <wp:positionV relativeFrom="page">
                <wp:posOffset>524202</wp:posOffset>
              </wp:positionV>
              <wp:extent cx="2190115" cy="4438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90115" cy="443865"/>
                      </a:xfrm>
                      <a:prstGeom prst="rect">
                        <a:avLst/>
                      </a:prstGeom>
                    </wps:spPr>
                    <wps:txbx>
                      <w:txbxContent>
                        <w:p>
                          <w:pPr>
                            <w:spacing w:before="14"/>
                            <w:ind w:left="20" w:right="0" w:firstLine="0"/>
                            <w:jc w:val="left"/>
                            <w:rPr>
                              <w:sz w:val="16"/>
                            </w:rPr>
                          </w:pPr>
                          <w:r>
                            <w:rPr>
                              <w:sz w:val="16"/>
                            </w:rPr>
                            <w:t>Journal</w:t>
                          </w:r>
                          <w:r>
                            <w:rPr>
                              <w:spacing w:val="-6"/>
                              <w:sz w:val="16"/>
                            </w:rPr>
                            <w:t> </w:t>
                          </w:r>
                          <w:r>
                            <w:rPr>
                              <w:sz w:val="16"/>
                            </w:rPr>
                            <w:t>of</w:t>
                          </w:r>
                          <w:r>
                            <w:rPr>
                              <w:spacing w:val="-4"/>
                              <w:sz w:val="16"/>
                            </w:rPr>
                            <w:t> </w:t>
                          </w:r>
                          <w:r>
                            <w:rPr>
                              <w:sz w:val="16"/>
                            </w:rPr>
                            <w:t>Education</w:t>
                          </w:r>
                          <w:r>
                            <w:rPr>
                              <w:spacing w:val="-3"/>
                              <w:sz w:val="16"/>
                            </w:rPr>
                            <w:t> </w:t>
                          </w:r>
                          <w:r>
                            <w:rPr>
                              <w:sz w:val="16"/>
                            </w:rPr>
                            <w:t>and</w:t>
                          </w:r>
                          <w:r>
                            <w:rPr>
                              <w:spacing w:val="-2"/>
                              <w:sz w:val="16"/>
                            </w:rPr>
                            <w:t> Practice</w:t>
                          </w:r>
                        </w:p>
                        <w:p>
                          <w:pPr>
                            <w:spacing w:line="240" w:lineRule="atLeast" w:before="0"/>
                            <w:ind w:left="20" w:right="0" w:firstLine="0"/>
                            <w:jc w:val="left"/>
                            <w:rPr>
                              <w:sz w:val="16"/>
                            </w:rPr>
                          </w:pPr>
                          <w:r>
                            <w:rPr>
                              <w:sz w:val="16"/>
                            </w:rPr>
                            <w:t>ISSN</w:t>
                          </w:r>
                          <w:r>
                            <w:rPr>
                              <w:spacing w:val="-6"/>
                              <w:sz w:val="16"/>
                            </w:rPr>
                            <w:t> </w:t>
                          </w:r>
                          <w:r>
                            <w:rPr>
                              <w:sz w:val="16"/>
                            </w:rPr>
                            <w:t>2222-1735</w:t>
                          </w:r>
                          <w:r>
                            <w:rPr>
                              <w:spacing w:val="-4"/>
                              <w:sz w:val="16"/>
                            </w:rPr>
                            <w:t> </w:t>
                          </w:r>
                          <w:r>
                            <w:rPr>
                              <w:sz w:val="16"/>
                            </w:rPr>
                            <w:t>(Paper)</w:t>
                          </w:r>
                          <w:r>
                            <w:rPr>
                              <w:spacing w:val="63"/>
                              <w:sz w:val="16"/>
                            </w:rPr>
                            <w:t> </w:t>
                          </w:r>
                          <w:r>
                            <w:rPr>
                              <w:sz w:val="16"/>
                            </w:rPr>
                            <w:t>ISSN</w:t>
                          </w:r>
                          <w:r>
                            <w:rPr>
                              <w:spacing w:val="-6"/>
                              <w:sz w:val="16"/>
                            </w:rPr>
                            <w:t> </w:t>
                          </w:r>
                          <w:r>
                            <w:rPr>
                              <w:sz w:val="16"/>
                            </w:rPr>
                            <w:t>2222-288X</w:t>
                          </w:r>
                          <w:r>
                            <w:rPr>
                              <w:spacing w:val="-7"/>
                              <w:sz w:val="16"/>
                            </w:rPr>
                            <w:t> </w:t>
                          </w:r>
                          <w:r>
                            <w:rPr>
                              <w:sz w:val="16"/>
                            </w:rPr>
                            <w:t>(Online)</w:t>
                          </w:r>
                          <w:r>
                            <w:rPr>
                              <w:spacing w:val="40"/>
                              <w:sz w:val="16"/>
                            </w:rPr>
                            <w:t> </w:t>
                          </w:r>
                          <w:r>
                            <w:rPr>
                              <w:sz w:val="16"/>
                            </w:rPr>
                            <w:t>Vol.8, No.10, 2017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03997pt;margin-top:41.275768pt;width:172.45pt;height:34.950pt;mso-position-horizontal-relative:page;mso-position-vertical-relative:page;z-index:-17003008" type="#_x0000_t202" id="docshape2" filled="false" stroked="false">
              <v:textbox inset="0,0,0,0">
                <w:txbxContent>
                  <w:p>
                    <w:pPr>
                      <w:spacing w:before="14"/>
                      <w:ind w:left="20" w:right="0" w:firstLine="0"/>
                      <w:jc w:val="left"/>
                      <w:rPr>
                        <w:sz w:val="16"/>
                      </w:rPr>
                    </w:pPr>
                    <w:r>
                      <w:rPr>
                        <w:sz w:val="16"/>
                      </w:rPr>
                      <w:t>Journal</w:t>
                    </w:r>
                    <w:r>
                      <w:rPr>
                        <w:spacing w:val="-6"/>
                        <w:sz w:val="16"/>
                      </w:rPr>
                      <w:t> </w:t>
                    </w:r>
                    <w:r>
                      <w:rPr>
                        <w:sz w:val="16"/>
                      </w:rPr>
                      <w:t>of</w:t>
                    </w:r>
                    <w:r>
                      <w:rPr>
                        <w:spacing w:val="-4"/>
                        <w:sz w:val="16"/>
                      </w:rPr>
                      <w:t> </w:t>
                    </w:r>
                    <w:r>
                      <w:rPr>
                        <w:sz w:val="16"/>
                      </w:rPr>
                      <w:t>Education</w:t>
                    </w:r>
                    <w:r>
                      <w:rPr>
                        <w:spacing w:val="-3"/>
                        <w:sz w:val="16"/>
                      </w:rPr>
                      <w:t> </w:t>
                    </w:r>
                    <w:r>
                      <w:rPr>
                        <w:sz w:val="16"/>
                      </w:rPr>
                      <w:t>and</w:t>
                    </w:r>
                    <w:r>
                      <w:rPr>
                        <w:spacing w:val="-2"/>
                        <w:sz w:val="16"/>
                      </w:rPr>
                      <w:t> Practice</w:t>
                    </w:r>
                  </w:p>
                  <w:p>
                    <w:pPr>
                      <w:spacing w:line="240" w:lineRule="atLeast" w:before="0"/>
                      <w:ind w:left="20" w:right="0" w:firstLine="0"/>
                      <w:jc w:val="left"/>
                      <w:rPr>
                        <w:sz w:val="16"/>
                      </w:rPr>
                    </w:pPr>
                    <w:r>
                      <w:rPr>
                        <w:sz w:val="16"/>
                      </w:rPr>
                      <w:t>ISSN</w:t>
                    </w:r>
                    <w:r>
                      <w:rPr>
                        <w:spacing w:val="-6"/>
                        <w:sz w:val="16"/>
                      </w:rPr>
                      <w:t> </w:t>
                    </w:r>
                    <w:r>
                      <w:rPr>
                        <w:sz w:val="16"/>
                      </w:rPr>
                      <w:t>2222-1735</w:t>
                    </w:r>
                    <w:r>
                      <w:rPr>
                        <w:spacing w:val="-4"/>
                        <w:sz w:val="16"/>
                      </w:rPr>
                      <w:t> </w:t>
                    </w:r>
                    <w:r>
                      <w:rPr>
                        <w:sz w:val="16"/>
                      </w:rPr>
                      <w:t>(Paper)</w:t>
                    </w:r>
                    <w:r>
                      <w:rPr>
                        <w:spacing w:val="63"/>
                        <w:sz w:val="16"/>
                      </w:rPr>
                      <w:t> </w:t>
                    </w:r>
                    <w:r>
                      <w:rPr>
                        <w:sz w:val="16"/>
                      </w:rPr>
                      <w:t>ISSN</w:t>
                    </w:r>
                    <w:r>
                      <w:rPr>
                        <w:spacing w:val="-6"/>
                        <w:sz w:val="16"/>
                      </w:rPr>
                      <w:t> </w:t>
                    </w:r>
                    <w:r>
                      <w:rPr>
                        <w:sz w:val="16"/>
                      </w:rPr>
                      <w:t>2222-288X</w:t>
                    </w:r>
                    <w:r>
                      <w:rPr>
                        <w:spacing w:val="-7"/>
                        <w:sz w:val="16"/>
                      </w:rPr>
                      <w:t> </w:t>
                    </w:r>
                    <w:r>
                      <w:rPr>
                        <w:sz w:val="16"/>
                      </w:rPr>
                      <w:t>(Online)</w:t>
                    </w:r>
                    <w:r>
                      <w:rPr>
                        <w:spacing w:val="40"/>
                        <w:sz w:val="16"/>
                      </w:rPr>
                      <w:t> </w:t>
                    </w:r>
                    <w:r>
                      <w:rPr>
                        <w:sz w:val="16"/>
                      </w:rPr>
                      <w:t>Vol.8, No.10, 2017</w:t>
                    </w:r>
                  </w:p>
                </w:txbxContent>
              </v:textbox>
              <w10:wrap type="none"/>
            </v:shape>
          </w:pict>
        </mc:Fallback>
      </mc:AlternateContent>
    </w:r>
    <w:r>
      <w:rPr/>
      <mc:AlternateContent>
        <mc:Choice Requires="wps">
          <w:drawing>
            <wp:anchor distT="0" distB="0" distL="0" distR="0" allowOverlap="1" layoutInCell="1" locked="0" behindDoc="1" simplePos="0" relativeHeight="486313984">
              <wp:simplePos x="0" y="0"/>
              <wp:positionH relativeFrom="page">
                <wp:posOffset>6072629</wp:posOffset>
              </wp:positionH>
              <wp:positionV relativeFrom="page">
                <wp:posOffset>524202</wp:posOffset>
              </wp:positionV>
              <wp:extent cx="59182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91820" cy="139065"/>
                      </a:xfrm>
                      <a:prstGeom prst="rect">
                        <a:avLst/>
                      </a:prstGeom>
                    </wps:spPr>
                    <wps:txbx>
                      <w:txbxContent>
                        <w:p>
                          <w:pPr>
                            <w:spacing w:before="14"/>
                            <w:ind w:left="20" w:right="0" w:firstLine="0"/>
                            <w:jc w:val="left"/>
                            <w:rPr>
                              <w:sz w:val="16"/>
                            </w:rPr>
                          </w:pPr>
                          <w:hyperlink r:id="rId2">
                            <w:r>
                              <w:rPr>
                                <w:color w:val="0000FF"/>
                                <w:spacing w:val="-2"/>
                                <w:sz w:val="16"/>
                                <w:u w:val="single" w:color="0000FF"/>
                              </w:rPr>
                              <w:t>www.iiste.org</w:t>
                            </w:r>
                          </w:hyperlink>
                        </w:p>
                      </w:txbxContent>
                    </wps:txbx>
                    <wps:bodyPr wrap="square" lIns="0" tIns="0" rIns="0" bIns="0" rtlCol="0">
                      <a:noAutofit/>
                    </wps:bodyPr>
                  </wps:wsp>
                </a:graphicData>
              </a:graphic>
            </wp:anchor>
          </w:drawing>
        </mc:Choice>
        <mc:Fallback>
          <w:pict>
            <v:shape style="position:absolute;margin-left:478.159821pt;margin-top:41.275768pt;width:46.6pt;height:10.95pt;mso-position-horizontal-relative:page;mso-position-vertical-relative:page;z-index:-17002496" type="#_x0000_t202" id="docshape3" filled="false" stroked="false">
              <v:textbox inset="0,0,0,0">
                <w:txbxContent>
                  <w:p>
                    <w:pPr>
                      <w:spacing w:before="14"/>
                      <w:ind w:left="20" w:right="0" w:firstLine="0"/>
                      <w:jc w:val="left"/>
                      <w:rPr>
                        <w:sz w:val="16"/>
                      </w:rPr>
                    </w:pPr>
                    <w:hyperlink r:id="rId2">
                      <w:r>
                        <w:rPr>
                          <w:color w:val="0000FF"/>
                          <w:spacing w:val="-2"/>
                          <w:sz w:val="16"/>
                          <w:u w:val="single" w:color="0000FF"/>
                        </w:rPr>
                        <w:t>www.iiste.org</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40" w:hanging="231"/>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170" w:hanging="231"/>
      </w:pPr>
      <w:rPr>
        <w:rFonts w:hint="default"/>
        <w:lang w:val="en-US" w:eastAsia="en-US" w:bidi="ar-SA"/>
      </w:rPr>
    </w:lvl>
    <w:lvl w:ilvl="2">
      <w:start w:val="0"/>
      <w:numFmt w:val="bullet"/>
      <w:lvlText w:val="•"/>
      <w:lvlJc w:val="left"/>
      <w:pPr>
        <w:ind w:left="2100" w:hanging="231"/>
      </w:pPr>
      <w:rPr>
        <w:rFonts w:hint="default"/>
        <w:lang w:val="en-US" w:eastAsia="en-US" w:bidi="ar-SA"/>
      </w:rPr>
    </w:lvl>
    <w:lvl w:ilvl="3">
      <w:start w:val="0"/>
      <w:numFmt w:val="bullet"/>
      <w:lvlText w:val="•"/>
      <w:lvlJc w:val="left"/>
      <w:pPr>
        <w:ind w:left="3030" w:hanging="231"/>
      </w:pPr>
      <w:rPr>
        <w:rFonts w:hint="default"/>
        <w:lang w:val="en-US" w:eastAsia="en-US" w:bidi="ar-SA"/>
      </w:rPr>
    </w:lvl>
    <w:lvl w:ilvl="4">
      <w:start w:val="0"/>
      <w:numFmt w:val="bullet"/>
      <w:lvlText w:val="•"/>
      <w:lvlJc w:val="left"/>
      <w:pPr>
        <w:ind w:left="3960" w:hanging="231"/>
      </w:pPr>
      <w:rPr>
        <w:rFonts w:hint="default"/>
        <w:lang w:val="en-US" w:eastAsia="en-US" w:bidi="ar-SA"/>
      </w:rPr>
    </w:lvl>
    <w:lvl w:ilvl="5">
      <w:start w:val="0"/>
      <w:numFmt w:val="bullet"/>
      <w:lvlText w:val="•"/>
      <w:lvlJc w:val="left"/>
      <w:pPr>
        <w:ind w:left="4890" w:hanging="231"/>
      </w:pPr>
      <w:rPr>
        <w:rFonts w:hint="default"/>
        <w:lang w:val="en-US" w:eastAsia="en-US" w:bidi="ar-SA"/>
      </w:rPr>
    </w:lvl>
    <w:lvl w:ilvl="6">
      <w:start w:val="0"/>
      <w:numFmt w:val="bullet"/>
      <w:lvlText w:val="•"/>
      <w:lvlJc w:val="left"/>
      <w:pPr>
        <w:ind w:left="5820" w:hanging="231"/>
      </w:pPr>
      <w:rPr>
        <w:rFonts w:hint="default"/>
        <w:lang w:val="en-US" w:eastAsia="en-US" w:bidi="ar-SA"/>
      </w:rPr>
    </w:lvl>
    <w:lvl w:ilvl="7">
      <w:start w:val="0"/>
      <w:numFmt w:val="bullet"/>
      <w:lvlText w:val="•"/>
      <w:lvlJc w:val="left"/>
      <w:pPr>
        <w:ind w:left="6750" w:hanging="231"/>
      </w:pPr>
      <w:rPr>
        <w:rFonts w:hint="default"/>
        <w:lang w:val="en-US" w:eastAsia="en-US" w:bidi="ar-SA"/>
      </w:rPr>
    </w:lvl>
    <w:lvl w:ilvl="8">
      <w:start w:val="0"/>
      <w:numFmt w:val="bullet"/>
      <w:lvlText w:val="•"/>
      <w:lvlJc w:val="left"/>
      <w:pPr>
        <w:ind w:left="7680" w:hanging="231"/>
      </w:pPr>
      <w:rPr>
        <w:rFonts w:hint="default"/>
        <w:lang w:val="en-US" w:eastAsia="en-US" w:bidi="ar-SA"/>
      </w:rPr>
    </w:lvl>
  </w:abstractNum>
  <w:abstractNum w:abstractNumId="0">
    <w:multiLevelType w:val="hybridMultilevel"/>
    <w:lvl w:ilvl="0">
      <w:start w:val="0"/>
      <w:numFmt w:val="bullet"/>
      <w:lvlText w:val=""/>
      <w:lvlJc w:val="left"/>
      <w:pPr>
        <w:ind w:left="872"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96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1913" w:hanging="360"/>
      </w:pPr>
      <w:rPr>
        <w:rFonts w:hint="default"/>
        <w:lang w:val="en-US" w:eastAsia="en-US" w:bidi="ar-SA"/>
      </w:rPr>
    </w:lvl>
    <w:lvl w:ilvl="3">
      <w:start w:val="0"/>
      <w:numFmt w:val="bullet"/>
      <w:lvlText w:val="•"/>
      <w:lvlJc w:val="left"/>
      <w:pPr>
        <w:ind w:left="2866" w:hanging="360"/>
      </w:pPr>
      <w:rPr>
        <w:rFonts w:hint="default"/>
        <w:lang w:val="en-US" w:eastAsia="en-US" w:bidi="ar-SA"/>
      </w:rPr>
    </w:lvl>
    <w:lvl w:ilvl="4">
      <w:start w:val="0"/>
      <w:numFmt w:val="bullet"/>
      <w:lvlText w:val="•"/>
      <w:lvlJc w:val="left"/>
      <w:pPr>
        <w:ind w:left="3820"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726" w:hanging="360"/>
      </w:pPr>
      <w:rPr>
        <w:rFonts w:hint="default"/>
        <w:lang w:val="en-US" w:eastAsia="en-US" w:bidi="ar-SA"/>
      </w:rPr>
    </w:lvl>
    <w:lvl w:ilvl="7">
      <w:start w:val="0"/>
      <w:numFmt w:val="bullet"/>
      <w:lvlText w:val="•"/>
      <w:lvlJc w:val="left"/>
      <w:pPr>
        <w:ind w:left="668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40"/>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36"/>
      <w:outlineLvl w:val="1"/>
    </w:pPr>
    <w:rPr>
      <w:rFonts w:ascii="FreeSerif" w:hAnsi="FreeSerif" w:eastAsia="FreeSerif" w:cs="FreeSerif"/>
      <w:sz w:val="24"/>
      <w:szCs w:val="24"/>
      <w:lang w:val="en-US" w:eastAsia="en-US" w:bidi="ar-SA"/>
    </w:rPr>
  </w:style>
  <w:style w:styleId="Heading2" w:type="paragraph">
    <w:name w:val="Heading 2"/>
    <w:basedOn w:val="Normal"/>
    <w:uiPriority w:val="1"/>
    <w:qFormat/>
    <w:pPr>
      <w:spacing w:line="228" w:lineRule="exact"/>
      <w:ind w:left="240"/>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ind w:left="240"/>
      <w:jc w:val="both"/>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04"/>
      <w:ind w:left="13"/>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24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acetforafrica.org/" TargetMode="External"/><Relationship Id="rId10" Type="http://schemas.openxmlformats.org/officeDocument/2006/relationships/hyperlink" Target="http://www.ethioinvest.org/" TargetMode="External"/><Relationship Id="rId11" Type="http://schemas.openxmlformats.org/officeDocument/2006/relationships/hyperlink" Target="http://www.erca.gov.et/" TargetMode="External"/><Relationship Id="rId12" Type="http://schemas.openxmlformats.org/officeDocument/2006/relationships/hyperlink" Target="http://www.FAOSTAT.Com/" TargetMode="External"/><Relationship Id="rId13" Type="http://schemas.openxmlformats.org/officeDocument/2006/relationships/hyperlink" Target="http://www.mspa.mu/index.php?rubrique=15" TargetMode="Externa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iis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zeze</dc:creator>
  <dc:title>&lt;4D6963726F736F667420576F7264202D204A45502D566F6C2E38204E6F2E313020323031372DB5DAD2BBC6AAD2D1BEADC5C5BAC3A3ACC7EBBCCCD0F8C5C5&gt;</dc:title>
  <dcterms:created xsi:type="dcterms:W3CDTF">2025-01-27T15:51:18Z</dcterms:created>
  <dcterms:modified xsi:type="dcterms:W3CDTF">2025-01-27T15:51:18Z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2017-05-01T00:00:00Z</vt:filetime>
  </property>
  <property fmtid="{D5CDD505-2E9C-101B-9397-08002B2CF9AE}" pid="3" name="Creator">
    <vt:lpwstr>PDF24 Creator</vt:lpwstr>
  </property>
  <property fmtid="{D5CDD505-2E9C-101B-9397-08002B2CF9AE}" pid="4" name="LastSaved">
    <vt:filetime>2025-01-27T00:00:00Z</vt:filetime>
  </property>
  <property fmtid="{D5CDD505-2E9C-101B-9397-08002B2CF9AE}" pid="5" name="Producer">
    <vt:lpwstr>3-Heights(TM) PDF Security Shell 4.8.25.2 (http://www.pdf-tools.com)</vt:lpwstr>
  </property>
</Properties>
</file>