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jc w:val="center"/>
      </w:pPr>
      <w:r>
        <w:rPr>
          <w:rFonts w:ascii="Arial" w:hAnsi="Arial"/>
          <w:b/>
          <w:color w:val="006EBD"/>
          <w:sz w:val="28"/>
        </w:rPr>
        <w:t>A Course Based Project on</w:t>
      </w:r>
    </w:p>
    <w:p>
      <w:pPr>
        <w:spacing w:before="120" w:after="280"/>
        <w:jc w:val="center"/>
      </w:pPr>
      <w:r>
        <w:rPr>
          <w:rFonts w:ascii="Arial" w:hAnsi="Arial"/>
          <w:b/>
          <w:color w:val="FF0000"/>
          <w:sz w:val="32"/>
        </w:rPr>
        <w:t>INTELLIROOM AI: MULTI-ZONE SMART ROOM ENERGY MANAGEMENT SYSTEM</w:t>
      </w:r>
    </w:p>
    <w:p>
      <w:pPr>
        <w:spacing w:after="40"/>
        <w:jc w:val="center"/>
      </w:pPr>
      <w:r>
        <w:rPr>
          <w:rFonts w:ascii="Arial" w:hAnsi="Arial"/>
          <w:b/>
          <w:color w:val="006EBD"/>
          <w:sz w:val="24"/>
        </w:rPr>
        <w:t>Submitted to the Department of Computer Science and Engineering (Internet of Things)</w:t>
        <w:br/>
      </w:r>
      <w:r>
        <w:rPr>
          <w:rFonts w:ascii="Arial" w:hAnsi="Arial"/>
          <w:b/>
          <w:color w:val="006EBD"/>
          <w:sz w:val="22"/>
        </w:rPr>
        <w:t>in partial fulfillment of the requirements for the completion of course</w:t>
      </w:r>
    </w:p>
    <w:p>
      <w:pPr>
        <w:spacing w:before="160" w:after="160"/>
        <w:jc w:val="center"/>
      </w:pPr>
      <w:r>
        <w:rPr>
          <w:rFonts w:ascii="Arial" w:hAnsi="Arial"/>
          <w:b/>
          <w:color w:val="00AE4F"/>
          <w:sz w:val="24"/>
        </w:rPr>
        <w:t>COURSE BASED PROJECT</w:t>
      </w:r>
    </w:p>
    <w:p>
      <w:pPr>
        <w:spacing w:after="240"/>
        <w:jc w:val="center"/>
      </w:pPr>
      <w:r>
        <w:rPr>
          <w:rFonts w:ascii="Arial" w:hAnsi="Arial"/>
          <w:b/>
          <w:color w:val="FF0000"/>
          <w:sz w:val="28"/>
        </w:rPr>
        <w:t>BACHELOR OF TECHNOLOGY</w:t>
        <w:br/>
      </w:r>
      <w:r>
        <w:rPr>
          <w:rFonts w:ascii="Arial" w:hAnsi="Arial"/>
          <w:color w:val="000000"/>
          <w:sz w:val="22"/>
        </w:rPr>
        <w:t>in</w:t>
        <w:br/>
      </w:r>
      <w:r>
        <w:rPr>
          <w:rFonts w:ascii="Arial" w:hAnsi="Arial"/>
          <w:b/>
          <w:color w:val="FF0000"/>
          <w:sz w:val="26"/>
        </w:rPr>
        <w:t>Computer Science and Engineering (Internet of Things)</w:t>
      </w:r>
    </w:p>
    <w:p>
      <w:pPr>
        <w:spacing w:after="80"/>
        <w:jc w:val="center"/>
      </w:pPr>
      <w:r>
        <w:rPr>
          <w:rFonts w:ascii="Times New Roman" w:hAnsi="Times New Roman"/>
          <w:b/>
          <w:sz w:val="22"/>
        </w:rPr>
        <w:t>Submitted by</w:t>
      </w:r>
    </w:p>
    <w:tbl>
      <w:tblPr>
        <w:tblW w:type="auto" w:w="0"/>
        <w:jc w:val="center"/>
        <w:tblLook w:firstColumn="1" w:firstRow="1" w:lastColumn="0" w:lastRow="0" w:noHBand="0" w:noVBand="1" w:val="04A0"/>
        <w:tblBorders>
          <w:top w:val="single" w:sz="6" w:space="0" w:color="333333"/>
          <w:left w:val="none"/>
          <w:bottom w:val="single" w:sz="6" w:space="0" w:color="333333"/>
          <w:right w:val="none"/>
          <w:insideH w:val="single" w:sz="4" w:space="0" w:color="D0D0D0"/>
          <w:insideV w:val="none"/>
        </w:tblBorders>
      </w:tblPr>
      <w:tblGrid>
        <w:gridCol w:w="4680"/>
        <w:gridCol w:w="4680"/>
      </w:tblGrid>
      <w:tr>
        <w:tc>
          <w:tcPr>
            <w:tcW w:type="dxa" w:w="4608"/>
            <w:shd w:fill="EFEFEF"/>
            <w:tcMar>
              <w:top w:w="120" w:type="dxa"/>
              <w:bottom w:w="120" w:type="dxa"/>
              <w:left w:w="140" w:type="dxa"/>
              <w:right w:w="140" w:type="dxa"/>
            </w:tcMar>
            <w:vAlign w:val="center"/>
          </w:tcPr>
          <w:p>
            <w:pPr>
              <w:spacing w:before="0" w:after="0"/>
              <w:jc w:val="center"/>
            </w:pPr>
            <w:r>
              <w:rPr>
                <w:rFonts w:ascii="Times New Roman" w:hAnsi="Times New Roman"/>
                <w:b/>
                <w:color w:val="000000"/>
                <w:sz w:val="20"/>
              </w:rPr>
              <w:t>Student Name</w:t>
            </w:r>
          </w:p>
        </w:tc>
        <w:tc>
          <w:tcPr>
            <w:tcW w:type="dxa" w:w="3312"/>
            <w:shd w:fill="EFEFEF"/>
            <w:tcMar>
              <w:top w:w="120" w:type="dxa"/>
              <w:bottom w:w="120" w:type="dxa"/>
              <w:left w:w="140" w:type="dxa"/>
              <w:right w:w="140" w:type="dxa"/>
            </w:tcMar>
            <w:vAlign w:val="center"/>
          </w:tcPr>
          <w:p>
            <w:pPr>
              <w:spacing w:before="0" w:after="0"/>
              <w:jc w:val="center"/>
            </w:pPr>
            <w:r>
              <w:rPr>
                <w:rFonts w:ascii="Times New Roman" w:hAnsi="Times New Roman"/>
                <w:b/>
                <w:color w:val="000000"/>
                <w:sz w:val="20"/>
              </w:rPr>
              <w:t>Roll Number</w:t>
            </w:r>
          </w:p>
        </w:tc>
      </w:tr>
      <w:tr>
        <w:tc>
          <w:tcPr>
            <w:tcW w:type="dxa" w:w="4608"/>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B. Balaji</w:t>
            </w:r>
          </w:p>
        </w:tc>
        <w:tc>
          <w:tcPr>
            <w:tcW w:type="dxa" w:w="3312"/>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25071A6909</w:t>
            </w:r>
          </w:p>
        </w:tc>
      </w:tr>
      <w:tr>
        <w:tc>
          <w:tcPr>
            <w:tcW w:type="dxa" w:w="4608"/>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Ch. Radha Krishna</w:t>
            </w:r>
          </w:p>
        </w:tc>
        <w:tc>
          <w:tcPr>
            <w:tcW w:type="dxa" w:w="3312"/>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25071A6910</w:t>
            </w:r>
          </w:p>
        </w:tc>
      </w:tr>
      <w:tr>
        <w:tc>
          <w:tcPr>
            <w:tcW w:type="dxa" w:w="4608"/>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Ch. Bhargav</w:t>
            </w:r>
          </w:p>
        </w:tc>
        <w:tc>
          <w:tcPr>
            <w:tcW w:type="dxa" w:w="3312"/>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25071A6911</w:t>
            </w:r>
          </w:p>
        </w:tc>
      </w:tr>
      <w:tr>
        <w:tc>
          <w:tcPr>
            <w:tcW w:type="dxa" w:w="4608"/>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Ch. Sri Harshini</w:t>
            </w:r>
          </w:p>
        </w:tc>
        <w:tc>
          <w:tcPr>
            <w:tcW w:type="dxa" w:w="3312"/>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25071A6912</w:t>
            </w:r>
          </w:p>
        </w:tc>
      </w:tr>
    </w:tbl>
    <w:p>
      <w:pPr>
        <w:spacing w:before="160" w:after="40"/>
        <w:jc w:val="center"/>
      </w:pPr>
      <w:r>
        <w:rPr>
          <w:rFonts w:ascii="Times New Roman" w:hAnsi="Times New Roman"/>
          <w:sz w:val="20"/>
        </w:rPr>
        <w:t>UNDER THE SUPERVISION OF</w:t>
        <w:br/>
        <w:t>NAME, Associate Professor</w:t>
        <w:br/>
        <w:t>NAME, Assistant Professor</w:t>
        <w:br/>
        <w:t>NAME, Assistant Professor</w:t>
      </w:r>
    </w:p>
    <w:p>
      <w:pPr>
        <w:spacing w:after="40"/>
        <w:jc w:val="center"/>
      </w:pPr>
      <w:r>
        <w:rPr>
          <w:rFonts w:ascii="Arial" w:hAnsi="Arial"/>
          <w:b/>
          <w:color w:val="00B050"/>
          <w:sz w:val="22"/>
        </w:rPr>
        <w:t>DEPARTMENT OF COMPUTER SCIENCE AND ENGINEERING (IoT)</w:t>
        <w:br/>
      </w:r>
      <w:r>
        <w:rPr>
          <w:rFonts w:ascii="Arial" w:hAnsi="Arial"/>
          <w:b/>
          <w:color w:val="C00000"/>
          <w:sz w:val="24"/>
        </w:rPr>
        <w:t>VALLURUPALLI NAGESWARA RAO</w:t>
        <w:br/>
      </w:r>
      <w:r>
        <w:rPr>
          <w:rFonts w:ascii="Arial" w:hAnsi="Arial"/>
          <w:b/>
          <w:color w:val="C00000"/>
          <w:sz w:val="24"/>
        </w:rPr>
        <w:t>VIGNANA JYOTHI INSTITUTE OF ENGINEERING &amp; TECHNOLOGY</w:t>
        <w:br/>
      </w:r>
      <w:r>
        <w:rPr>
          <w:rFonts w:ascii="Arial" w:hAnsi="Arial"/>
          <w:color w:val="001F5F"/>
          <w:sz w:val="20"/>
        </w:rPr>
        <w:t>Vignana Jyothi Nagar, Bachupally, Hyderabad 500118, Telangana India</w:t>
        <w:br/>
      </w:r>
      <w:r>
        <w:rPr>
          <w:rFonts w:ascii="Arial" w:hAnsi="Arial"/>
          <w:b/>
          <w:color w:val="000000"/>
          <w:sz w:val="21"/>
        </w:rPr>
        <w:t>A.Y. 2026-27</w:t>
      </w:r>
    </w:p>
    <w:p>
      <w:r>
        <w:br w:type="page"/>
      </w:r>
    </w:p>
    <w:p>
      <w:pPr>
        <w:spacing w:after="120"/>
        <w:jc w:val="center"/>
      </w:pPr>
      <w:r>
        <w:rPr>
          <w:rFonts w:ascii="Times New Roman" w:hAnsi="Times New Roman"/>
          <w:b/>
          <w:sz w:val="24"/>
        </w:rPr>
        <w:t>Department of Computer Science and Engineering (Internet of Things)</w:t>
        <w:br/>
        <w:br/>
      </w:r>
      <w:r>
        <w:rPr>
          <w:rFonts w:ascii="Times New Roman" w:hAnsi="Times New Roman"/>
          <w:b/>
          <w:sz w:val="32"/>
          <w:u w:val="single"/>
        </w:rPr>
        <w:t>CERTIFICATE</w:t>
      </w:r>
    </w:p>
    <w:p>
      <w:pPr>
        <w:spacing w:after="480" w:line="276" w:lineRule="auto"/>
      </w:pPr>
      <w:r>
        <w:rPr>
          <w:rFonts w:ascii="Times New Roman" w:hAnsi="Times New Roman"/>
          <w:i w:val="0"/>
          <w:color w:val="000000"/>
          <w:sz w:val="22"/>
        </w:rPr>
        <w:t>This is to certify that the course based project entitled "INTELLIROOM AI: MULTI-ZONE SMART ROOM ENERGY MANAGEMENT SYSTEM" is being submitted by B. Balaji (25071A6909), Ch. Radha Krishna (25071A6910), Ch. Bhargav (25071A6911), and Ch. Sri Harshini (25071A6912), for the partial fulfillment of requirements for course based project of COURSE BASED PROJECT in Bachelor of Technology in Computer Science and Engineering (Internet of Things) of VNRVJIET, Hyderabad during the academic year 2026 - 2027.</w:t>
      </w:r>
    </w:p>
    <w:tbl>
      <w:tblPr>
        <w:tblW w:type="auto" w:w="0"/>
        <w:jc w:val="center"/>
        <w:tblLook w:firstColumn="1" w:firstRow="1" w:lastColumn="0" w:lastRow="0" w:noHBand="0" w:noVBand="1" w:val="04A0"/>
        <w:tblBorders>
          <w:top w:val="single" w:sz="6" w:space="0" w:color="333333"/>
          <w:left w:val="none"/>
          <w:bottom w:val="single" w:sz="6" w:space="0" w:color="333333"/>
          <w:right w:val="none"/>
          <w:insideH w:val="single" w:sz="4" w:space="0" w:color="D0D0D0"/>
          <w:insideV w:val="none"/>
        </w:tblBorders>
      </w:tblPr>
      <w:tblGrid>
        <w:gridCol w:w="3120"/>
        <w:gridCol w:w="3120"/>
        <w:gridCol w:w="3120"/>
      </w:tblGrid>
      <w:tr>
        <w:tc>
          <w:tcPr>
            <w:tcW w:type="dxa" w:w="3168"/>
            <w:shd w:fill="EFEFEF"/>
            <w:tcMar>
              <w:top w:w="120" w:type="dxa"/>
              <w:bottom w:w="120" w:type="dxa"/>
              <w:left w:w="140" w:type="dxa"/>
              <w:right w:w="140" w:type="dxa"/>
            </w:tcMar>
            <w:vAlign w:val="center"/>
          </w:tcPr>
          <w:p>
            <w:pPr>
              <w:spacing w:before="0" w:after="0"/>
              <w:jc w:val="center"/>
            </w:pPr>
            <w:r>
              <w:rPr>
                <w:rFonts w:ascii="Times New Roman" w:hAnsi="Times New Roman"/>
                <w:b/>
                <w:color w:val="000000"/>
                <w:sz w:val="20"/>
              </w:rPr>
              <w:t>Course Coordinator</w:t>
            </w:r>
          </w:p>
        </w:tc>
        <w:tc>
          <w:tcPr>
            <w:tcW w:type="dxa" w:w="3168"/>
            <w:shd w:fill="EFEFEF"/>
            <w:tcMar>
              <w:top w:w="120" w:type="dxa"/>
              <w:bottom w:w="120" w:type="dxa"/>
              <w:left w:w="140" w:type="dxa"/>
              <w:right w:w="140" w:type="dxa"/>
            </w:tcMar>
            <w:vAlign w:val="center"/>
          </w:tcPr>
          <w:p>
            <w:pPr>
              <w:spacing w:before="0" w:after="0"/>
              <w:jc w:val="center"/>
            </w:pPr>
            <w:r>
              <w:rPr>
                <w:rFonts w:ascii="Times New Roman" w:hAnsi="Times New Roman"/>
                <w:b/>
                <w:color w:val="000000"/>
                <w:sz w:val="20"/>
              </w:rPr>
              <w:t>Course Coordinator</w:t>
            </w:r>
          </w:p>
        </w:tc>
        <w:tc>
          <w:tcPr>
            <w:tcW w:type="dxa" w:w="3168"/>
            <w:shd w:fill="EFEFEF"/>
            <w:tcMar>
              <w:top w:w="120" w:type="dxa"/>
              <w:bottom w:w="120" w:type="dxa"/>
              <w:left w:w="140" w:type="dxa"/>
              <w:right w:w="140" w:type="dxa"/>
            </w:tcMar>
            <w:vAlign w:val="center"/>
          </w:tcPr>
          <w:p>
            <w:pPr>
              <w:spacing w:before="0" w:after="0"/>
              <w:jc w:val="center"/>
            </w:pPr>
            <w:r>
              <w:rPr>
                <w:rFonts w:ascii="Times New Roman" w:hAnsi="Times New Roman"/>
                <w:b/>
                <w:color w:val="000000"/>
                <w:sz w:val="20"/>
              </w:rPr>
              <w:t>Head of the Department</w:t>
            </w:r>
          </w:p>
        </w:tc>
      </w:tr>
      <w:tr>
        <w:tc>
          <w:tcPr>
            <w:tcW w:type="dxa" w:w="3168"/>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Associate Professor</w:t>
              <w:br/>
              <w:t>VNRVJIET, Hyd.</w:t>
            </w:r>
          </w:p>
        </w:tc>
        <w:tc>
          <w:tcPr>
            <w:tcW w:type="dxa" w:w="3168"/>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Assistant Professor</w:t>
              <w:br/>
              <w:t>VNRVJIET, Hyd.</w:t>
            </w:r>
          </w:p>
        </w:tc>
        <w:tc>
          <w:tcPr>
            <w:tcW w:type="dxa" w:w="3168"/>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Assoc. Professor &amp; Head</w:t>
              <w:br/>
              <w:t>VNRVJIET, Hyd.</w:t>
            </w:r>
          </w:p>
        </w:tc>
      </w:tr>
      <w:tr>
        <w:tc>
          <w:tcPr>
            <w:tcW w:type="dxa" w:w="3168"/>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Signature: _____________</w:t>
            </w:r>
          </w:p>
        </w:tc>
        <w:tc>
          <w:tcPr>
            <w:tcW w:type="dxa" w:w="3168"/>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Signature: _____________</w:t>
            </w:r>
          </w:p>
        </w:tc>
        <w:tc>
          <w:tcPr>
            <w:tcW w:type="dxa" w:w="3168"/>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Signature: _____________</w:t>
            </w:r>
          </w:p>
        </w:tc>
      </w:tr>
    </w:tbl>
    <w:p>
      <w:r>
        <w:br w:type="page"/>
      </w:r>
    </w:p>
    <w:p>
      <w:pPr>
        <w:spacing w:before="200" w:after="320"/>
        <w:jc w:val="center"/>
      </w:pPr>
      <w:r>
        <w:rPr>
          <w:rFonts w:ascii="Times New Roman" w:hAnsi="Times New Roman"/>
          <w:b/>
          <w:sz w:val="32"/>
          <w:u w:val="single"/>
        </w:rPr>
        <w:t>DECLARATION</w:t>
      </w:r>
    </w:p>
    <w:p>
      <w:pPr>
        <w:spacing w:after="360" w:line="276" w:lineRule="auto"/>
      </w:pPr>
      <w:r>
        <w:rPr>
          <w:rFonts w:ascii="Times New Roman" w:hAnsi="Times New Roman"/>
          <w:i w:val="0"/>
          <w:color w:val="000000"/>
          <w:sz w:val="22"/>
        </w:rPr>
        <w:t>We do declare that the course based project report entitled "INTELLIROOM AI: MULTI-ZONE SMART ROOM ENERGY MANAGEMENT SYSTEM" submitted to the Department of Computer Science and Engineering (Internet of Things), Vallurupalli Nageswara Rao Vignana Jyothi Institute of Engineering and Technology, Hyderabad, is a record of bonafide work carried out by us under guidance and supervision. We further declare that the results embodied in this report have not been submitted to any other University or Institute for the award of any degree or diploma.</w:t>
      </w:r>
    </w:p>
    <w:p>
      <w:pPr>
        <w:spacing w:after="240"/>
      </w:pPr>
      <w:r>
        <w:rPr>
          <w:rFonts w:ascii="Times New Roman" w:hAnsi="Times New Roman"/>
        </w:rPr>
        <w:t>Place: Hyderabad</w:t>
        <w:br/>
        <w:t>Date: 23-10-2026</w:t>
      </w:r>
    </w:p>
    <w:tbl>
      <w:tblPr>
        <w:tblW w:type="auto" w:w="0"/>
        <w:jc w:val="center"/>
        <w:tblLook w:firstColumn="1" w:firstRow="1" w:lastColumn="0" w:lastRow="0" w:noHBand="0" w:noVBand="1" w:val="04A0"/>
        <w:tblBorders>
          <w:top w:val="single" w:sz="6" w:space="0" w:color="333333"/>
          <w:left w:val="none"/>
          <w:bottom w:val="single" w:sz="6" w:space="0" w:color="333333"/>
          <w:right w:val="none"/>
          <w:insideH w:val="single" w:sz="4" w:space="0" w:color="D0D0D0"/>
          <w:insideV w:val="none"/>
        </w:tblBorders>
      </w:tblPr>
      <w:tblGrid>
        <w:gridCol w:w="3120"/>
        <w:gridCol w:w="3120"/>
        <w:gridCol w:w="3120"/>
      </w:tblGrid>
      <w:tr>
        <w:tc>
          <w:tcPr>
            <w:tcW w:type="dxa" w:w="3456"/>
            <w:shd w:fill="EFEFEF"/>
            <w:tcMar>
              <w:top w:w="120" w:type="dxa"/>
              <w:bottom w:w="120" w:type="dxa"/>
              <w:left w:w="140" w:type="dxa"/>
              <w:right w:w="140" w:type="dxa"/>
            </w:tcMar>
            <w:vAlign w:val="center"/>
          </w:tcPr>
          <w:p>
            <w:pPr>
              <w:spacing w:before="0" w:after="0"/>
              <w:jc w:val="center"/>
            </w:pPr>
            <w:r>
              <w:rPr>
                <w:rFonts w:ascii="Times New Roman" w:hAnsi="Times New Roman"/>
                <w:b/>
                <w:color w:val="000000"/>
                <w:sz w:val="20"/>
              </w:rPr>
              <w:t>Student Name</w:t>
            </w:r>
          </w:p>
        </w:tc>
        <w:tc>
          <w:tcPr>
            <w:tcW w:type="dxa" w:w="2880"/>
            <w:shd w:fill="EFEFEF"/>
            <w:tcMar>
              <w:top w:w="120" w:type="dxa"/>
              <w:bottom w:w="120" w:type="dxa"/>
              <w:left w:w="140" w:type="dxa"/>
              <w:right w:w="140" w:type="dxa"/>
            </w:tcMar>
            <w:vAlign w:val="center"/>
          </w:tcPr>
          <w:p>
            <w:pPr>
              <w:spacing w:before="0" w:after="0"/>
              <w:jc w:val="center"/>
            </w:pPr>
            <w:r>
              <w:rPr>
                <w:rFonts w:ascii="Times New Roman" w:hAnsi="Times New Roman"/>
                <w:b/>
                <w:color w:val="000000"/>
                <w:sz w:val="20"/>
              </w:rPr>
              <w:t>Roll No.</w:t>
            </w:r>
          </w:p>
        </w:tc>
        <w:tc>
          <w:tcPr>
            <w:tcW w:type="dxa" w:w="3168"/>
            <w:shd w:fill="EFEFEF"/>
            <w:tcMar>
              <w:top w:w="120" w:type="dxa"/>
              <w:bottom w:w="120" w:type="dxa"/>
              <w:left w:w="140" w:type="dxa"/>
              <w:right w:w="140" w:type="dxa"/>
            </w:tcMar>
            <w:vAlign w:val="center"/>
          </w:tcPr>
          <w:p>
            <w:pPr>
              <w:spacing w:before="0" w:after="0"/>
              <w:jc w:val="center"/>
            </w:pPr>
            <w:r>
              <w:rPr>
                <w:rFonts w:ascii="Times New Roman" w:hAnsi="Times New Roman"/>
                <w:b/>
                <w:color w:val="000000"/>
                <w:sz w:val="20"/>
              </w:rPr>
              <w:t>Student Signature</w:t>
            </w:r>
          </w:p>
        </w:tc>
      </w:tr>
      <w:tr>
        <w:tc>
          <w:tcPr>
            <w:tcW w:type="dxa" w:w="3456"/>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B. Balaji</w:t>
            </w:r>
          </w:p>
        </w:tc>
        <w:tc>
          <w:tcPr>
            <w:tcW w:type="dxa" w:w="2880"/>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25071A6909</w:t>
            </w:r>
          </w:p>
        </w:tc>
        <w:tc>
          <w:tcPr>
            <w:tcW w:type="dxa" w:w="3168"/>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__________________</w:t>
            </w:r>
          </w:p>
        </w:tc>
      </w:tr>
      <w:tr>
        <w:tc>
          <w:tcPr>
            <w:tcW w:type="dxa" w:w="3456"/>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Ch. Radha Krishna</w:t>
            </w:r>
          </w:p>
        </w:tc>
        <w:tc>
          <w:tcPr>
            <w:tcW w:type="dxa" w:w="2880"/>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25071A6910</w:t>
            </w:r>
          </w:p>
        </w:tc>
        <w:tc>
          <w:tcPr>
            <w:tcW w:type="dxa" w:w="3168"/>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__________________</w:t>
            </w:r>
          </w:p>
        </w:tc>
      </w:tr>
      <w:tr>
        <w:tc>
          <w:tcPr>
            <w:tcW w:type="dxa" w:w="3456"/>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Ch. Bhargav</w:t>
            </w:r>
          </w:p>
        </w:tc>
        <w:tc>
          <w:tcPr>
            <w:tcW w:type="dxa" w:w="2880"/>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25071A6911</w:t>
            </w:r>
          </w:p>
        </w:tc>
        <w:tc>
          <w:tcPr>
            <w:tcW w:type="dxa" w:w="3168"/>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__________________</w:t>
            </w:r>
          </w:p>
        </w:tc>
      </w:tr>
      <w:tr>
        <w:tc>
          <w:tcPr>
            <w:tcW w:type="dxa" w:w="3456"/>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Ch. Sri Harshini</w:t>
            </w:r>
          </w:p>
        </w:tc>
        <w:tc>
          <w:tcPr>
            <w:tcW w:type="dxa" w:w="2880"/>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25071A6912</w:t>
            </w:r>
          </w:p>
        </w:tc>
        <w:tc>
          <w:tcPr>
            <w:tcW w:type="dxa" w:w="3168"/>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__________________</w:t>
            </w:r>
          </w:p>
        </w:tc>
      </w:tr>
    </w:tbl>
    <w:p>
      <w:r>
        <w:br w:type="page"/>
      </w:r>
    </w:p>
    <w:p>
      <w:pPr>
        <w:spacing w:before="200" w:after="280"/>
        <w:jc w:val="center"/>
      </w:pPr>
      <w:r>
        <w:rPr>
          <w:rFonts w:ascii="Times New Roman" w:hAnsi="Times New Roman"/>
          <w:b/>
          <w:sz w:val="32"/>
          <w:u w:val="single"/>
        </w:rPr>
        <w:t>CONTENTS</w:t>
      </w:r>
    </w:p>
    <w:tbl>
      <w:tblPr>
        <w:tblW w:type="auto" w:w="0"/>
        <w:jc w:val="center"/>
        <w:tblLook w:firstColumn="1" w:firstRow="1" w:lastColumn="0" w:lastRow="0" w:noHBand="0" w:noVBand="1" w:val="04A0"/>
        <w:tblBorders>
          <w:top w:val="single" w:sz="6" w:space="0" w:color="333333"/>
          <w:left w:val="none"/>
          <w:bottom w:val="single" w:sz="6" w:space="0" w:color="333333"/>
          <w:right w:val="none"/>
          <w:insideH w:val="single" w:sz="4" w:space="0" w:color="D0D0D0"/>
          <w:insideV w:val="none"/>
        </w:tblBorders>
      </w:tblPr>
      <w:tblGrid>
        <w:gridCol w:w="4680"/>
        <w:gridCol w:w="4680"/>
      </w:tblGrid>
      <w:tr>
        <w:tc>
          <w:tcPr>
            <w:tcW w:type="dxa" w:w="8064"/>
            <w:shd w:fill="EFEFEF"/>
            <w:tcMar>
              <w:top w:w="120" w:type="dxa"/>
              <w:bottom w:w="120" w:type="dxa"/>
              <w:left w:w="140" w:type="dxa"/>
              <w:right w:w="140" w:type="dxa"/>
            </w:tcMar>
            <w:vAlign w:val="center"/>
          </w:tcPr>
          <w:p>
            <w:pPr>
              <w:spacing w:before="0" w:after="0"/>
              <w:jc w:val="center"/>
            </w:pPr>
            <w:r>
              <w:rPr>
                <w:rFonts w:ascii="Times New Roman" w:hAnsi="Times New Roman"/>
                <w:b/>
                <w:color w:val="000000"/>
                <w:sz w:val="20"/>
              </w:rPr>
              <w:t>Section / Chapter Title</w:t>
            </w:r>
          </w:p>
        </w:tc>
        <w:tc>
          <w:tcPr>
            <w:tcW w:type="dxa" w:w="1440"/>
            <w:shd w:fill="EFEFEF"/>
            <w:tcMar>
              <w:top w:w="120" w:type="dxa"/>
              <w:bottom w:w="120" w:type="dxa"/>
              <w:left w:w="140" w:type="dxa"/>
              <w:right w:w="140" w:type="dxa"/>
            </w:tcMar>
            <w:vAlign w:val="center"/>
          </w:tcPr>
          <w:p>
            <w:pPr>
              <w:spacing w:before="0" w:after="0"/>
              <w:jc w:val="center"/>
            </w:pPr>
            <w:r>
              <w:rPr>
                <w:rFonts w:ascii="Times New Roman" w:hAnsi="Times New Roman"/>
                <w:b/>
                <w:color w:val="000000"/>
                <w:sz w:val="20"/>
              </w:rPr>
              <w:t>Page No.</w:t>
            </w:r>
          </w:p>
        </w:tc>
      </w:tr>
      <w:tr>
        <w:tc>
          <w:tcPr>
            <w:tcW w:type="dxa" w:w="8064"/>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CERTIFICATE</w:t>
            </w:r>
          </w:p>
        </w:tc>
        <w:tc>
          <w:tcPr>
            <w:tcW w:type="dxa" w:w="1440"/>
            <w:shd w:fill="FFFFFF"/>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19"/>
              </w:rPr>
              <w:t>i</w:t>
            </w:r>
          </w:p>
        </w:tc>
      </w:tr>
      <w:tr>
        <w:tc>
          <w:tcPr>
            <w:tcW w:type="dxa" w:w="8064"/>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DECLARATION</w:t>
            </w:r>
          </w:p>
        </w:tc>
        <w:tc>
          <w:tcPr>
            <w:tcW w:type="dxa" w:w="1440"/>
            <w:shd w:fill="FAFAFA"/>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19"/>
              </w:rPr>
              <w:t>ii</w:t>
            </w:r>
          </w:p>
        </w:tc>
      </w:tr>
      <w:tr>
        <w:tc>
          <w:tcPr>
            <w:tcW w:type="dxa" w:w="8064"/>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CONTENTS</w:t>
            </w:r>
          </w:p>
        </w:tc>
        <w:tc>
          <w:tcPr>
            <w:tcW w:type="dxa" w:w="1440"/>
            <w:shd w:fill="FFFFFF"/>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19"/>
              </w:rPr>
              <w:t>iii</w:t>
            </w:r>
          </w:p>
        </w:tc>
      </w:tr>
      <w:tr>
        <w:tc>
          <w:tcPr>
            <w:tcW w:type="dxa" w:w="8064"/>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ABSTRACT</w:t>
            </w:r>
          </w:p>
        </w:tc>
        <w:tc>
          <w:tcPr>
            <w:tcW w:type="dxa" w:w="1440"/>
            <w:shd w:fill="FAFAFA"/>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19"/>
              </w:rPr>
              <w:t>1</w:t>
            </w:r>
          </w:p>
        </w:tc>
      </w:tr>
      <w:tr>
        <w:tc>
          <w:tcPr>
            <w:tcW w:type="dxa" w:w="8064"/>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1. INTRODUCTION (Problem Statement, Objectives, Scope, Limitations)</w:t>
            </w:r>
          </w:p>
        </w:tc>
        <w:tc>
          <w:tcPr>
            <w:tcW w:type="dxa" w:w="1440"/>
            <w:shd w:fill="FFFFFF"/>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19"/>
              </w:rPr>
              <w:t>2</w:t>
            </w:r>
          </w:p>
        </w:tc>
      </w:tr>
      <w:tr>
        <w:tc>
          <w:tcPr>
            <w:tcW w:type="dxa" w:w="8064"/>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2. BLOCK DIAGRAM &amp; ARCHITECTURE (CPS Signal Flow, Pin Allocations &amp; Slots)</w:t>
            </w:r>
          </w:p>
        </w:tc>
        <w:tc>
          <w:tcPr>
            <w:tcW w:type="dxa" w:w="1440"/>
            <w:shd w:fill="FAFAFA"/>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19"/>
              </w:rPr>
              <w:t>4</w:t>
            </w:r>
          </w:p>
        </w:tc>
      </w:tr>
      <w:tr>
        <w:tc>
          <w:tcPr>
            <w:tcW w:type="dxa" w:w="8064"/>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3. WORKING &amp; IMPLEMENTATION (Sensor Fusion, Studio Asahi Video Sync, 3D Dashboard)</w:t>
            </w:r>
          </w:p>
        </w:tc>
        <w:tc>
          <w:tcPr>
            <w:tcW w:type="dxa" w:w="1440"/>
            <w:shd w:fill="FFFFFF"/>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19"/>
              </w:rPr>
              <w:t>7</w:t>
            </w:r>
          </w:p>
        </w:tc>
      </w:tr>
      <w:tr>
        <w:tc>
          <w:tcPr>
            <w:tcW w:type="dxa" w:w="8064"/>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4. OUTPUT &amp; EXPERIMENTAL RESULTS (Telemetry, Waveforms &amp; Checklist)</w:t>
            </w:r>
          </w:p>
        </w:tc>
        <w:tc>
          <w:tcPr>
            <w:tcW w:type="dxa" w:w="1440"/>
            <w:shd w:fill="FAFAFA"/>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19"/>
              </w:rPr>
              <w:t>12</w:t>
            </w:r>
          </w:p>
        </w:tc>
      </w:tr>
      <w:tr>
        <w:tc>
          <w:tcPr>
            <w:tcW w:type="dxa" w:w="8064"/>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5. CONCLUSION &amp; FUTURE ENHANCEMENTS</w:t>
            </w:r>
          </w:p>
        </w:tc>
        <w:tc>
          <w:tcPr>
            <w:tcW w:type="dxa" w:w="1440"/>
            <w:shd w:fill="FFFFFF"/>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19"/>
              </w:rPr>
              <w:t>14</w:t>
            </w:r>
          </w:p>
        </w:tc>
      </w:tr>
      <w:tr>
        <w:tc>
          <w:tcPr>
            <w:tcW w:type="dxa" w:w="8064"/>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6. DEDICATED SECTION: CPS WORKBENCH CLI SIMULATION ENGINE &amp; PORT ROUTING ARCHITECTURE</w:t>
            </w:r>
          </w:p>
        </w:tc>
        <w:tc>
          <w:tcPr>
            <w:tcW w:type="dxa" w:w="1440"/>
            <w:shd w:fill="FAFAFA"/>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19"/>
              </w:rPr>
              <w:t>15</w:t>
            </w:r>
          </w:p>
        </w:tc>
      </w:tr>
      <w:tr>
        <w:tc>
          <w:tcPr>
            <w:tcW w:type="dxa" w:w="8064"/>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7. REFERENCES</w:t>
            </w:r>
          </w:p>
        </w:tc>
        <w:tc>
          <w:tcPr>
            <w:tcW w:type="dxa" w:w="1440"/>
            <w:shd w:fill="FFFFFF"/>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19"/>
              </w:rPr>
              <w:t>17</w:t>
            </w:r>
          </w:p>
        </w:tc>
      </w:tr>
    </w:tbl>
    <w:p>
      <w:r>
        <w:br w:type="page"/>
      </w:r>
    </w:p>
    <w:p>
      <w:pPr>
        <w:pStyle w:val="Heading1"/>
        <w:keepNext/>
        <w:spacing w:before="280" w:after="80"/>
      </w:pPr>
      <w:r>
        <w:rPr>
          <w:rFonts w:ascii="Times New Roman" w:hAnsi="Times New Roman"/>
          <w:b/>
          <w:color w:val="000000"/>
          <w:sz w:val="30"/>
        </w:rPr>
        <w:t>ABSTRACT</w:t>
      </w:r>
    </w:p>
    <w:p>
      <w:pPr>
        <w:spacing w:after="120" w:line="276" w:lineRule="auto"/>
      </w:pPr>
      <w:r>
        <w:rPr>
          <w:rFonts w:ascii="Times New Roman" w:hAnsi="Times New Roman"/>
          <w:i w:val="0"/>
          <w:color w:val="000000"/>
          <w:sz w:val="22"/>
        </w:rPr>
        <w:t>IntelliRoom AI is a Cyber-Physical Smart Room Energy Management System designed to resolve critical occupancy-detection vulnerabilities, reduce building electrical energy consumption, and provide verifiable cyber-physical simulation without requiring immediate destructive physical hardware testing. Conventional energy-saving installations depend almost exclusively on single-sensor infrastructure—specifically isolated Passive Infrared (PIR) sensors—which repeatedly fail when occupants remain sedentary or sleep, triggering irritating and unproductive false-vacant power cutoffs.</w:t>
      </w:r>
    </w:p>
    <w:p>
      <w:pPr>
        <w:spacing w:after="120" w:line="276" w:lineRule="auto"/>
      </w:pPr>
      <w:r>
        <w:rPr>
          <w:rFonts w:ascii="Times New Roman" w:hAnsi="Times New Roman"/>
          <w:i w:val="0"/>
          <w:color w:val="000000"/>
          <w:sz w:val="22"/>
        </w:rPr>
        <w:t>The project implements a multi-tiered architecture combining dual-sensor presence fusion (integrating wide-angle optical PIR motion sensing, 60 GHz mmWave FMCW radar vital respiration tracking, and magnetic door reed boundary switches), an on-board ESP32 microcontroller executing stateful presence hysteresis grace logic, an interactive video synchronization applet, and a real-time wireless telemetry dashboard featuring an authentic 3D glossy glass bubble orb rendered with Segoe UI Emoji typography. To achieve a highly realistic simulation environment under laboratory time constraints, video sequences extracted from Studio Asahi's Stand By Me Doraemon were utilized. The cinematic environment provides clean, repeatable transitions (room entry, sedentary study, window departure via bamboo-copter, and bed settling with luminaire dimming), enabling frame-accurate cyber-physical stimulus injection across three dedicated network ports: Port 9090 (Telemetry Stream), Port 9091 (Sensors Bus), and Port 9092 (Actuators Bus).</w:t>
      </w:r>
    </w:p>
    <w:p>
      <w:pPr>
        <w:spacing w:after="120" w:line="276" w:lineRule="auto"/>
      </w:pPr>
      <w:r>
        <w:rPr>
          <w:rFonts w:ascii="Times New Roman" w:hAnsi="Times New Roman"/>
          <w:i w:val="0"/>
          <w:color w:val="000000"/>
          <w:sz w:val="22"/>
        </w:rPr>
        <w:t>By fusing mmWave radar breathing micro-motion with optical PIR signals, the system achieves 100% occupancy retention during sleep and sedentary periods while securing an estimated 42.6% reduction in lighting energy and a 28.4% reduction in HVAC energy. The report details the complete embedded control logic, sensor image slots, video synchronizer engineering, and telemetry packet structures. A dedicated concluding section provides a technical exploration of the underlying CPS Workbench CLI simulation engine and its socket listener architecture, followed by formal references.</w:t>
      </w:r>
    </w:p>
    <w:p>
      <w:pPr>
        <w:spacing w:after="120" w:line="276" w:lineRule="auto"/>
      </w:pPr>
      <w:r>
        <w:rPr>
          <w:rFonts w:ascii="Times New Roman" w:hAnsi="Times New Roman"/>
          <w:b/>
          <w:color w:val="000000"/>
          <w:sz w:val="22"/>
        </w:rPr>
        <w:t xml:space="preserve">Keywords: </w:t>
      </w:r>
      <w:r>
        <w:rPr>
          <w:rFonts w:ascii="Times New Roman" w:hAnsi="Times New Roman"/>
          <w:i w:val="0"/>
          <w:color w:val="000000"/>
          <w:sz w:val="22"/>
        </w:rPr>
        <w:t>Cyber-Physical Systems (CPS), Smart Room, Multi-Sensor Fusion, mmWave Radar, PIR Motion Sensor, ESP32, Presence Hysteresis, Stand By Me Doraemon, Telemetry Dashboard, Energy Optimization.</w:t>
      </w:r>
    </w:p>
    <w:p>
      <w:r>
        <w:br w:type="page"/>
      </w:r>
    </w:p>
    <w:p>
      <w:pPr>
        <w:pStyle w:val="Heading1"/>
        <w:keepNext/>
        <w:spacing w:before="280" w:after="80"/>
      </w:pPr>
      <w:r>
        <w:rPr>
          <w:rFonts w:ascii="Times New Roman" w:hAnsi="Times New Roman"/>
          <w:b/>
          <w:color w:val="000000"/>
          <w:sz w:val="30"/>
        </w:rPr>
        <w:t>1. INTRODUCTION</w:t>
      </w:r>
    </w:p>
    <w:p>
      <w:pPr>
        <w:spacing w:after="120" w:line="276" w:lineRule="auto"/>
      </w:pPr>
      <w:r>
        <w:rPr>
          <w:rFonts w:ascii="Times New Roman" w:hAnsi="Times New Roman"/>
          <w:i w:val="0"/>
          <w:color w:val="000000"/>
          <w:sz w:val="22"/>
        </w:rPr>
        <w:t>Commercial and residential buildings account for over 40% of global primary energy consumption and approximately 36% of greenhouse gas emissions worldwide, with indoor illumination and HVAC (Heating, Ventilation, and Air Conditioning) accounting for the vast majority of electrical demand. In conventional setups, electrical loads are managed either through manual wall switches or rudimentary schedule timers. Manual control is inherently unreliable: occupants routinely neglect to switch off ceiling luminaires or cooling units upon exiting rooms, resulting in substantial parasitic energy consumption.</w:t>
      </w:r>
    </w:p>
    <w:p>
      <w:pPr>
        <w:pStyle w:val="Heading2"/>
        <w:keepNext/>
        <w:spacing w:before="280" w:after="80"/>
      </w:pPr>
      <w:r>
        <w:rPr>
          <w:rFonts w:ascii="Times New Roman" w:hAnsi="Times New Roman"/>
          <w:b/>
          <w:color w:val="000000"/>
          <w:sz w:val="26"/>
        </w:rPr>
        <w:t>1.1 Problem Statement</w:t>
      </w:r>
    </w:p>
    <w:p>
      <w:pPr>
        <w:spacing w:after="120" w:line="276" w:lineRule="auto"/>
      </w:pPr>
      <w:r>
        <w:rPr>
          <w:rFonts w:ascii="Times New Roman" w:hAnsi="Times New Roman"/>
          <w:i w:val="0"/>
          <w:color w:val="000000"/>
          <w:sz w:val="22"/>
        </w:rPr>
        <w:t>While standalone occupancy sensors such as Passive Infrared (PIR) detectors have been deployed to automate lighting, they suffer from fundamental physical limitations. PIR sensors operate strictly on differential thermal displacement: they require a warm human body to physically traverse optical Fresnel zones to generate output voltage pulses. When an occupant is sedentary (studying, typing at a desk, reading) or sleeping in bed, gross body movement drops to zero. Under these conditions, PIR sensors reliably report false-negative vacancy signals, causing abrupt, disruptive shutoffs of room lighting and climate control. To prevent this, facility engineers typically extend timer delays to 30–60 minutes, which severely degrades energy savings during true vacancies. Furthermore, validating multi-sensor smart room firmware against complex human behavior traditionally demands expensive physical testbeds and prolonged trial deployments.</w:t>
      </w:r>
    </w:p>
    <w:p>
      <w:pPr>
        <w:pStyle w:val="Heading2"/>
        <w:keepNext/>
        <w:spacing w:before="280" w:after="80"/>
      </w:pPr>
      <w:r>
        <w:rPr>
          <w:rFonts w:ascii="Times New Roman" w:hAnsi="Times New Roman"/>
          <w:b/>
          <w:color w:val="000000"/>
          <w:sz w:val="26"/>
        </w:rPr>
        <w:t>1.2 Objectives</w:t>
      </w:r>
    </w:p>
    <w:p>
      <w:pPr>
        <w:spacing w:after="120" w:line="276" w:lineRule="auto"/>
      </w:pPr>
      <w:r>
        <w:rPr>
          <w:rFonts w:ascii="Times New Roman" w:hAnsi="Times New Roman"/>
          <w:i w:val="0"/>
          <w:color w:val="000000"/>
          <w:sz w:val="22"/>
        </w:rPr>
        <w:t>The key research and engineering objectives of IntelliRoom AI are defined as follows:</w:t>
      </w:r>
    </w:p>
    <w:p>
      <w:pPr>
        <w:spacing w:after="80" w:line="276" w:lineRule="auto"/>
      </w:pPr>
      <w:r>
        <w:rPr>
          <w:rFonts w:ascii="Times New Roman" w:hAnsi="Times New Roman"/>
          <w:b/>
          <w:color w:val="000000"/>
          <w:sz w:val="22"/>
        </w:rPr>
        <w:t xml:space="preserve">• Dual-Sensor Presence Fusion: </w:t>
      </w:r>
      <w:r>
        <w:rPr>
          <w:rFonts w:ascii="Times New Roman" w:hAnsi="Times New Roman"/>
          <w:i w:val="0"/>
          <w:color w:val="000000"/>
          <w:sz w:val="22"/>
        </w:rPr>
        <w:t>Combine wide-angle PIR motion detection with a 60 GHz mmWave Radar sensor capable of resolving chest-wall respiration micro-movements (0.1–0.5 mm displacement) to eliminate false-vacant dropouts during sleep and sedentary occupancy.</w:t>
      </w:r>
    </w:p>
    <w:p>
      <w:pPr>
        <w:spacing w:after="80" w:line="276" w:lineRule="auto"/>
      </w:pPr>
      <w:r>
        <w:rPr>
          <w:rFonts w:ascii="Times New Roman" w:hAnsi="Times New Roman"/>
          <w:b/>
          <w:color w:val="000000"/>
          <w:sz w:val="22"/>
        </w:rPr>
        <w:t xml:space="preserve">• Stateful Hysteresis Logic: </w:t>
      </w:r>
      <w:r>
        <w:rPr>
          <w:rFonts w:ascii="Times New Roman" w:hAnsi="Times New Roman"/>
          <w:i w:val="0"/>
          <w:color w:val="000000"/>
          <w:sz w:val="22"/>
        </w:rPr>
        <w:t>Implement an on-board finite state machine in ESP32 firmware with a 30-second hysteresis grace window that smoothly bridges micro-motion lapses and prevents erratic relay chattering.</w:t>
      </w:r>
    </w:p>
    <w:p>
      <w:pPr>
        <w:spacing w:after="80" w:line="276" w:lineRule="auto"/>
      </w:pPr>
      <w:r>
        <w:rPr>
          <w:rFonts w:ascii="Times New Roman" w:hAnsi="Times New Roman"/>
          <w:b/>
          <w:color w:val="000000"/>
          <w:sz w:val="22"/>
        </w:rPr>
        <w:t xml:space="preserve">• Cyber-Physical Video Synchronization: </w:t>
      </w:r>
      <w:r>
        <w:rPr>
          <w:rFonts w:ascii="Times New Roman" w:hAnsi="Times New Roman"/>
          <w:i w:val="0"/>
          <w:color w:val="000000"/>
          <w:sz w:val="22"/>
        </w:rPr>
        <w:t>Engineer an embedded desktop synchronizer applet that natively renders 100% native video frames across real-world human scenarios and synchronizes exact timeline cuts with hardware pin stimuli.</w:t>
      </w:r>
    </w:p>
    <w:p>
      <w:pPr>
        <w:spacing w:after="80" w:line="276" w:lineRule="auto"/>
      </w:pPr>
      <w:r>
        <w:rPr>
          <w:rFonts w:ascii="Times New Roman" w:hAnsi="Times New Roman"/>
          <w:b/>
          <w:color w:val="000000"/>
          <w:sz w:val="22"/>
        </w:rPr>
        <w:t xml:space="preserve">• Real-Time Telemetry &amp; 3D Glass Dashboard: </w:t>
      </w:r>
      <w:r>
        <w:rPr>
          <w:rFonts w:ascii="Times New Roman" w:hAnsi="Times New Roman"/>
          <w:i w:val="0"/>
          <w:color w:val="000000"/>
          <w:sz w:val="22"/>
        </w:rPr>
        <w:t>Develop a high-performance telemetry dashboard connecting to Port 9090, rendering live device telemetry with an authentic 5-stage glossy 3D glass bubble orb, countdown arcs, and Segoe UI Emoji typography.</w:t>
      </w:r>
    </w:p>
    <w:p>
      <w:pPr>
        <w:spacing w:after="80" w:line="276" w:lineRule="auto"/>
      </w:pPr>
      <w:r>
        <w:rPr>
          <w:rFonts w:ascii="Times New Roman" w:hAnsi="Times New Roman"/>
          <w:b/>
          <w:color w:val="000000"/>
          <w:sz w:val="22"/>
        </w:rPr>
        <w:t xml:space="preserve">• Multi-Port Network Bus Architecture: </w:t>
      </w:r>
      <w:r>
        <w:rPr>
          <w:rFonts w:ascii="Times New Roman" w:hAnsi="Times New Roman"/>
          <w:i w:val="0"/>
          <w:color w:val="000000"/>
          <w:sz w:val="22"/>
        </w:rPr>
        <w:t>Segregate physical sensing, telemetry monitoring, and actuator feedback into distinct dedicated network ports (9090, 9091, and 9092) to decouple simulation stimuli from firmware observation.</w:t>
      </w:r>
    </w:p>
    <w:p>
      <w:pPr>
        <w:spacing w:after="80" w:line="276" w:lineRule="auto"/>
      </w:pPr>
      <w:r>
        <w:rPr>
          <w:rFonts w:ascii="Times New Roman" w:hAnsi="Times New Roman"/>
          <w:b/>
          <w:color w:val="000000"/>
          <w:sz w:val="22"/>
        </w:rPr>
        <w:t xml:space="preserve">• Energy Quantification: </w:t>
      </w:r>
      <w:r>
        <w:rPr>
          <w:rFonts w:ascii="Times New Roman" w:hAnsi="Times New Roman"/>
          <w:i w:val="0"/>
          <w:color w:val="000000"/>
          <w:sz w:val="22"/>
        </w:rPr>
        <w:t>Establish transparent mathematical energy models comparing baseline uncontrolled operation against the sensor-fused optimized policy across multi-hour cycles.</w:t>
      </w:r>
    </w:p>
    <w:p>
      <w:pPr>
        <w:pStyle w:val="Heading2"/>
        <w:keepNext/>
        <w:spacing w:before="280" w:after="80"/>
      </w:pPr>
      <w:r>
        <w:rPr>
          <w:rFonts w:ascii="Times New Roman" w:hAnsi="Times New Roman"/>
          <w:b/>
          <w:color w:val="000000"/>
          <w:sz w:val="26"/>
        </w:rPr>
        <w:t>1.3 Scope</w:t>
      </w:r>
    </w:p>
    <w:p>
      <w:pPr>
        <w:spacing w:after="120" w:line="276" w:lineRule="auto"/>
      </w:pPr>
      <w:r>
        <w:rPr>
          <w:rFonts w:ascii="Times New Roman" w:hAnsi="Times New Roman"/>
          <w:i w:val="0"/>
          <w:color w:val="000000"/>
          <w:sz w:val="22"/>
        </w:rPr>
        <w:t>The project encompasses the end-to-end cyber-physical development lifecycle: embedded firmware running on an ESP32 microcontroller, circuit netlisting, real-time TCP socket communication protocols, and rich interactive Swing/AWT visualizers. Physical sensor stimuli are driven both through interactive GUI controls and through millisecond-accurate video playback frames. High-power AC mains loads are represented via relay-actuated indicator circuits. While physical mains wiring (230V AC) is emulated via safe logic-level relays to permit rigorous classroom and laboratory benchmarking, all electrical signal interfaces, pin mappings, and communication packet structures adhere strictly to commercial IoT standards.</w:t>
      </w:r>
    </w:p>
    <w:p>
      <w:pPr>
        <w:pStyle w:val="Heading2"/>
        <w:keepNext/>
        <w:spacing w:before="280" w:after="80"/>
      </w:pPr>
      <w:r>
        <w:rPr>
          <w:rFonts w:ascii="Times New Roman" w:hAnsi="Times New Roman"/>
          <w:b/>
          <w:color w:val="000000"/>
          <w:sz w:val="26"/>
        </w:rPr>
        <w:t>1.4 Limitations</w:t>
      </w:r>
    </w:p>
    <w:p>
      <w:pPr>
        <w:spacing w:after="120" w:line="276" w:lineRule="auto"/>
      </w:pPr>
      <w:r>
        <w:rPr>
          <w:rFonts w:ascii="Times New Roman" w:hAnsi="Times New Roman"/>
          <w:i w:val="0"/>
          <w:color w:val="000000"/>
          <w:sz w:val="22"/>
        </w:rPr>
        <w:t>The simulation models assume standard indoor room geometry with nominal ambient thermal dissipation constants. While the 60 GHz mmWave radar model incorporates realistic analog confidence percentages and breathing frequency signatures, extreme RF multipath interference from dense metal shielding is not dynamically modeled. Energy savings estimates utilize standard commercial appliance wattages (12W LED array, 1000W cooling compressor) rather than empirical sub-metered circuit board transients.</w:t>
      </w:r>
    </w:p>
    <w:p>
      <w:r>
        <w:br w:type="page"/>
      </w:r>
    </w:p>
    <w:p>
      <w:pPr>
        <w:pStyle w:val="Heading1"/>
        <w:keepNext/>
        <w:spacing w:before="280" w:after="80"/>
      </w:pPr>
      <w:r>
        <w:rPr>
          <w:rFonts w:ascii="Times New Roman" w:hAnsi="Times New Roman"/>
          <w:b/>
          <w:color w:val="000000"/>
          <w:sz w:val="30"/>
        </w:rPr>
        <w:t>2. BLOCK DIAGRAM &amp; ARCHITECTURE</w:t>
      </w:r>
    </w:p>
    <w:p>
      <w:pPr>
        <w:spacing w:after="120" w:line="276" w:lineRule="auto"/>
      </w:pPr>
      <w:r>
        <w:rPr>
          <w:rFonts w:ascii="Times New Roman" w:hAnsi="Times New Roman"/>
          <w:i w:val="0"/>
          <w:color w:val="000000"/>
          <w:sz w:val="22"/>
        </w:rPr>
        <w:t>The IntelliRoom AI architecture is structured into five distinct, loosely coupled layers: Physical &amp; Virtual Sensing, Embedded Controller Core, Actuator &amp; Power Interface, Network Communication Bus, and Interactive Presentation Dashboards. This separation guarantees that the core embedded firmware remains completely agnostic to whether inputs are driven by physical silicon transducers, laboratory stimulators, or native video timeline synchronizers.</w:t>
      </w:r>
    </w:p>
    <w:p>
      <w:pPr>
        <w:pStyle w:val="Heading2"/>
        <w:keepNext/>
        <w:spacing w:before="280" w:after="80"/>
      </w:pPr>
      <w:r>
        <w:rPr>
          <w:rFonts w:ascii="Times New Roman" w:hAnsi="Times New Roman"/>
          <w:b/>
          <w:color w:val="000000"/>
          <w:sz w:val="26"/>
        </w:rPr>
        <w:t>2.1 How a Physical Component Works in Cyber-Physical Systems (CPS)</w:t>
      </w:r>
    </w:p>
    <w:p>
      <w:pPr>
        <w:spacing w:after="120" w:line="276" w:lineRule="auto"/>
      </w:pPr>
      <w:r>
        <w:rPr>
          <w:rFonts w:ascii="Times New Roman" w:hAnsi="Times New Roman"/>
          <w:b/>
          <w:color w:val="000000"/>
          <w:sz w:val="22"/>
        </w:rPr>
        <w:t xml:space="preserve">CPS Transducer Principle: </w:t>
      </w:r>
      <w:r>
        <w:rPr>
          <w:rFonts w:ascii="Times New Roman" w:hAnsi="Times New Roman"/>
          <w:i w:val="0"/>
          <w:color w:val="000000"/>
          <w:sz w:val="22"/>
        </w:rPr>
        <w:t>In a Cyber-Physical System (CPS), a physical component (such as an optical PIR motion detector, mmWave radar transceiver, or magnetic door reed switch) bridges the gap between natural analog phenomena and the discrete computational realm. A physical transducer continuously converts environmental dynamics—such as optical infrared flux displacement, RF micro-Doppler frequency shifts, or magnetic flux linkage—into continuous electrical voltages or binary logic levels (0V / 3.3V).</w:t>
      </w:r>
    </w:p>
    <w:p>
      <w:pPr>
        <w:spacing w:after="120" w:line="276" w:lineRule="auto"/>
      </w:pPr>
      <w:r>
        <w:rPr>
          <w:rFonts w:ascii="Times New Roman" w:hAnsi="Times New Roman"/>
          <w:i w:val="0"/>
          <w:color w:val="000000"/>
          <w:sz w:val="22"/>
        </w:rPr>
        <w:t>In our CPS Workbench architecture, these physical components operate under a dual-mode hardware abstraction layer: (1) Direct Physical Wiring: When hardware silicon is connected to the physical ESP32 breadboard header pins; and (2) Cyber-Physical Twin Simulation: When virtual peripheral boards inject identical electrical voltage signals across the virtual Sensors Bus (Port 9091). The microcontroller's FreeRTOS firmware executes identical ADC conversion and digitalRead() routines regardless of the signal source. This reflects the foundational tenet of Cyber-Physical Systems: computational control algorithms and physical processes operate in tight, seamless, bidirectional synchronization.</w:t>
      </w:r>
    </w:p>
    <w:p>
      <w:pPr>
        <w:spacing w:before="80" w:after="120" w:line="276" w:lineRule="auto"/>
      </w:pPr>
      <w:r>
        <w:rPr>
          <w:rFonts w:ascii="Times New Roman" w:hAnsi="Times New Roman"/>
          <w:b/>
          <w:color w:val="000000"/>
          <w:sz w:val="22"/>
        </w:rPr>
        <w:t xml:space="preserve">Note: </w:t>
      </w:r>
      <w:r>
        <w:rPr>
          <w:rFonts w:ascii="Times New Roman" w:hAnsi="Times New Roman"/>
          <w:i/>
          <w:color w:val="000000"/>
          <w:sz w:val="22"/>
        </w:rPr>
        <w:t>For detailed low-level implementation of socket servers, thread listeners, and port binding mechanisms, refer last section for detail.</w:t>
      </w:r>
    </w:p>
    <w:p>
      <w:pPr>
        <w:pStyle w:val="Heading2"/>
        <w:keepNext/>
        <w:spacing w:before="280" w:after="80"/>
      </w:pPr>
      <w:r>
        <w:rPr>
          <w:rFonts w:ascii="Times New Roman" w:hAnsi="Times New Roman"/>
          <w:b/>
          <w:color w:val="000000"/>
          <w:sz w:val="26"/>
        </w:rPr>
        <w:t>2.2 Hardware Pin Mapping &amp; Component Specification</w:t>
      </w:r>
    </w:p>
    <w:p>
      <w:pPr>
        <w:spacing w:after="120" w:line="276" w:lineRule="auto"/>
      </w:pPr>
      <w:r>
        <w:rPr>
          <w:rFonts w:ascii="Times New Roman" w:hAnsi="Times New Roman"/>
          <w:i w:val="0"/>
          <w:color w:val="000000"/>
          <w:sz w:val="22"/>
        </w:rPr>
        <w:t>The electrical connections between the ESP32 microcontroller and room components are detailed in Table 2.1.</w:t>
      </w:r>
    </w:p>
    <w:tbl>
      <w:tblPr>
        <w:tblW w:type="auto" w:w="0"/>
        <w:jc w:val="center"/>
        <w:tblLook w:firstColumn="1" w:firstRow="1" w:lastColumn="0" w:lastRow="0" w:noHBand="0" w:noVBand="1" w:val="04A0"/>
        <w:tblBorders>
          <w:top w:val="single" w:sz="6" w:space="0" w:color="333333"/>
          <w:left w:val="none"/>
          <w:bottom w:val="single" w:sz="6" w:space="0" w:color="333333"/>
          <w:right w:val="none"/>
          <w:insideH w:val="single" w:sz="4" w:space="0" w:color="D0D0D0"/>
          <w:insideV w:val="none"/>
        </w:tblBorders>
      </w:tblPr>
      <w:tblGrid>
        <w:gridCol w:w="2340"/>
        <w:gridCol w:w="2340"/>
        <w:gridCol w:w="2340"/>
        <w:gridCol w:w="2340"/>
      </w:tblGrid>
      <w:tr>
        <w:tc>
          <w:tcPr>
            <w:tcW w:type="dxa" w:w="2016"/>
            <w:shd w:fill="EFEFEF"/>
            <w:tcMar>
              <w:top w:w="120" w:type="dxa"/>
              <w:bottom w:w="120" w:type="dxa"/>
              <w:left w:w="140" w:type="dxa"/>
              <w:right w:w="140" w:type="dxa"/>
            </w:tcMar>
            <w:vAlign w:val="center"/>
          </w:tcPr>
          <w:p>
            <w:pPr>
              <w:spacing w:before="0" w:after="0"/>
              <w:jc w:val="center"/>
            </w:pPr>
            <w:r>
              <w:rPr>
                <w:rFonts w:ascii="Times New Roman" w:hAnsi="Times New Roman"/>
                <w:b/>
                <w:color w:val="000000"/>
                <w:sz w:val="20"/>
              </w:rPr>
              <w:t>Hardware Pin</w:t>
            </w:r>
          </w:p>
        </w:tc>
        <w:tc>
          <w:tcPr>
            <w:tcW w:type="dxa" w:w="2016"/>
            <w:shd w:fill="EFEFEF"/>
            <w:tcMar>
              <w:top w:w="120" w:type="dxa"/>
              <w:bottom w:w="120" w:type="dxa"/>
              <w:left w:w="140" w:type="dxa"/>
              <w:right w:w="140" w:type="dxa"/>
            </w:tcMar>
            <w:vAlign w:val="center"/>
          </w:tcPr>
          <w:p>
            <w:pPr>
              <w:spacing w:before="0" w:after="0"/>
              <w:jc w:val="center"/>
            </w:pPr>
            <w:r>
              <w:rPr>
                <w:rFonts w:ascii="Times New Roman" w:hAnsi="Times New Roman"/>
                <w:b/>
                <w:color w:val="000000"/>
                <w:sz w:val="20"/>
              </w:rPr>
              <w:t>Interface Type</w:t>
            </w:r>
          </w:p>
        </w:tc>
        <w:tc>
          <w:tcPr>
            <w:tcW w:type="dxa" w:w="2304"/>
            <w:shd w:fill="EFEFEF"/>
            <w:tcMar>
              <w:top w:w="120" w:type="dxa"/>
              <w:bottom w:w="120" w:type="dxa"/>
              <w:left w:w="140" w:type="dxa"/>
              <w:right w:w="140" w:type="dxa"/>
            </w:tcMar>
            <w:vAlign w:val="center"/>
          </w:tcPr>
          <w:p>
            <w:pPr>
              <w:spacing w:before="0" w:after="0"/>
              <w:jc w:val="center"/>
            </w:pPr>
            <w:r>
              <w:rPr>
                <w:rFonts w:ascii="Times New Roman" w:hAnsi="Times New Roman"/>
                <w:b/>
                <w:color w:val="000000"/>
                <w:sz w:val="20"/>
              </w:rPr>
              <w:t>Connected Component</w:t>
            </w:r>
          </w:p>
        </w:tc>
        <w:tc>
          <w:tcPr>
            <w:tcW w:type="dxa" w:w="3168"/>
            <w:shd w:fill="EFEFEF"/>
            <w:tcMar>
              <w:top w:w="120" w:type="dxa"/>
              <w:bottom w:w="120" w:type="dxa"/>
              <w:left w:w="140" w:type="dxa"/>
              <w:right w:w="140" w:type="dxa"/>
            </w:tcMar>
            <w:vAlign w:val="center"/>
          </w:tcPr>
          <w:p>
            <w:pPr>
              <w:spacing w:before="0" w:after="0"/>
              <w:jc w:val="center"/>
            </w:pPr>
            <w:r>
              <w:rPr>
                <w:rFonts w:ascii="Times New Roman" w:hAnsi="Times New Roman"/>
                <w:b/>
                <w:color w:val="000000"/>
                <w:sz w:val="20"/>
              </w:rPr>
              <w:t>Electrical Signal Characteristics</w:t>
            </w:r>
          </w:p>
        </w:tc>
      </w:tr>
      <w:tr>
        <w:tc>
          <w:tcPr>
            <w:tcW w:type="dxa" w:w="2016"/>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GPIO 12</w:t>
            </w:r>
          </w:p>
        </w:tc>
        <w:tc>
          <w:tcPr>
            <w:tcW w:type="dxa" w:w="2016"/>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Digital Input (PULLDOWN)</w:t>
            </w:r>
          </w:p>
        </w:tc>
        <w:tc>
          <w:tcPr>
            <w:tcW w:type="dxa" w:w="2304"/>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PIR Motion Sensor</w:t>
            </w:r>
          </w:p>
        </w:tc>
        <w:tc>
          <w:tcPr>
            <w:tcW w:type="dxa" w:w="3168"/>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0.0V = Idle/No Motion; 3.3V = Fresnel Optical Motion Pulse</w:t>
            </w:r>
          </w:p>
        </w:tc>
      </w:tr>
      <w:tr>
        <w:tc>
          <w:tcPr>
            <w:tcW w:type="dxa" w:w="2016"/>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GPIO 27</w:t>
            </w:r>
          </w:p>
        </w:tc>
        <w:tc>
          <w:tcPr>
            <w:tcW w:type="dxa" w:w="2016"/>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Analog Input (ADC1_CH7)</w:t>
            </w:r>
          </w:p>
        </w:tc>
        <w:tc>
          <w:tcPr>
            <w:tcW w:type="dxa" w:w="2304"/>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60 GHz mmWave Radar</w:t>
            </w:r>
          </w:p>
        </w:tc>
        <w:tc>
          <w:tcPr>
            <w:tcW w:type="dxa" w:w="3168"/>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0.05V = Vacant; 1.8–2.2V = Respiration/Sleep; 2.8–3.3V = Active Motion</w:t>
            </w:r>
          </w:p>
        </w:tc>
      </w:tr>
      <w:tr>
        <w:tc>
          <w:tcPr>
            <w:tcW w:type="dxa" w:w="2016"/>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GPIO 14</w:t>
            </w:r>
          </w:p>
        </w:tc>
        <w:tc>
          <w:tcPr>
            <w:tcW w:type="dxa" w:w="2016"/>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Digital Input (PULLUP)</w:t>
            </w:r>
          </w:p>
        </w:tc>
        <w:tc>
          <w:tcPr>
            <w:tcW w:type="dxa" w:w="2304"/>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Magnetic Door Reed Switch</w:t>
            </w:r>
          </w:p>
        </w:tc>
        <w:tc>
          <w:tcPr>
            <w:tcW w:type="dxa" w:w="3168"/>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0.0V = Closed/Latched; 3.3V = Open/Threshold Cross</w:t>
            </w:r>
          </w:p>
        </w:tc>
      </w:tr>
      <w:tr>
        <w:tc>
          <w:tcPr>
            <w:tcW w:type="dxa" w:w="2016"/>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GPIO 21</w:t>
            </w:r>
          </w:p>
        </w:tc>
        <w:tc>
          <w:tcPr>
            <w:tcW w:type="dxa" w:w="2016"/>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Digital Output (Relay)</w:t>
            </w:r>
          </w:p>
        </w:tc>
        <w:tc>
          <w:tcPr>
            <w:tcW w:type="dxa" w:w="2304"/>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Room Lighting Relay</w:t>
            </w:r>
          </w:p>
        </w:tc>
        <w:tc>
          <w:tcPr>
            <w:tcW w:type="dxa" w:w="3168"/>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Active-HIGH: Drives optocoupler relay module for ceiling lights</w:t>
            </w:r>
          </w:p>
        </w:tc>
      </w:tr>
      <w:tr>
        <w:tc>
          <w:tcPr>
            <w:tcW w:type="dxa" w:w="2016"/>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GPIO 22</w:t>
            </w:r>
          </w:p>
        </w:tc>
        <w:tc>
          <w:tcPr>
            <w:tcW w:type="dxa" w:w="2016"/>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Digital Output (Relay)</w:t>
            </w:r>
          </w:p>
        </w:tc>
        <w:tc>
          <w:tcPr>
            <w:tcW w:type="dxa" w:w="2304"/>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HVAC Compressor Relay</w:t>
            </w:r>
          </w:p>
        </w:tc>
        <w:tc>
          <w:tcPr>
            <w:tcW w:type="dxa" w:w="3168"/>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Active-HIGH: Controls cooling ventilation unit contactor</w:t>
            </w:r>
          </w:p>
        </w:tc>
      </w:tr>
      <w:tr>
        <w:tc>
          <w:tcPr>
            <w:tcW w:type="dxa" w:w="2016"/>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GND / 3V3</w:t>
            </w:r>
          </w:p>
        </w:tc>
        <w:tc>
          <w:tcPr>
            <w:tcW w:type="dxa" w:w="2016"/>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Power Supply Rails</w:t>
            </w:r>
          </w:p>
        </w:tc>
        <w:tc>
          <w:tcPr>
            <w:tcW w:type="dxa" w:w="2304"/>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Common Circuit Ground &amp; VCC</w:t>
            </w:r>
          </w:p>
        </w:tc>
        <w:tc>
          <w:tcPr>
            <w:tcW w:type="dxa" w:w="3168"/>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Regulated 3.3V DC power rail providing stable ADC voltage reference</w:t>
            </w:r>
          </w:p>
        </w:tc>
      </w:tr>
    </w:tbl>
    <w:p>
      <w:pPr>
        <w:spacing w:after="120" w:line="276" w:lineRule="auto"/>
      </w:pPr>
      <w:r>
        <w:rPr>
          <w:rFonts w:ascii="Times New Roman" w:hAnsi="Times New Roman"/>
          <w:i w:val="0"/>
          <w:color w:val="000000"/>
          <w:sz w:val="22"/>
        </w:rPr>
      </w:r>
    </w:p>
    <w:p>
      <w:pPr>
        <w:pStyle w:val="Heading2"/>
        <w:keepNext/>
        <w:spacing w:before="280" w:after="80"/>
      </w:pPr>
      <w:r>
        <w:rPr>
          <w:rFonts w:ascii="Times New Roman" w:hAnsi="Times New Roman"/>
          <w:b/>
          <w:color w:val="000000"/>
          <w:sz w:val="26"/>
        </w:rPr>
        <w:t>2.3 Component Image Slots &amp; Hardware Visual Reference</w:t>
      </w:r>
    </w:p>
    <w:p>
      <w:pPr>
        <w:spacing w:after="120" w:line="276" w:lineRule="auto"/>
      </w:pPr>
      <w:r>
        <w:rPr>
          <w:rFonts w:ascii="Times New Roman" w:hAnsi="Times New Roman"/>
          <w:i w:val="0"/>
          <w:color w:val="000000"/>
          <w:sz w:val="22"/>
        </w:rPr>
        <w:t>Dedicated visual slots for the sensor and actuator modules utilized in the CPS Smart Room:</w:t>
      </w:r>
    </w:p>
    <w:tbl>
      <w:tblPr>
        <w:tblW w:type="auto" w:w="0"/>
        <w:jc w:val="center"/>
        <w:tblLook w:firstColumn="1" w:firstRow="1" w:lastColumn="0" w:lastRow="0" w:noHBand="0" w:noVBand="1" w:val="04A0"/>
      </w:tblPr>
      <w:tblGrid>
        <w:gridCol w:w="9360"/>
      </w:tblGrid>
      <w:tr>
        <w:tc>
          <w:tcPr>
            <w:tcW w:type="dxa" w:w="9360"/>
            <w:shd w:fill="FAFAFA"/>
            <w:tcMar>
              <w:top w:w="100" w:type="dxa"/>
              <w:bottom w:w="100" w:type="dxa"/>
              <w:left w:w="140" w:type="dxa"/>
              <w:right w:w="140" w:type="dxa"/>
            </w:tcMar>
            <w:tcBorders>
              <w:top w:val="single" w:sz="4" w:space="0" w:color="BBBBBB"/>
              <w:left w:val="single" w:sz="4" w:space="0" w:color="BBBBBB"/>
              <w:bottom w:val="single" w:sz="4" w:space="0" w:color="BBBBBB"/>
              <w:right w:val="single" w:sz="4" w:space="0" w:color="BBBBBB"/>
            </w:tcBorders>
          </w:tcPr>
          <w:p>
            <w:pPr>
              <w:spacing w:before="80" w:after="80"/>
              <w:jc w:val="center"/>
            </w:pPr>
            <w:r>
              <w:drawing>
                <wp:inline xmlns:a="http://schemas.openxmlformats.org/drawingml/2006/main" xmlns:pic="http://schemas.openxmlformats.org/drawingml/2006/picture">
                  <wp:extent cx="2377440" cy="3328416"/>
                  <wp:docPr id="1" name="Picture 1"/>
                  <wp:cNvGraphicFramePr>
                    <a:graphicFrameLocks noChangeAspect="1"/>
                  </wp:cNvGraphicFramePr>
                  <a:graphic>
                    <a:graphicData uri="http://schemas.openxmlformats.org/drawingml/2006/picture">
                      <pic:pic>
                        <pic:nvPicPr>
                          <pic:cNvPr id="0" name="esp32_wroom.png"/>
                          <pic:cNvPicPr/>
                        </pic:nvPicPr>
                        <pic:blipFill>
                          <a:blip r:embed="rId11"/>
                          <a:stretch>
                            <a:fillRect/>
                          </a:stretch>
                        </pic:blipFill>
                        <pic:spPr>
                          <a:xfrm>
                            <a:off x="0" y="0"/>
                            <a:ext cx="2377440" cy="3328416"/>
                          </a:xfrm>
                          <a:prstGeom prst="rect"/>
                        </pic:spPr>
                      </pic:pic>
                    </a:graphicData>
                  </a:graphic>
                </wp:inline>
              </w:drawing>
            </w:r>
          </w:p>
        </w:tc>
      </w:tr>
    </w:tbl>
    <w:p>
      <w:pPr>
        <w:spacing w:before="40" w:after="160"/>
        <w:jc w:val="center"/>
      </w:pPr>
      <w:r>
        <w:rPr>
          <w:rFonts w:ascii="Times New Roman" w:hAnsi="Times New Roman"/>
          <w:b/>
          <w:color w:val="000000"/>
          <w:sz w:val="19"/>
        </w:rPr>
        <w:t>Fig. 2.1: [ Component Image Slot: ESP32-WROOM-32 Microcontroller Core ]</w:t>
      </w:r>
    </w:p>
    <w:tbl>
      <w:tblPr>
        <w:tblW w:type="auto" w:w="0"/>
        <w:jc w:val="center"/>
        <w:tblLook w:firstColumn="1" w:firstRow="1" w:lastColumn="0" w:lastRow="0" w:noHBand="0" w:noVBand="1" w:val="04A0"/>
      </w:tblPr>
      <w:tblGrid>
        <w:gridCol w:w="9360"/>
      </w:tblGrid>
      <w:tr>
        <w:tc>
          <w:tcPr>
            <w:tcW w:type="dxa" w:w="9360"/>
            <w:shd w:fill="FAFAFA"/>
            <w:tcMar>
              <w:top w:w="100" w:type="dxa"/>
              <w:bottom w:w="100" w:type="dxa"/>
              <w:left w:w="140" w:type="dxa"/>
              <w:right w:w="140" w:type="dxa"/>
            </w:tcMar>
            <w:tcBorders>
              <w:top w:val="single" w:sz="4" w:space="0" w:color="BBBBBB"/>
              <w:left w:val="single" w:sz="4" w:space="0" w:color="BBBBBB"/>
              <w:bottom w:val="single" w:sz="4" w:space="0" w:color="BBBBBB"/>
              <w:right w:val="single" w:sz="4" w:space="0" w:color="BBBBBB"/>
            </w:tcBorders>
          </w:tcPr>
          <w:p>
            <w:pPr>
              <w:spacing w:before="80" w:after="80"/>
              <w:jc w:val="center"/>
            </w:pPr>
            <w:r>
              <w:drawing>
                <wp:inline xmlns:a="http://schemas.openxmlformats.org/drawingml/2006/main" xmlns:pic="http://schemas.openxmlformats.org/drawingml/2006/picture">
                  <wp:extent cx="2194560" cy="1952868"/>
                  <wp:docPr id="2" name="Picture 2"/>
                  <wp:cNvGraphicFramePr>
                    <a:graphicFrameLocks noChangeAspect="1"/>
                  </wp:cNvGraphicFramePr>
                  <a:graphic>
                    <a:graphicData uri="http://schemas.openxmlformats.org/drawingml/2006/picture">
                      <pic:pic>
                        <pic:nvPicPr>
                          <pic:cNvPr id="0" name="pir_motion_sensor.png"/>
                          <pic:cNvPicPr/>
                        </pic:nvPicPr>
                        <pic:blipFill>
                          <a:blip r:embed="rId12"/>
                          <a:stretch>
                            <a:fillRect/>
                          </a:stretch>
                        </pic:blipFill>
                        <pic:spPr>
                          <a:xfrm>
                            <a:off x="0" y="0"/>
                            <a:ext cx="2194560" cy="1952868"/>
                          </a:xfrm>
                          <a:prstGeom prst="rect"/>
                        </pic:spPr>
                      </pic:pic>
                    </a:graphicData>
                  </a:graphic>
                </wp:inline>
              </w:drawing>
            </w:r>
          </w:p>
        </w:tc>
      </w:tr>
    </w:tbl>
    <w:p>
      <w:pPr>
        <w:spacing w:before="40" w:after="160"/>
        <w:jc w:val="center"/>
      </w:pPr>
      <w:r>
        <w:rPr>
          <w:rFonts w:ascii="Times New Roman" w:hAnsi="Times New Roman"/>
          <w:b/>
          <w:color w:val="000000"/>
          <w:sz w:val="19"/>
        </w:rPr>
        <w:t>Fig. 2.2: [ Component Image Slot: Passive Infrared (PIR) Motion Sensor Module ]</w:t>
      </w:r>
    </w:p>
    <w:tbl>
      <w:tblPr>
        <w:tblW w:type="auto" w:w="0"/>
        <w:jc w:val="center"/>
        <w:tblLook w:firstColumn="1" w:firstRow="1" w:lastColumn="0" w:lastRow="0" w:noHBand="0" w:noVBand="1" w:val="04A0"/>
      </w:tblPr>
      <w:tblGrid>
        <w:gridCol w:w="9360"/>
      </w:tblGrid>
      <w:tr>
        <w:tc>
          <w:tcPr>
            <w:tcW w:type="dxa" w:w="9360"/>
            <w:shd w:fill="FAFAFA"/>
            <w:tcMar>
              <w:top w:w="100" w:type="dxa"/>
              <w:bottom w:w="100" w:type="dxa"/>
              <w:left w:w="140" w:type="dxa"/>
              <w:right w:w="140" w:type="dxa"/>
            </w:tcMar>
            <w:tcBorders>
              <w:top w:val="single" w:sz="4" w:space="0" w:color="BBBBBB"/>
              <w:left w:val="single" w:sz="4" w:space="0" w:color="BBBBBB"/>
              <w:bottom w:val="single" w:sz="4" w:space="0" w:color="BBBBBB"/>
              <w:right w:val="single" w:sz="4" w:space="0" w:color="BBBBBB"/>
            </w:tcBorders>
          </w:tcPr>
          <w:p>
            <w:pPr>
              <w:spacing w:before="80" w:after="80"/>
              <w:jc w:val="center"/>
            </w:pPr>
            <w:r>
              <w:drawing>
                <wp:inline xmlns:a="http://schemas.openxmlformats.org/drawingml/2006/main" xmlns:pic="http://schemas.openxmlformats.org/drawingml/2006/picture">
                  <wp:extent cx="2194560" cy="1828800"/>
                  <wp:docPr id="3" name="Picture 3"/>
                  <wp:cNvGraphicFramePr>
                    <a:graphicFrameLocks noChangeAspect="1"/>
                  </wp:cNvGraphicFramePr>
                  <a:graphic>
                    <a:graphicData uri="http://schemas.openxmlformats.org/drawingml/2006/picture">
                      <pic:pic>
                        <pic:nvPicPr>
                          <pic:cNvPr id="0" name="radar_sensor.png"/>
                          <pic:cNvPicPr/>
                        </pic:nvPicPr>
                        <pic:blipFill>
                          <a:blip r:embed="rId13"/>
                          <a:stretch>
                            <a:fillRect/>
                          </a:stretch>
                        </pic:blipFill>
                        <pic:spPr>
                          <a:xfrm>
                            <a:off x="0" y="0"/>
                            <a:ext cx="2194560" cy="1828800"/>
                          </a:xfrm>
                          <a:prstGeom prst="rect"/>
                        </pic:spPr>
                      </pic:pic>
                    </a:graphicData>
                  </a:graphic>
                </wp:inline>
              </w:drawing>
            </w:r>
          </w:p>
        </w:tc>
      </w:tr>
    </w:tbl>
    <w:p>
      <w:pPr>
        <w:spacing w:before="40" w:after="160"/>
        <w:jc w:val="center"/>
      </w:pPr>
      <w:r>
        <w:rPr>
          <w:rFonts w:ascii="Times New Roman" w:hAnsi="Times New Roman"/>
          <w:b/>
          <w:color w:val="000000"/>
          <w:sz w:val="19"/>
        </w:rPr>
        <w:t>Fig. 2.3: [ Component Image Slot: 60 GHz mmWave FMCW Respiration Radar Transceiver ]</w:t>
      </w:r>
    </w:p>
    <w:tbl>
      <w:tblPr>
        <w:tblW w:type="auto" w:w="0"/>
        <w:jc w:val="center"/>
        <w:tblLook w:firstColumn="1" w:firstRow="1" w:lastColumn="0" w:lastRow="0" w:noHBand="0" w:noVBand="1" w:val="04A0"/>
      </w:tblPr>
      <w:tblGrid>
        <w:gridCol w:w="9360"/>
      </w:tblGrid>
      <w:tr>
        <w:tc>
          <w:tcPr>
            <w:tcW w:type="dxa" w:w="9360"/>
            <w:shd w:fill="FAFAFA"/>
            <w:tcMar>
              <w:top w:w="100" w:type="dxa"/>
              <w:bottom w:w="100" w:type="dxa"/>
              <w:left w:w="140" w:type="dxa"/>
              <w:right w:w="140" w:type="dxa"/>
            </w:tcMar>
            <w:tcBorders>
              <w:top w:val="single" w:sz="4" w:space="0" w:color="BBBBBB"/>
              <w:left w:val="single" w:sz="4" w:space="0" w:color="BBBBBB"/>
              <w:bottom w:val="single" w:sz="4" w:space="0" w:color="BBBBBB"/>
              <w:right w:val="single" w:sz="4" w:space="0" w:color="BBBBBB"/>
            </w:tcBorders>
          </w:tcPr>
          <w:p>
            <w:pPr>
              <w:spacing w:before="80" w:after="80"/>
              <w:jc w:val="center"/>
            </w:pPr>
            <w:r>
              <w:drawing>
                <wp:inline xmlns:a="http://schemas.openxmlformats.org/drawingml/2006/main" xmlns:pic="http://schemas.openxmlformats.org/drawingml/2006/picture">
                  <wp:extent cx="2011680" cy="1229360"/>
                  <wp:docPr id="4" name="Picture 4"/>
                  <wp:cNvGraphicFramePr>
                    <a:graphicFrameLocks noChangeAspect="1"/>
                  </wp:cNvGraphicFramePr>
                  <a:graphic>
                    <a:graphicData uri="http://schemas.openxmlformats.org/drawingml/2006/picture">
                      <pic:pic>
                        <pic:nvPicPr>
                          <pic:cNvPr id="0" name="magnetic_door_sensor.png"/>
                          <pic:cNvPicPr/>
                        </pic:nvPicPr>
                        <pic:blipFill>
                          <a:blip r:embed="rId14"/>
                          <a:stretch>
                            <a:fillRect/>
                          </a:stretch>
                        </pic:blipFill>
                        <pic:spPr>
                          <a:xfrm>
                            <a:off x="0" y="0"/>
                            <a:ext cx="2011680" cy="1229360"/>
                          </a:xfrm>
                          <a:prstGeom prst="rect"/>
                        </pic:spPr>
                      </pic:pic>
                    </a:graphicData>
                  </a:graphic>
                </wp:inline>
              </w:drawing>
            </w:r>
          </w:p>
        </w:tc>
      </w:tr>
    </w:tbl>
    <w:p>
      <w:pPr>
        <w:spacing w:before="40" w:after="160"/>
        <w:jc w:val="center"/>
      </w:pPr>
      <w:r>
        <w:rPr>
          <w:rFonts w:ascii="Times New Roman" w:hAnsi="Times New Roman"/>
          <w:b/>
          <w:color w:val="000000"/>
          <w:sz w:val="19"/>
        </w:rPr>
        <w:t>Fig. 2.4: [ Component Image Slot: Magnetic Door Reed Boundary Switch ]</w:t>
      </w:r>
    </w:p>
    <w:tbl>
      <w:tblPr>
        <w:tblW w:type="auto" w:w="0"/>
        <w:jc w:val="center"/>
        <w:tblLook w:firstColumn="1" w:firstRow="1" w:lastColumn="0" w:lastRow="0" w:noHBand="0" w:noVBand="1" w:val="04A0"/>
      </w:tblPr>
      <w:tblGrid>
        <w:gridCol w:w="9360"/>
      </w:tblGrid>
      <w:tr>
        <w:tc>
          <w:tcPr>
            <w:tcW w:type="dxa" w:w="9360"/>
            <w:shd w:fill="FAFAFA"/>
            <w:tcMar>
              <w:top w:w="100" w:type="dxa"/>
              <w:bottom w:w="100" w:type="dxa"/>
              <w:left w:w="140" w:type="dxa"/>
              <w:right w:w="140" w:type="dxa"/>
            </w:tcMar>
            <w:tcBorders>
              <w:top w:val="single" w:sz="4" w:space="0" w:color="BBBBBB"/>
              <w:left w:val="single" w:sz="4" w:space="0" w:color="BBBBBB"/>
              <w:bottom w:val="single" w:sz="4" w:space="0" w:color="BBBBBB"/>
              <w:right w:val="single" w:sz="4" w:space="0" w:color="BBBBBB"/>
            </w:tcBorders>
          </w:tcPr>
          <w:p>
            <w:pPr>
              <w:spacing w:before="80" w:after="80"/>
              <w:jc w:val="center"/>
            </w:pPr>
            <w:r>
              <w:drawing>
                <wp:inline xmlns:a="http://schemas.openxmlformats.org/drawingml/2006/main" xmlns:pic="http://schemas.openxmlformats.org/drawingml/2006/picture">
                  <wp:extent cx="2194560" cy="1776549"/>
                  <wp:docPr id="5" name="Picture 5"/>
                  <wp:cNvGraphicFramePr>
                    <a:graphicFrameLocks noChangeAspect="1"/>
                  </wp:cNvGraphicFramePr>
                  <a:graphic>
                    <a:graphicData uri="http://schemas.openxmlformats.org/drawingml/2006/picture">
                      <pic:pic>
                        <pic:nvPicPr>
                          <pic:cNvPr id="0" name="relay_module.png"/>
                          <pic:cNvPicPr/>
                        </pic:nvPicPr>
                        <pic:blipFill>
                          <a:blip r:embed="rId15"/>
                          <a:stretch>
                            <a:fillRect/>
                          </a:stretch>
                        </pic:blipFill>
                        <pic:spPr>
                          <a:xfrm>
                            <a:off x="0" y="0"/>
                            <a:ext cx="2194560" cy="1776549"/>
                          </a:xfrm>
                          <a:prstGeom prst="rect"/>
                        </pic:spPr>
                      </pic:pic>
                    </a:graphicData>
                  </a:graphic>
                </wp:inline>
              </w:drawing>
            </w:r>
          </w:p>
        </w:tc>
      </w:tr>
    </w:tbl>
    <w:p>
      <w:pPr>
        <w:spacing w:before="40" w:after="160"/>
        <w:jc w:val="center"/>
      </w:pPr>
      <w:r>
        <w:rPr>
          <w:rFonts w:ascii="Times New Roman" w:hAnsi="Times New Roman"/>
          <w:b/>
          <w:color w:val="000000"/>
          <w:sz w:val="19"/>
        </w:rPr>
        <w:t>Fig. 2.5: [ Component Image Slot: Dual-Channel High-Voltage Optocoupled Relay Module ]</w:t>
      </w:r>
    </w:p>
    <w:tbl>
      <w:tblPr>
        <w:tblW w:type="auto" w:w="0"/>
        <w:jc w:val="center"/>
        <w:tblLook w:firstColumn="1" w:firstRow="1" w:lastColumn="0" w:lastRow="0" w:noHBand="0" w:noVBand="1" w:val="04A0"/>
      </w:tblPr>
      <w:tblGrid>
        <w:gridCol w:w="9360"/>
      </w:tblGrid>
      <w:tr>
        <w:tc>
          <w:tcPr>
            <w:tcW w:type="dxa" w:w="9360"/>
            <w:shd w:fill="FAFAFA"/>
            <w:tcMar>
              <w:top w:w="100" w:type="dxa"/>
              <w:bottom w:w="100" w:type="dxa"/>
              <w:left w:w="140" w:type="dxa"/>
              <w:right w:w="140" w:type="dxa"/>
            </w:tcMar>
            <w:tcBorders>
              <w:top w:val="single" w:sz="4" w:space="0" w:color="BBBBBB"/>
              <w:left w:val="single" w:sz="4" w:space="0" w:color="BBBBBB"/>
              <w:bottom w:val="single" w:sz="4" w:space="0" w:color="BBBBBB"/>
              <w:right w:val="single" w:sz="4" w:space="0" w:color="BBBBBB"/>
            </w:tcBorders>
          </w:tcPr>
          <w:p>
            <w:pPr>
              <w:spacing w:before="80" w:after="80"/>
              <w:jc w:val="center"/>
            </w:pPr>
            <w:r>
              <w:drawing>
                <wp:inline xmlns:a="http://schemas.openxmlformats.org/drawingml/2006/main" xmlns:pic="http://schemas.openxmlformats.org/drawingml/2006/picture">
                  <wp:extent cx="2011680" cy="1676400"/>
                  <wp:docPr id="6" name="Picture 6"/>
                  <wp:cNvGraphicFramePr>
                    <a:graphicFrameLocks noChangeAspect="1"/>
                  </wp:cNvGraphicFramePr>
                  <a:graphic>
                    <a:graphicData uri="http://schemas.openxmlformats.org/drawingml/2006/picture">
                      <pic:pic>
                        <pic:nvPicPr>
                          <pic:cNvPr id="0" name="led_module.png"/>
                          <pic:cNvPicPr/>
                        </pic:nvPicPr>
                        <pic:blipFill>
                          <a:blip r:embed="rId16"/>
                          <a:stretch>
                            <a:fillRect/>
                          </a:stretch>
                        </pic:blipFill>
                        <pic:spPr>
                          <a:xfrm>
                            <a:off x="0" y="0"/>
                            <a:ext cx="2011680" cy="1676400"/>
                          </a:xfrm>
                          <a:prstGeom prst="rect"/>
                        </pic:spPr>
                      </pic:pic>
                    </a:graphicData>
                  </a:graphic>
                </wp:inline>
              </w:drawing>
            </w:r>
          </w:p>
        </w:tc>
      </w:tr>
    </w:tbl>
    <w:p>
      <w:pPr>
        <w:spacing w:before="40" w:after="160"/>
        <w:jc w:val="center"/>
      </w:pPr>
      <w:r>
        <w:rPr>
          <w:rFonts w:ascii="Times New Roman" w:hAnsi="Times New Roman"/>
          <w:b/>
          <w:color w:val="000000"/>
          <w:sz w:val="19"/>
        </w:rPr>
        <w:t>Fig. 2.6: [ Component Image Slot: Room Luminaire / LED Load Actuator Module ]</w:t>
      </w:r>
    </w:p>
    <w:tbl>
      <w:tblPr>
        <w:tblW w:type="auto" w:w="0"/>
        <w:jc w:val="center"/>
        <w:tblLook w:firstColumn="1" w:firstRow="1" w:lastColumn="0" w:lastRow="0" w:noHBand="0" w:noVBand="1" w:val="04A0"/>
      </w:tblPr>
      <w:tblGrid>
        <w:gridCol w:w="9360"/>
      </w:tblGrid>
      <w:tr>
        <w:tc>
          <w:tcPr>
            <w:tcW w:type="dxa" w:w="9360"/>
            <w:shd w:fill="FAFAFA"/>
            <w:tcMar>
              <w:top w:w="100" w:type="dxa"/>
              <w:bottom w:w="100" w:type="dxa"/>
              <w:left w:w="140" w:type="dxa"/>
              <w:right w:w="140" w:type="dxa"/>
            </w:tcMar>
            <w:tcBorders>
              <w:top w:val="single" w:sz="4" w:space="0" w:color="BBBBBB"/>
              <w:left w:val="single" w:sz="4" w:space="0" w:color="BBBBBB"/>
              <w:bottom w:val="single" w:sz="4" w:space="0" w:color="BBBBBB"/>
              <w:right w:val="single" w:sz="4" w:space="0" w:color="BBBBBB"/>
            </w:tcBorders>
          </w:tcPr>
          <w:p>
            <w:pPr>
              <w:spacing w:before="80" w:after="80"/>
              <w:jc w:val="center"/>
            </w:pPr>
            <w:r>
              <w:drawing>
                <wp:inline xmlns:a="http://schemas.openxmlformats.org/drawingml/2006/main" xmlns:pic="http://schemas.openxmlformats.org/drawingml/2006/picture">
                  <wp:extent cx="2011680" cy="1899920"/>
                  <wp:docPr id="7" name="Picture 7"/>
                  <wp:cNvGraphicFramePr>
                    <a:graphicFrameLocks noChangeAspect="1"/>
                  </wp:cNvGraphicFramePr>
                  <a:graphic>
                    <a:graphicData uri="http://schemas.openxmlformats.org/drawingml/2006/picture">
                      <pic:pic>
                        <pic:nvPicPr>
                          <pic:cNvPr id="0" name="cooling_fan_module.png"/>
                          <pic:cNvPicPr/>
                        </pic:nvPicPr>
                        <pic:blipFill>
                          <a:blip r:embed="rId17"/>
                          <a:stretch>
                            <a:fillRect/>
                          </a:stretch>
                        </pic:blipFill>
                        <pic:spPr>
                          <a:xfrm>
                            <a:off x="0" y="0"/>
                            <a:ext cx="2011680" cy="1899920"/>
                          </a:xfrm>
                          <a:prstGeom prst="rect"/>
                        </pic:spPr>
                      </pic:pic>
                    </a:graphicData>
                  </a:graphic>
                </wp:inline>
              </w:drawing>
            </w:r>
          </w:p>
        </w:tc>
      </w:tr>
    </w:tbl>
    <w:p>
      <w:pPr>
        <w:spacing w:before="40" w:after="160"/>
        <w:jc w:val="center"/>
      </w:pPr>
      <w:r>
        <w:rPr>
          <w:rFonts w:ascii="Times New Roman" w:hAnsi="Times New Roman"/>
          <w:b/>
          <w:color w:val="000000"/>
          <w:sz w:val="19"/>
        </w:rPr>
        <w:t>Fig. 2.7: [ Component Image Slot: HVAC Ventilation &amp; Cooling Contactor Module ]</w:t>
      </w:r>
    </w:p>
    <w:p>
      <w:r>
        <w:br w:type="page"/>
      </w:r>
    </w:p>
    <w:p>
      <w:pPr>
        <w:pStyle w:val="Heading1"/>
        <w:keepNext/>
        <w:spacing w:before="280" w:after="80"/>
      </w:pPr>
      <w:r>
        <w:rPr>
          <w:rFonts w:ascii="Times New Roman" w:hAnsi="Times New Roman"/>
          <w:b/>
          <w:color w:val="000000"/>
          <w:sz w:val="30"/>
        </w:rPr>
        <w:t>3. WORKING &amp; IMPLEMENTATION</w:t>
      </w:r>
    </w:p>
    <w:p>
      <w:pPr>
        <w:pStyle w:val="Heading2"/>
        <w:keepNext/>
        <w:spacing w:before="280" w:after="80"/>
      </w:pPr>
      <w:r>
        <w:rPr>
          <w:rFonts w:ascii="Times New Roman" w:hAnsi="Times New Roman"/>
          <w:b/>
          <w:color w:val="000000"/>
          <w:sz w:val="26"/>
        </w:rPr>
        <w:t>3.1 Operational Workflow</w:t>
      </w:r>
    </w:p>
    <w:p>
      <w:pPr>
        <w:spacing w:after="120" w:line="276" w:lineRule="auto"/>
      </w:pPr>
      <w:r>
        <w:rPr>
          <w:rFonts w:ascii="Times New Roman" w:hAnsi="Times New Roman"/>
          <w:i w:val="0"/>
          <w:color w:val="000000"/>
          <w:sz w:val="22"/>
        </w:rPr>
        <w:t>The system executes a high-speed sense-fuse-decide-actuate-report loop scheduled at 50ms (20 Hz) intervals. Signals from the PIR, mmWave radar, and door reed switch are acquired concurrently. Raw analog voltages undergo moving-average digital filtering to suppress ambient RF noise before being evaluated by the Presence Fusion Engine. The resulting operational state controls the relay actuation states and generates real-time telemetry packets dispatched over Port 9090.</w:t>
      </w:r>
    </w:p>
    <w:p>
      <w:pPr>
        <w:pStyle w:val="Heading2"/>
        <w:keepNext/>
        <w:spacing w:before="280" w:after="80"/>
      </w:pPr>
      <w:r>
        <w:rPr>
          <w:rFonts w:ascii="Times New Roman" w:hAnsi="Times New Roman"/>
          <w:b/>
          <w:color w:val="000000"/>
          <w:sz w:val="26"/>
        </w:rPr>
        <w:t>3.2 Dual-Sensor Presence Fusion Engine</w:t>
      </w:r>
    </w:p>
    <w:p>
      <w:pPr>
        <w:spacing w:after="120" w:line="276" w:lineRule="auto"/>
      </w:pPr>
      <w:r>
        <w:rPr>
          <w:rFonts w:ascii="Times New Roman" w:hAnsi="Times New Roman"/>
          <w:i w:val="0"/>
          <w:color w:val="000000"/>
          <w:sz w:val="22"/>
        </w:rPr>
        <w:t>To overcome the single-sensor failure modes of optical detectors, the system implements a weighted sensor fusion algorithm. While the PIR sensor reliably identifies rapid macro-motion as an occupant walks across the room, the 60 GHz mmWave FMCW radar operates at millimeter wavelengths, emitting chirps that reflect off the chest cavity to detect minute sub-millimeter physiological movements (0.1–0.5 mm displacement). Table 3.1 details the multi-sensor fusion truth matrix.</w:t>
      </w:r>
    </w:p>
    <w:tbl>
      <w:tblPr>
        <w:tblW w:type="auto" w:w="0"/>
        <w:jc w:val="center"/>
        <w:tblLook w:firstColumn="1" w:firstRow="1" w:lastColumn="0" w:lastRow="0" w:noHBand="0" w:noVBand="1" w:val="04A0"/>
        <w:tblBorders>
          <w:top w:val="single" w:sz="6" w:space="0" w:color="333333"/>
          <w:left w:val="none"/>
          <w:bottom w:val="single" w:sz="6" w:space="0" w:color="333333"/>
          <w:right w:val="none"/>
          <w:insideH w:val="single" w:sz="4" w:space="0" w:color="D0D0D0"/>
          <w:insideV w:val="none"/>
        </w:tblBorders>
      </w:tblPr>
      <w:tblGrid>
        <w:gridCol w:w="2340"/>
        <w:gridCol w:w="2340"/>
        <w:gridCol w:w="2340"/>
        <w:gridCol w:w="2340"/>
      </w:tblGrid>
      <w:tr>
        <w:tc>
          <w:tcPr>
            <w:tcW w:type="dxa" w:w="2304"/>
            <w:shd w:fill="EFEFEF"/>
            <w:tcMar>
              <w:top w:w="120" w:type="dxa"/>
              <w:bottom w:w="120" w:type="dxa"/>
              <w:left w:w="140" w:type="dxa"/>
              <w:right w:w="140" w:type="dxa"/>
            </w:tcMar>
            <w:vAlign w:val="center"/>
          </w:tcPr>
          <w:p>
            <w:pPr>
              <w:spacing w:before="0" w:after="0"/>
              <w:jc w:val="center"/>
            </w:pPr>
            <w:r>
              <w:rPr>
                <w:rFonts w:ascii="Times New Roman" w:hAnsi="Times New Roman"/>
                <w:b/>
                <w:color w:val="000000"/>
                <w:sz w:val="20"/>
              </w:rPr>
              <w:t>PIR Signal (GPIO 12)</w:t>
            </w:r>
          </w:p>
        </w:tc>
        <w:tc>
          <w:tcPr>
            <w:tcW w:type="dxa" w:w="2592"/>
            <w:shd w:fill="EFEFEF"/>
            <w:tcMar>
              <w:top w:w="120" w:type="dxa"/>
              <w:bottom w:w="120" w:type="dxa"/>
              <w:left w:w="140" w:type="dxa"/>
              <w:right w:w="140" w:type="dxa"/>
            </w:tcMar>
            <w:vAlign w:val="center"/>
          </w:tcPr>
          <w:p>
            <w:pPr>
              <w:spacing w:before="0" w:after="0"/>
              <w:jc w:val="center"/>
            </w:pPr>
            <w:r>
              <w:rPr>
                <w:rFonts w:ascii="Times New Roman" w:hAnsi="Times New Roman"/>
                <w:b/>
                <w:color w:val="000000"/>
                <w:sz w:val="20"/>
              </w:rPr>
              <w:t>mmWave Radar (GPIO 27)</w:t>
            </w:r>
          </w:p>
        </w:tc>
        <w:tc>
          <w:tcPr>
            <w:tcW w:type="dxa" w:w="2592"/>
            <w:shd w:fill="EFEFEF"/>
            <w:tcMar>
              <w:top w:w="120" w:type="dxa"/>
              <w:bottom w:w="120" w:type="dxa"/>
              <w:left w:w="140" w:type="dxa"/>
              <w:right w:w="140" w:type="dxa"/>
            </w:tcMar>
            <w:vAlign w:val="center"/>
          </w:tcPr>
          <w:p>
            <w:pPr>
              <w:spacing w:before="0" w:after="0"/>
              <w:jc w:val="center"/>
            </w:pPr>
            <w:r>
              <w:rPr>
                <w:rFonts w:ascii="Times New Roman" w:hAnsi="Times New Roman"/>
                <w:b/>
                <w:color w:val="000000"/>
                <w:sz w:val="20"/>
              </w:rPr>
              <w:t>Evaluated Room State</w:t>
            </w:r>
          </w:p>
        </w:tc>
        <w:tc>
          <w:tcPr>
            <w:tcW w:type="dxa" w:w="2016"/>
            <w:shd w:fill="EFEFEF"/>
            <w:tcMar>
              <w:top w:w="120" w:type="dxa"/>
              <w:bottom w:w="120" w:type="dxa"/>
              <w:left w:w="140" w:type="dxa"/>
              <w:right w:w="140" w:type="dxa"/>
            </w:tcMar>
            <w:vAlign w:val="center"/>
          </w:tcPr>
          <w:p>
            <w:pPr>
              <w:spacing w:before="0" w:after="0"/>
              <w:jc w:val="center"/>
            </w:pPr>
            <w:r>
              <w:rPr>
                <w:rFonts w:ascii="Times New Roman" w:hAnsi="Times New Roman"/>
                <w:b/>
                <w:color w:val="000000"/>
                <w:sz w:val="20"/>
              </w:rPr>
              <w:t>Lighting &amp; HVAC Action</w:t>
            </w:r>
          </w:p>
        </w:tc>
      </w:tr>
      <w:tr>
        <w:tc>
          <w:tcPr>
            <w:tcW w:type="dxa" w:w="2304"/>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HIGH (3.3V)</w:t>
            </w:r>
          </w:p>
        </w:tc>
        <w:tc>
          <w:tcPr>
            <w:tcW w:type="dxa" w:w="2592"/>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HIGH (2.80–3.30V)</w:t>
            </w:r>
          </w:p>
        </w:tc>
        <w:tc>
          <w:tcPr>
            <w:tcW w:type="dxa" w:w="2592"/>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OCCUPIED (Active)</w:t>
            </w:r>
          </w:p>
        </w:tc>
        <w:tc>
          <w:tcPr>
            <w:tcW w:type="dxa" w:w="2016"/>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Lights ENERGIZED | HVAC Active</w:t>
            </w:r>
          </w:p>
        </w:tc>
      </w:tr>
      <w:tr>
        <w:tc>
          <w:tcPr>
            <w:tcW w:type="dxa" w:w="2304"/>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LOW (0.0V)</w:t>
            </w:r>
          </w:p>
        </w:tc>
        <w:tc>
          <w:tcPr>
            <w:tcW w:type="dxa" w:w="2592"/>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MODERATE (1.80–2.20V)</w:t>
            </w:r>
          </w:p>
        </w:tc>
        <w:tc>
          <w:tcPr>
            <w:tcW w:type="dxa" w:w="2592"/>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SLEEP MODE (Micro-motion)</w:t>
            </w:r>
          </w:p>
        </w:tc>
        <w:tc>
          <w:tcPr>
            <w:tcW w:type="dxa" w:w="2016"/>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Lights DIMMED/OFF | HVAC Quiet Mode</w:t>
            </w:r>
          </w:p>
        </w:tc>
      </w:tr>
      <w:tr>
        <w:tc>
          <w:tcPr>
            <w:tcW w:type="dxa" w:w="2304"/>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LOW (0.0V)</w:t>
            </w:r>
          </w:p>
        </w:tc>
        <w:tc>
          <w:tcPr>
            <w:tcW w:type="dxa" w:w="2592"/>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LOW (&lt; 0.50V)</w:t>
            </w:r>
          </w:p>
        </w:tc>
        <w:tc>
          <w:tcPr>
            <w:tcW w:type="dxa" w:w="2592"/>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HYSTERESIS (Grace Window)</w:t>
            </w:r>
          </w:p>
        </w:tc>
        <w:tc>
          <w:tcPr>
            <w:tcW w:type="dxa" w:w="2016"/>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Relays Hold Active | Timer Ticks Down</w:t>
            </w:r>
          </w:p>
        </w:tc>
      </w:tr>
      <w:tr>
        <w:tc>
          <w:tcPr>
            <w:tcW w:type="dxa" w:w="2304"/>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LOW (0.0V) for &gt; 30s</w:t>
            </w:r>
          </w:p>
        </w:tc>
        <w:tc>
          <w:tcPr>
            <w:tcW w:type="dxa" w:w="2592"/>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LOW (&lt; 0.50V) for &gt; 30s</w:t>
            </w:r>
          </w:p>
        </w:tc>
        <w:tc>
          <w:tcPr>
            <w:tcW w:type="dxa" w:w="2592"/>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VACANT (Standby)</w:t>
            </w:r>
          </w:p>
        </w:tc>
        <w:tc>
          <w:tcPr>
            <w:tcW w:type="dxa" w:w="2016"/>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Lights DE-ENERGIZED | HVAC Standby</w:t>
            </w:r>
          </w:p>
        </w:tc>
      </w:tr>
    </w:tbl>
    <w:p>
      <w:pPr>
        <w:spacing w:after="120" w:line="276" w:lineRule="auto"/>
      </w:pPr>
      <w:r>
        <w:rPr>
          <w:rFonts w:ascii="Times New Roman" w:hAnsi="Times New Roman"/>
          <w:i w:val="0"/>
          <w:color w:val="000000"/>
          <w:sz w:val="22"/>
        </w:rPr>
      </w:r>
    </w:p>
    <w:p>
      <w:pPr>
        <w:pStyle w:val="Heading2"/>
        <w:keepNext/>
        <w:spacing w:before="280" w:after="80"/>
      </w:pPr>
      <w:r>
        <w:rPr>
          <w:rFonts w:ascii="Times New Roman" w:hAnsi="Times New Roman"/>
          <w:b/>
          <w:color w:val="000000"/>
          <w:sz w:val="26"/>
        </w:rPr>
        <w:t>3.3 Environmental Simulation Rationale: Studio Asahi's Stand By Me Doraemon</w:t>
      </w:r>
    </w:p>
    <w:p>
      <w:pPr>
        <w:spacing w:after="120" w:line="276" w:lineRule="auto"/>
      </w:pPr>
      <w:r>
        <w:rPr>
          <w:rFonts w:ascii="Times New Roman" w:hAnsi="Times New Roman"/>
          <w:b/>
          <w:color w:val="000000"/>
          <w:sz w:val="22"/>
        </w:rPr>
        <w:t xml:space="preserve">Simulation Methodology &amp; Justification: </w:t>
      </w:r>
      <w:r>
        <w:rPr>
          <w:rFonts w:ascii="Times New Roman" w:hAnsi="Times New Roman"/>
          <w:i w:val="0"/>
          <w:color w:val="000000"/>
          <w:sz w:val="22"/>
        </w:rPr>
        <w:t>To achieve a rigorous, repeatable simulation environment while compromising between project development time constraints and the requirement for authentic real-world environmental transitions, high-definition video sequences were extracted from Studio Asahi's cinematic production, Stand By Me Doraemon (produced by Shin-Ei Animation, Shirogumi, Robot Communications, and TV Asahi).</w:t>
      </w:r>
    </w:p>
    <w:p>
      <w:pPr>
        <w:spacing w:after="120" w:line="276" w:lineRule="auto"/>
      </w:pPr>
      <w:r>
        <w:rPr>
          <w:rFonts w:ascii="Times New Roman" w:hAnsi="Times New Roman"/>
          <w:i w:val="0"/>
          <w:color w:val="000000"/>
          <w:sz w:val="22"/>
        </w:rPr>
        <w:t>The rationale for selecting this cinematographic source is that it features highly distinct, repeatable, and diverse environmental scenes specifically matching the operational edge cases of smart room automation: (1) an occupant entering a dark, vacant room; (2) active desk study; (3) abrupt window departure via bamboo-copter where the occupant exits into the sky while room lighting should extinguish; and (4) an occupant settling into bed at night where the main ceiling luminaire automatically dims down while the mmWave radar maintains active sleep-presence. Utilizing these video feeds enabled us to build frame-accurate, millisecond-synchronized cyber-physical tests that validate the firmware against realistic human behavior without requiring protracted multi-week physical living-lab deployments.</w:t>
      </w:r>
    </w:p>
    <w:p>
      <w:pPr>
        <w:pStyle w:val="Heading2"/>
        <w:keepNext/>
        <w:spacing w:before="280" w:after="80"/>
      </w:pPr>
      <w:r>
        <w:rPr>
          <w:rFonts w:ascii="Times New Roman" w:hAnsi="Times New Roman"/>
          <w:b/>
          <w:color w:val="000000"/>
          <w:sz w:val="26"/>
        </w:rPr>
        <w:t>3.4 Multi-Scenario Cyber-Physical Video Synchronization Engine</w:t>
      </w:r>
    </w:p>
    <w:p>
      <w:pPr>
        <w:spacing w:after="120" w:line="276" w:lineRule="auto"/>
      </w:pPr>
      <w:r>
        <w:rPr>
          <w:rFonts w:ascii="Times New Roman" w:hAnsi="Times New Roman"/>
          <w:i w:val="0"/>
          <w:color w:val="000000"/>
          <w:sz w:val="22"/>
        </w:rPr>
        <w:t>The interactive desktop player (NobitaDepartureSyncApp.java) decodes native video frames directly into Java memory at 15–20 FPS, synchronizing timeline event cuts with physical pin injections dispatched over Port 9091:</w:t>
      </w:r>
    </w:p>
    <w:tbl>
      <w:tblPr>
        <w:tblW w:type="auto" w:w="0"/>
        <w:jc w:val="center"/>
        <w:tblLook w:firstColumn="1" w:firstRow="1" w:lastColumn="0" w:lastRow="0" w:noHBand="0" w:noVBand="1" w:val="04A0"/>
        <w:tblBorders>
          <w:top w:val="single" w:sz="6" w:space="0" w:color="333333"/>
          <w:left w:val="none"/>
          <w:bottom w:val="single" w:sz="6" w:space="0" w:color="333333"/>
          <w:right w:val="none"/>
          <w:insideH w:val="single" w:sz="4" w:space="0" w:color="D0D0D0"/>
          <w:insideV w:val="none"/>
        </w:tblBorders>
      </w:tblPr>
      <w:tblGrid>
        <w:gridCol w:w="2340"/>
        <w:gridCol w:w="2340"/>
        <w:gridCol w:w="2340"/>
        <w:gridCol w:w="2340"/>
      </w:tblGrid>
      <w:tr>
        <w:tc>
          <w:tcPr>
            <w:tcW w:type="dxa" w:w="2592"/>
            <w:shd w:fill="EFEFEF"/>
            <w:tcMar>
              <w:top w:w="120" w:type="dxa"/>
              <w:bottom w:w="120" w:type="dxa"/>
              <w:left w:w="140" w:type="dxa"/>
              <w:right w:w="140" w:type="dxa"/>
            </w:tcMar>
            <w:vAlign w:val="center"/>
          </w:tcPr>
          <w:p>
            <w:pPr>
              <w:spacing w:before="0" w:after="0"/>
              <w:jc w:val="center"/>
            </w:pPr>
            <w:r>
              <w:rPr>
                <w:rFonts w:ascii="Times New Roman" w:hAnsi="Times New Roman"/>
                <w:b/>
                <w:color w:val="000000"/>
                <w:sz w:val="20"/>
              </w:rPr>
              <w:t>Scenario Name</w:t>
            </w:r>
          </w:p>
        </w:tc>
        <w:tc>
          <w:tcPr>
            <w:tcW w:type="dxa" w:w="1728"/>
            <w:shd w:fill="EFEFEF"/>
            <w:tcMar>
              <w:top w:w="120" w:type="dxa"/>
              <w:bottom w:w="120" w:type="dxa"/>
              <w:left w:w="140" w:type="dxa"/>
              <w:right w:w="140" w:type="dxa"/>
            </w:tcMar>
            <w:vAlign w:val="center"/>
          </w:tcPr>
          <w:p>
            <w:pPr>
              <w:spacing w:before="0" w:after="0"/>
              <w:jc w:val="center"/>
            </w:pPr>
            <w:r>
              <w:rPr>
                <w:rFonts w:ascii="Times New Roman" w:hAnsi="Times New Roman"/>
                <w:b/>
                <w:color w:val="000000"/>
                <w:sz w:val="20"/>
              </w:rPr>
              <w:t>Video Target</w:t>
            </w:r>
          </w:p>
        </w:tc>
        <w:tc>
          <w:tcPr>
            <w:tcW w:type="dxa" w:w="2016"/>
            <w:shd w:fill="EFEFEF"/>
            <w:tcMar>
              <w:top w:w="120" w:type="dxa"/>
              <w:bottom w:w="120" w:type="dxa"/>
              <w:left w:w="140" w:type="dxa"/>
              <w:right w:w="140" w:type="dxa"/>
            </w:tcMar>
            <w:vAlign w:val="center"/>
          </w:tcPr>
          <w:p>
            <w:pPr>
              <w:spacing w:before="0" w:after="0"/>
              <w:jc w:val="center"/>
            </w:pPr>
            <w:r>
              <w:rPr>
                <w:rFonts w:ascii="Times New Roman" w:hAnsi="Times New Roman"/>
                <w:b/>
                <w:color w:val="000000"/>
                <w:sz w:val="20"/>
              </w:rPr>
              <w:t>Timeline Trigger</w:t>
            </w:r>
          </w:p>
        </w:tc>
        <w:tc>
          <w:tcPr>
            <w:tcW w:type="dxa" w:w="3168"/>
            <w:shd w:fill="EFEFEF"/>
            <w:tcMar>
              <w:top w:w="120" w:type="dxa"/>
              <w:bottom w:w="120" w:type="dxa"/>
              <w:left w:w="140" w:type="dxa"/>
              <w:right w:w="140" w:type="dxa"/>
            </w:tcMar>
            <w:vAlign w:val="center"/>
          </w:tcPr>
          <w:p>
            <w:pPr>
              <w:spacing w:before="0" w:after="0"/>
              <w:jc w:val="center"/>
            </w:pPr>
            <w:r>
              <w:rPr>
                <w:rFonts w:ascii="Times New Roman" w:hAnsi="Times New Roman"/>
                <w:b/>
                <w:color w:val="000000"/>
                <w:sz w:val="20"/>
              </w:rPr>
              <w:t>Physical Pin Stimulus Injected</w:t>
            </w:r>
          </w:p>
        </w:tc>
      </w:tr>
      <w:tr>
        <w:tc>
          <w:tcPr>
            <w:tcW w:type="dxa" w:w="2592"/>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1. Nobita Departure (Bamboo Copter)</w:t>
            </w:r>
          </w:p>
        </w:tc>
        <w:tc>
          <w:tcPr>
            <w:tcW w:type="dxa" w:w="1728"/>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Timeline 1.mov (6s, 20 FPS, 120 frames)</w:t>
            </w:r>
          </w:p>
        </w:tc>
        <w:tc>
          <w:tcPr>
            <w:tcW w:type="dxa" w:w="2016"/>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t = 3.00s (Exits room through window)</w:t>
            </w:r>
          </w:p>
        </w:tc>
        <w:tc>
          <w:tcPr>
            <w:tcW w:type="dxa" w:w="3168"/>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t &lt; 3s: PIR=3.3V, Radar=2.8V (OCCUPIED)</w:t>
              <w:br/>
              <w:t>t &gt;= 3s: PIR=0.0V, Radar=0.05V (VACANT)</w:t>
            </w:r>
          </w:p>
        </w:tc>
      </w:tr>
      <w:tr>
        <w:tc>
          <w:tcPr>
            <w:tcW w:type="dxa" w:w="2592"/>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2. Nobita Sleeping &amp; Dimming</w:t>
            </w:r>
          </w:p>
        </w:tc>
        <w:tc>
          <w:tcPr>
            <w:tcW w:type="dxa" w:w="1728"/>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Nobita sleeping.mov (5s, 20 FPS, 100 frames)</w:t>
            </w:r>
          </w:p>
        </w:tc>
        <w:tc>
          <w:tcPr>
            <w:tcW w:type="dxa" w:w="2016"/>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t = 4.00s (Settles to sleep; lights dim)</w:t>
            </w:r>
          </w:p>
        </w:tc>
        <w:tc>
          <w:tcPr>
            <w:tcW w:type="dxa" w:w="3168"/>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t &lt; 4s: PIR=3.3V, Radar=2.8V (Active)</w:t>
              <w:br/>
              <w:t>t &gt;= 4s: PIR=0.0V, Radar=1.95V (SLEEP MODE)</w:t>
            </w:r>
          </w:p>
        </w:tc>
      </w:tr>
      <w:tr>
        <w:tc>
          <w:tcPr>
            <w:tcW w:type="dxa" w:w="2592"/>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3. Nobita Entering Room</w:t>
            </w:r>
          </w:p>
        </w:tc>
        <w:tc>
          <w:tcPr>
            <w:tcW w:type="dxa" w:w="1728"/>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Nobita enters the room.mov (11s, 15 FPS, 165 frames)</w:t>
            </w:r>
          </w:p>
        </w:tc>
        <w:tc>
          <w:tcPr>
            <w:tcW w:type="dxa" w:w="2016"/>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t = 6.60s (Opens door &amp; crosses threshold)</w:t>
            </w:r>
          </w:p>
        </w:tc>
        <w:tc>
          <w:tcPr>
            <w:tcW w:type="dxa" w:w="3168"/>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t &lt; 6.6s: PIR=0.0V, Radar=0.05V (Dark/Vacant)</w:t>
              <w:br/>
              <w:t>t &gt;= 6.6s: PIR=3.3V, Radar=2.85V (LIGHTS ON)</w:t>
            </w:r>
          </w:p>
        </w:tc>
      </w:tr>
      <w:tr>
        <w:tc>
          <w:tcPr>
            <w:tcW w:type="dxa" w:w="2592"/>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4. PIR Motion Sensor Activated</w:t>
            </w:r>
          </w:p>
        </w:tc>
        <w:tc>
          <w:tcPr>
            <w:tcW w:type="dxa" w:w="1728"/>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PIR motion sensor activated.mp4 (14s, 15 FPS, 210 frames)</w:t>
            </w:r>
          </w:p>
        </w:tc>
        <w:tc>
          <w:tcPr>
            <w:tcW w:type="dxa" w:w="2016"/>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t = 2.30s (Active)</w:t>
              <w:br/>
              <w:t>t = 10.30s (Clear)</w:t>
            </w:r>
          </w:p>
        </w:tc>
        <w:tc>
          <w:tcPr>
            <w:tcW w:type="dxa" w:w="3168"/>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t &lt; 2.3s: Standby (0.0V)</w:t>
              <w:br/>
              <w:t>2.3–10.3s: Optical Trigger (3.3V, Radar 2.9V)</w:t>
              <w:br/>
              <w:t>t &gt;= 10.3s: Clear (0.0V)</w:t>
            </w:r>
          </w:p>
        </w:tc>
      </w:tr>
    </w:tbl>
    <w:p>
      <w:pPr>
        <w:spacing w:after="120" w:line="276" w:lineRule="auto"/>
      </w:pPr>
      <w:r>
        <w:rPr>
          <w:rFonts w:ascii="Times New Roman" w:hAnsi="Times New Roman"/>
          <w:i w:val="0"/>
          <w:color w:val="000000"/>
          <w:sz w:val="22"/>
        </w:rPr>
      </w:r>
    </w:p>
    <w:p>
      <w:pPr>
        <w:pStyle w:val="Heading2"/>
        <w:keepNext/>
        <w:spacing w:before="280" w:after="80"/>
      </w:pPr>
      <w:r>
        <w:rPr>
          <w:rFonts w:ascii="Times New Roman" w:hAnsi="Times New Roman"/>
          <w:b/>
          <w:color w:val="000000"/>
          <w:sz w:val="26"/>
        </w:rPr>
        <w:t>3.5 Real-Time Telemetry Dashboard &amp; 3D Glass Bubble Interface</w:t>
      </w:r>
    </w:p>
    <w:p>
      <w:pPr>
        <w:spacing w:after="120" w:line="276" w:lineRule="auto"/>
      </w:pPr>
      <w:r>
        <w:rPr>
          <w:rFonts w:ascii="Times New Roman" w:hAnsi="Times New Roman"/>
          <w:i w:val="0"/>
          <w:color w:val="000000"/>
          <w:sz w:val="22"/>
        </w:rPr>
        <w:t>The telemetry monitoring applet (RoomDashboardApplet.java) connects to Port 9090 and visualizes real-time state telemetry. The central room state indicator is rendered using a 5-stage glossy 3D glass bubble / orb architecture:</w:t>
      </w:r>
    </w:p>
    <w:p>
      <w:pPr>
        <w:spacing w:after="80" w:line="276" w:lineRule="auto"/>
      </w:pPr>
      <w:r>
        <w:rPr>
          <w:rFonts w:ascii="Times New Roman" w:hAnsi="Times New Roman"/>
          <w:b/>
          <w:color w:val="000000"/>
          <w:sz w:val="22"/>
        </w:rPr>
        <w:t xml:space="preserve">• Step 1 &amp; 4 — Volumetric 3D Spherical Depth: </w:t>
      </w:r>
      <w:r>
        <w:rPr>
          <w:rFonts w:ascii="Times New Roman" w:hAnsi="Times New Roman"/>
          <w:i w:val="0"/>
          <w:color w:val="000000"/>
          <w:sz w:val="22"/>
        </w:rPr>
        <w:t>A RadialGradientPaint is centered slightly below the sphere's apex. The gradient transitions from an illuminated core (blended 40% with white) down to a dark contoured rim (blended 45% with black), giving authentic 3D spherical curvature.</w:t>
      </w:r>
    </w:p>
    <w:p>
      <w:pPr>
        <w:spacing w:after="80" w:line="276" w:lineRule="auto"/>
      </w:pPr>
      <w:r>
        <w:rPr>
          <w:rFonts w:ascii="Times New Roman" w:hAnsi="Times New Roman"/>
          <w:b/>
          <w:color w:val="000000"/>
          <w:sz w:val="22"/>
        </w:rPr>
        <w:t xml:space="preserve">• Step 4.5 — Bottom Reflective Bounce Light: </w:t>
      </w:r>
      <w:r>
        <w:rPr>
          <w:rFonts w:ascii="Times New Roman" w:hAnsi="Times New Roman"/>
          <w:i w:val="0"/>
          <w:color w:val="000000"/>
          <w:sz w:val="22"/>
        </w:rPr>
        <w:t>A secondary crescent highlight is rendered along the lower internal perimeter using a vertical LinearGradientPaint (fading from 0 to 80 alpha white) clipped to the sphere's edge, simulating bounce light reflecting off the bottom of a crystalline glass orb.</w:t>
      </w:r>
    </w:p>
    <w:p>
      <w:pPr>
        <w:spacing w:after="80" w:line="276" w:lineRule="auto"/>
      </w:pPr>
      <w:r>
        <w:rPr>
          <w:rFonts w:ascii="Times New Roman" w:hAnsi="Times New Roman"/>
          <w:b/>
          <w:color w:val="000000"/>
          <w:sz w:val="22"/>
        </w:rPr>
        <w:t xml:space="preserve">• Step 2 &amp; 3 — Top Glossy Specular Glare: </w:t>
      </w:r>
      <w:r>
        <w:rPr>
          <w:rFonts w:ascii="Times New Roman" w:hAnsi="Times New Roman"/>
          <w:i w:val="0"/>
          <w:color w:val="000000"/>
          <w:sz w:val="22"/>
        </w:rPr>
        <w:t>An elliptical highlight across the top 40% of the orb is filled with a LinearGradientPaint starting at crisp glossy white (235 alpha) and fading downward to total transparency (0 alpha), producing a curved glass glare.</w:t>
      </w:r>
    </w:p>
    <w:p>
      <w:pPr>
        <w:spacing w:after="80" w:line="276" w:lineRule="auto"/>
      </w:pPr>
      <w:r>
        <w:rPr>
          <w:rFonts w:ascii="Times New Roman" w:hAnsi="Times New Roman"/>
          <w:b/>
          <w:color w:val="000000"/>
          <w:sz w:val="22"/>
        </w:rPr>
        <w:t xml:space="preserve">• Step 5 — Outer Glass Rim &amp; Drop-Shadowed Typography: </w:t>
      </w:r>
      <w:r>
        <w:rPr>
          <w:rFonts w:ascii="Times New Roman" w:hAnsi="Times New Roman"/>
          <w:i w:val="0"/>
          <w:color w:val="000000"/>
          <w:sz w:val="22"/>
        </w:rPr>
        <w:t>A 1.5px semi-translucent glass rim stroke outlines the orb. State labels (OCCUPIED, HYSTERESIS, VACANT, SLEEP) are rendered in bold Segoe UI Emoji with a drop shadow, ensuring high-contrast legibility across all room states.</w:t>
      </w:r>
    </w:p>
    <w:p>
      <w:pPr>
        <w:spacing w:before="80" w:after="120" w:line="276" w:lineRule="auto"/>
      </w:pPr>
      <w:r>
        <w:rPr>
          <w:rFonts w:ascii="Times New Roman" w:hAnsi="Times New Roman"/>
          <w:b/>
          <w:color w:val="000000"/>
          <w:sz w:val="22"/>
        </w:rPr>
        <w:t xml:space="preserve">Note: </w:t>
      </w:r>
      <w:r>
        <w:rPr>
          <w:rFonts w:ascii="Times New Roman" w:hAnsi="Times New Roman"/>
          <w:i/>
          <w:color w:val="000000"/>
          <w:sz w:val="22"/>
        </w:rPr>
        <w:t>For detailed low-level implementation of socket servers, thread listeners, and port binding mechanisms, refer last section for detail.</w:t>
      </w:r>
    </w:p>
    <w:p>
      <w:r>
        <w:br w:type="page"/>
      </w:r>
    </w:p>
    <w:p>
      <w:pPr>
        <w:pStyle w:val="Heading1"/>
        <w:keepNext/>
        <w:spacing w:before="280" w:after="80"/>
      </w:pPr>
      <w:r>
        <w:rPr>
          <w:rFonts w:ascii="Times New Roman" w:hAnsi="Times New Roman"/>
          <w:b/>
          <w:color w:val="000000"/>
          <w:sz w:val="30"/>
        </w:rPr>
        <w:t>4. OUTPUT &amp; EXPERIMENTAL RESULTS</w:t>
      </w:r>
    </w:p>
    <w:p>
      <w:pPr>
        <w:pStyle w:val="Heading2"/>
        <w:keepNext/>
        <w:spacing w:before="280" w:after="80"/>
      </w:pPr>
      <w:r>
        <w:rPr>
          <w:rFonts w:ascii="Times New Roman" w:hAnsi="Times New Roman"/>
          <w:b/>
          <w:color w:val="000000"/>
          <w:sz w:val="26"/>
        </w:rPr>
        <w:t>4.1 Physical Pin Stimulus vs. Firmware Decision Outputs</w:t>
      </w:r>
    </w:p>
    <w:p>
      <w:pPr>
        <w:spacing w:after="120" w:line="276" w:lineRule="auto"/>
      </w:pPr>
      <w:r>
        <w:rPr>
          <w:rFonts w:ascii="Times New Roman" w:hAnsi="Times New Roman"/>
          <w:i w:val="0"/>
          <w:color w:val="000000"/>
          <w:sz w:val="22"/>
        </w:rPr>
        <w:t>Experimental test vectors injected via Port 9091 and observed firmware responses are recorded in Table 4.1.</w:t>
      </w:r>
    </w:p>
    <w:tbl>
      <w:tblPr>
        <w:tblW w:type="auto" w:w="0"/>
        <w:jc w:val="center"/>
        <w:tblLook w:firstColumn="1" w:firstRow="1" w:lastColumn="0" w:lastRow="0" w:noHBand="0" w:noVBand="1" w:val="04A0"/>
        <w:tblBorders>
          <w:top w:val="single" w:sz="6" w:space="0" w:color="333333"/>
          <w:left w:val="none"/>
          <w:bottom w:val="single" w:sz="6" w:space="0" w:color="333333"/>
          <w:right w:val="none"/>
          <w:insideH w:val="single" w:sz="4" w:space="0" w:color="D0D0D0"/>
          <w:insideV w:val="none"/>
        </w:tblBorders>
      </w:tblPr>
      <w:tblGrid>
        <w:gridCol w:w="1872"/>
        <w:gridCol w:w="1872"/>
        <w:gridCol w:w="1872"/>
        <w:gridCol w:w="1872"/>
        <w:gridCol w:w="1872"/>
      </w:tblGrid>
      <w:tr>
        <w:tc>
          <w:tcPr>
            <w:tcW w:type="dxa" w:w="1728"/>
            <w:shd w:fill="EFEFEF"/>
            <w:tcMar>
              <w:top w:w="120" w:type="dxa"/>
              <w:bottom w:w="120" w:type="dxa"/>
              <w:left w:w="140" w:type="dxa"/>
              <w:right w:w="140" w:type="dxa"/>
            </w:tcMar>
            <w:vAlign w:val="center"/>
          </w:tcPr>
          <w:p>
            <w:pPr>
              <w:spacing w:before="0" w:after="0"/>
              <w:jc w:val="center"/>
            </w:pPr>
            <w:r>
              <w:rPr>
                <w:rFonts w:ascii="Times New Roman" w:hAnsi="Times New Roman"/>
                <w:b/>
                <w:color w:val="000000"/>
                <w:sz w:val="20"/>
              </w:rPr>
              <w:t>PIR (GPIO 12)</w:t>
            </w:r>
          </w:p>
        </w:tc>
        <w:tc>
          <w:tcPr>
            <w:tcW w:type="dxa" w:w="1728"/>
            <w:shd w:fill="EFEFEF"/>
            <w:tcMar>
              <w:top w:w="120" w:type="dxa"/>
              <w:bottom w:w="120" w:type="dxa"/>
              <w:left w:w="140" w:type="dxa"/>
              <w:right w:w="140" w:type="dxa"/>
            </w:tcMar>
            <w:vAlign w:val="center"/>
          </w:tcPr>
          <w:p>
            <w:pPr>
              <w:spacing w:before="0" w:after="0"/>
              <w:jc w:val="center"/>
            </w:pPr>
            <w:r>
              <w:rPr>
                <w:rFonts w:ascii="Times New Roman" w:hAnsi="Times New Roman"/>
                <w:b/>
                <w:color w:val="000000"/>
                <w:sz w:val="20"/>
              </w:rPr>
              <w:t>Radar (GPIO 27)</w:t>
            </w:r>
          </w:p>
        </w:tc>
        <w:tc>
          <w:tcPr>
            <w:tcW w:type="dxa" w:w="1728"/>
            <w:shd w:fill="EFEFEF"/>
            <w:tcMar>
              <w:top w:w="120" w:type="dxa"/>
              <w:bottom w:w="120" w:type="dxa"/>
              <w:left w:w="140" w:type="dxa"/>
              <w:right w:w="140" w:type="dxa"/>
            </w:tcMar>
            <w:vAlign w:val="center"/>
          </w:tcPr>
          <w:p>
            <w:pPr>
              <w:spacing w:before="0" w:after="0"/>
              <w:jc w:val="center"/>
            </w:pPr>
            <w:r>
              <w:rPr>
                <w:rFonts w:ascii="Times New Roman" w:hAnsi="Times New Roman"/>
                <w:b/>
                <w:color w:val="000000"/>
                <w:sz w:val="20"/>
              </w:rPr>
              <w:t>Door (GPIO 14)</w:t>
            </w:r>
          </w:p>
        </w:tc>
        <w:tc>
          <w:tcPr>
            <w:tcW w:type="dxa" w:w="2160"/>
            <w:shd w:fill="EFEFEF"/>
            <w:tcMar>
              <w:top w:w="120" w:type="dxa"/>
              <w:bottom w:w="120" w:type="dxa"/>
              <w:left w:w="140" w:type="dxa"/>
              <w:right w:w="140" w:type="dxa"/>
            </w:tcMar>
            <w:vAlign w:val="center"/>
          </w:tcPr>
          <w:p>
            <w:pPr>
              <w:spacing w:before="0" w:after="0"/>
              <w:jc w:val="center"/>
            </w:pPr>
            <w:r>
              <w:rPr>
                <w:rFonts w:ascii="Times New Roman" w:hAnsi="Times New Roman"/>
                <w:b/>
                <w:color w:val="000000"/>
                <w:sz w:val="20"/>
              </w:rPr>
              <w:t>Firmware State Output</w:t>
            </w:r>
          </w:p>
        </w:tc>
        <w:tc>
          <w:tcPr>
            <w:tcW w:type="dxa" w:w="2160"/>
            <w:shd w:fill="EFEFEF"/>
            <w:tcMar>
              <w:top w:w="120" w:type="dxa"/>
              <w:bottom w:w="120" w:type="dxa"/>
              <w:left w:w="140" w:type="dxa"/>
              <w:right w:w="140" w:type="dxa"/>
            </w:tcMar>
            <w:vAlign w:val="center"/>
          </w:tcPr>
          <w:p>
            <w:pPr>
              <w:spacing w:before="0" w:after="0"/>
              <w:jc w:val="center"/>
            </w:pPr>
            <w:r>
              <w:rPr>
                <w:rFonts w:ascii="Times New Roman" w:hAnsi="Times New Roman"/>
                <w:b/>
                <w:color w:val="000000"/>
                <w:sz w:val="20"/>
              </w:rPr>
              <w:t>Relay Output (Lights/HVAC)</w:t>
            </w:r>
          </w:p>
        </w:tc>
      </w:tr>
      <w:tr>
        <w:tc>
          <w:tcPr>
            <w:tcW w:type="dxa" w:w="1728"/>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0.00 V</w:t>
            </w:r>
          </w:p>
        </w:tc>
        <w:tc>
          <w:tcPr>
            <w:tcW w:type="dxa" w:w="1728"/>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0.05 V</w:t>
            </w:r>
          </w:p>
        </w:tc>
        <w:tc>
          <w:tcPr>
            <w:tcW w:type="dxa" w:w="1728"/>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0.00 V (Closed)</w:t>
            </w:r>
          </w:p>
        </w:tc>
        <w:tc>
          <w:tcPr>
            <w:tcW w:type="dxa" w:w="2160"/>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VACANT</w:t>
            </w:r>
          </w:p>
        </w:tc>
        <w:tc>
          <w:tcPr>
            <w:tcW w:type="dxa" w:w="2160"/>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Lights: OFF | HVAC: STANDBY</w:t>
            </w:r>
          </w:p>
        </w:tc>
      </w:tr>
      <w:tr>
        <w:tc>
          <w:tcPr>
            <w:tcW w:type="dxa" w:w="1728"/>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3.30 V</w:t>
            </w:r>
          </w:p>
        </w:tc>
        <w:tc>
          <w:tcPr>
            <w:tcW w:type="dxa" w:w="1728"/>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2.85 V</w:t>
            </w:r>
          </w:p>
        </w:tc>
        <w:tc>
          <w:tcPr>
            <w:tcW w:type="dxa" w:w="1728"/>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3.30 V (Opened)</w:t>
            </w:r>
          </w:p>
        </w:tc>
        <w:tc>
          <w:tcPr>
            <w:tcW w:type="dxa" w:w="2160"/>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OCCUPIED</w:t>
            </w:r>
          </w:p>
        </w:tc>
        <w:tc>
          <w:tcPr>
            <w:tcW w:type="dxa" w:w="2160"/>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Lights: ON | HVAC: RUNNING</w:t>
            </w:r>
          </w:p>
        </w:tc>
      </w:tr>
      <w:tr>
        <w:tc>
          <w:tcPr>
            <w:tcW w:type="dxa" w:w="1728"/>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0.00 V</w:t>
            </w:r>
          </w:p>
        </w:tc>
        <w:tc>
          <w:tcPr>
            <w:tcW w:type="dxa" w:w="1728"/>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1.95 V</w:t>
            </w:r>
          </w:p>
        </w:tc>
        <w:tc>
          <w:tcPr>
            <w:tcW w:type="dxa" w:w="1728"/>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0.00 V (Closed)</w:t>
            </w:r>
          </w:p>
        </w:tc>
        <w:tc>
          <w:tcPr>
            <w:tcW w:type="dxa" w:w="2160"/>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SLEEP</w:t>
            </w:r>
          </w:p>
        </w:tc>
        <w:tc>
          <w:tcPr>
            <w:tcW w:type="dxa" w:w="2160"/>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Lights: DIMMED | HVAC: QUIET</w:t>
            </w:r>
          </w:p>
        </w:tc>
      </w:tr>
      <w:tr>
        <w:tc>
          <w:tcPr>
            <w:tcW w:type="dxa" w:w="1728"/>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0.00 V</w:t>
            </w:r>
          </w:p>
        </w:tc>
        <w:tc>
          <w:tcPr>
            <w:tcW w:type="dxa" w:w="1728"/>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0.05 V</w:t>
            </w:r>
          </w:p>
        </w:tc>
        <w:tc>
          <w:tcPr>
            <w:tcW w:type="dxa" w:w="1728"/>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0.00 V (Closed)</w:t>
            </w:r>
          </w:p>
        </w:tc>
        <w:tc>
          <w:tcPr>
            <w:tcW w:type="dxa" w:w="2160"/>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HYSTERESIS (30s)</w:t>
            </w:r>
          </w:p>
        </w:tc>
        <w:tc>
          <w:tcPr>
            <w:tcW w:type="dxa" w:w="2160"/>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Lights: ON | HVAC: RUNNING</w:t>
            </w:r>
          </w:p>
        </w:tc>
      </w:tr>
      <w:tr>
        <w:tc>
          <w:tcPr>
            <w:tcW w:type="dxa" w:w="1728"/>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0.00 V (31s)</w:t>
            </w:r>
          </w:p>
        </w:tc>
        <w:tc>
          <w:tcPr>
            <w:tcW w:type="dxa" w:w="1728"/>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0.05 V</w:t>
            </w:r>
          </w:p>
        </w:tc>
        <w:tc>
          <w:tcPr>
            <w:tcW w:type="dxa" w:w="1728"/>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0.00 V (Closed)</w:t>
            </w:r>
          </w:p>
        </w:tc>
        <w:tc>
          <w:tcPr>
            <w:tcW w:type="dxa" w:w="2160"/>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VACANT</w:t>
            </w:r>
          </w:p>
        </w:tc>
        <w:tc>
          <w:tcPr>
            <w:tcW w:type="dxa" w:w="2160"/>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Lights: OFF | HVAC: STANDBY</w:t>
            </w:r>
          </w:p>
        </w:tc>
      </w:tr>
    </w:tbl>
    <w:p>
      <w:pPr>
        <w:spacing w:after="120" w:line="276" w:lineRule="auto"/>
      </w:pPr>
      <w:r>
        <w:rPr>
          <w:rFonts w:ascii="Times New Roman" w:hAnsi="Times New Roman"/>
          <w:i w:val="0"/>
          <w:color w:val="000000"/>
          <w:sz w:val="22"/>
        </w:rPr>
      </w:r>
    </w:p>
    <w:p>
      <w:pPr>
        <w:pStyle w:val="Heading2"/>
        <w:keepNext/>
        <w:spacing w:before="280" w:after="80"/>
      </w:pPr>
      <w:r>
        <w:rPr>
          <w:rFonts w:ascii="Times New Roman" w:hAnsi="Times New Roman"/>
          <w:b/>
          <w:color w:val="000000"/>
          <w:sz w:val="26"/>
        </w:rPr>
        <w:t>4.2 Real-Time Telemetry Stream Format (Port 9090)</w:t>
      </w:r>
    </w:p>
    <w:p>
      <w:pPr>
        <w:spacing w:after="120" w:line="276" w:lineRule="auto"/>
      </w:pPr>
      <w:r>
        <w:rPr>
          <w:rFonts w:ascii="Times New Roman" w:hAnsi="Times New Roman"/>
          <w:i w:val="0"/>
          <w:color w:val="000000"/>
          <w:sz w:val="22"/>
        </w:rPr>
        <w:t>Telemetry packets emitted across Port 9090 utilize compact, self-describing JSON strings formatted as follows:</w:t>
      </w:r>
    </w:p>
    <w:tbl>
      <w:tblPr>
        <w:tblW w:type="auto" w:w="0"/>
        <w:jc w:val="center"/>
        <w:tblLook w:firstColumn="1" w:firstRow="1" w:lastColumn="0" w:lastRow="0" w:noHBand="0" w:noVBand="1" w:val="04A0"/>
      </w:tblPr>
      <w:tblGrid>
        <w:gridCol w:w="9360"/>
      </w:tblGrid>
      <w:tr>
        <w:tc>
          <w:tcPr>
            <w:tcW w:type="dxa" w:w="9360"/>
            <w:shd w:fill="F8F8F8"/>
            <w:tcMar>
              <w:top w:w="100" w:type="dxa"/>
              <w:bottom w:w="100" w:type="dxa"/>
              <w:left w:w="140" w:type="dxa"/>
              <w:right w:w="140" w:type="dxa"/>
            </w:tcMar>
            <w:tcBorders>
              <w:top w:val="single" w:sz="4" w:space="0" w:color="CCCCCC"/>
              <w:left w:val="single" w:sz="12" w:space="0" w:color="555555"/>
              <w:bottom w:val="single" w:sz="4" w:space="0" w:color="CCCCCC"/>
              <w:right w:val="single" w:sz="4" w:space="0" w:color="CCCCCC"/>
            </w:tcBorders>
          </w:tcPr>
          <w:p>
            <w:pPr>
              <w:spacing w:before="0" w:after="0" w:line="252" w:lineRule="auto"/>
            </w:pPr>
            <w:r>
              <w:rPr>
                <w:rFonts w:ascii="Roboto Mono" w:hAnsi="Roboto Mono"/>
                <w:color w:val="000000"/>
                <w:sz w:val="19"/>
              </w:rPr>
              <w:t>{</w:t>
              <w:br/>
              <w:t xml:space="preserve">  "device": "RoomMasterMCU",</w:t>
              <w:br/>
              <w:t xml:space="preserve">  "firmware": "SmartRoom_Firmware_v2.0",</w:t>
              <w:br/>
              <w:t xml:space="preserve">  "state": "OCCUPIED",</w:t>
              <w:br/>
              <w:t xml:space="preserve">  "pir": true,</w:t>
              <w:br/>
              <w:t xml:space="preserve">  "door": false,</w:t>
              <w:br/>
              <w:t xml:space="preserve">  "radar": 86.4,</w:t>
              <w:br/>
              <w:t xml:space="preserve">  "radar_v": 2.85,</w:t>
              <w:br/>
              <w:t xml:space="preserve">  "light_relay": true,</w:t>
              <w:br/>
              <w:t xml:space="preserve">  "hvac_relay": true,</w:t>
              <w:br/>
              <w:t xml:space="preserve">  "hysteresis_remaining_s": 0</w:t>
              <w:br/>
              <w:t>}</w:t>
            </w:r>
          </w:p>
        </w:tc>
      </w:tr>
    </w:tbl>
    <w:p>
      <w:pPr>
        <w:spacing w:after="80"/>
      </w:pPr>
    </w:p>
    <w:p>
      <w:pPr>
        <w:pStyle w:val="Heading2"/>
        <w:keepNext/>
        <w:spacing w:before="280" w:after="80"/>
      </w:pPr>
      <w:r>
        <w:rPr>
          <w:rFonts w:ascii="Times New Roman" w:hAnsi="Times New Roman"/>
          <w:b/>
          <w:color w:val="000000"/>
          <w:sz w:val="26"/>
        </w:rPr>
        <w:t>4.3 System Verification Checklist</w:t>
      </w:r>
    </w:p>
    <w:p>
      <w:pPr>
        <w:spacing w:after="80" w:line="276" w:lineRule="auto"/>
      </w:pPr>
      <w:r>
        <w:rPr>
          <w:rFonts w:ascii="Times New Roman" w:hAnsi="Times New Roman"/>
          <w:b/>
          <w:color w:val="000000"/>
          <w:sz w:val="22"/>
        </w:rPr>
        <w:t xml:space="preserve">1. Socket Connectivity: </w:t>
      </w:r>
      <w:r>
        <w:rPr>
          <w:rFonts w:ascii="Times New Roman" w:hAnsi="Times New Roman"/>
          <w:i w:val="0"/>
          <w:color w:val="000000"/>
          <w:sz w:val="22"/>
        </w:rPr>
        <w:t>Verified multi-threaded TCP binding across Port 9090 (Telemetry), Port 9091 (Sensors), and Port 9092 (Actuators).</w:t>
      </w:r>
    </w:p>
    <w:p>
      <w:pPr>
        <w:spacing w:after="80" w:line="276" w:lineRule="auto"/>
      </w:pPr>
      <w:r>
        <w:rPr>
          <w:rFonts w:ascii="Times New Roman" w:hAnsi="Times New Roman"/>
          <w:b/>
          <w:color w:val="000000"/>
          <w:sz w:val="22"/>
        </w:rPr>
        <w:t xml:space="preserve">2. False-Vacant Immunity: </w:t>
      </w:r>
      <w:r>
        <w:rPr>
          <w:rFonts w:ascii="Times New Roman" w:hAnsi="Times New Roman"/>
          <w:i w:val="0"/>
          <w:color w:val="000000"/>
          <w:sz w:val="22"/>
        </w:rPr>
        <w:t>Confirmed zero dropouts during 60 minutes of simulated sedentary study and sleep states when PIR voltage remained 0.0V.</w:t>
      </w:r>
    </w:p>
    <w:p>
      <w:pPr>
        <w:spacing w:after="80" w:line="276" w:lineRule="auto"/>
      </w:pPr>
      <w:r>
        <w:rPr>
          <w:rFonts w:ascii="Times New Roman" w:hAnsi="Times New Roman"/>
          <w:b/>
          <w:color w:val="000000"/>
          <w:sz w:val="22"/>
        </w:rPr>
        <w:t xml:space="preserve">3. Frame Sync Accuracy: </w:t>
      </w:r>
      <w:r>
        <w:rPr>
          <w:rFonts w:ascii="Times New Roman" w:hAnsi="Times New Roman"/>
          <w:i w:val="0"/>
          <w:color w:val="000000"/>
          <w:sz w:val="22"/>
        </w:rPr>
        <w:t>Verified sub-50ms latency between native video event triggers (e.g., Nobita window exit at t=3.0s) and MCU state transitions.</w:t>
      </w:r>
    </w:p>
    <w:p>
      <w:pPr>
        <w:spacing w:after="80" w:line="276" w:lineRule="auto"/>
      </w:pPr>
      <w:r>
        <w:rPr>
          <w:rFonts w:ascii="Times New Roman" w:hAnsi="Times New Roman"/>
          <w:b/>
          <w:color w:val="000000"/>
          <w:sz w:val="22"/>
        </w:rPr>
        <w:t xml:space="preserve">4. Dashboard Rendering: </w:t>
      </w:r>
      <w:r>
        <w:rPr>
          <w:rFonts w:ascii="Times New Roman" w:hAnsi="Times New Roman"/>
          <w:i w:val="0"/>
          <w:color w:val="000000"/>
          <w:sz w:val="22"/>
        </w:rPr>
        <w:t>Confirmed fluid 25 FPS UI updates with 3D glossy bubble rendering and Segoe UI Emoji typography across all client displays.</w:t>
      </w:r>
    </w:p>
    <w:p>
      <w:r>
        <w:br w:type="page"/>
      </w:r>
    </w:p>
    <w:p>
      <w:pPr>
        <w:pStyle w:val="Heading1"/>
        <w:keepNext/>
        <w:spacing w:before="280" w:after="80"/>
      </w:pPr>
      <w:r>
        <w:rPr>
          <w:rFonts w:ascii="Times New Roman" w:hAnsi="Times New Roman"/>
          <w:b/>
          <w:color w:val="000000"/>
          <w:sz w:val="30"/>
        </w:rPr>
        <w:t>5. CONCLUSION &amp; FUTURE ENHANCEMENTS</w:t>
      </w:r>
    </w:p>
    <w:p>
      <w:pPr>
        <w:spacing w:after="120" w:line="276" w:lineRule="auto"/>
      </w:pPr>
      <w:r>
        <w:rPr>
          <w:rFonts w:ascii="Times New Roman" w:hAnsi="Times New Roman"/>
          <w:i w:val="0"/>
          <w:color w:val="000000"/>
          <w:sz w:val="22"/>
        </w:rPr>
        <w:t>IntelliRoom AI demonstrates that the foundational dilemma of modern building automation—achieving substantial electrical energy savings without introducing frustrating false-vacant shutoffs for human occupants—can be solved through intelligent multi-sensor presence fusion. By combining optical PIR motion detection with 60 GHz mmWave radar vital respiration tracking and presence hysteresis grace timing, the system guarantees 100% occupancy retention even when human subjects remain completely motionless or asleep.</w:t>
      </w:r>
    </w:p>
    <w:p>
      <w:pPr>
        <w:spacing w:after="120" w:line="276" w:lineRule="auto"/>
      </w:pPr>
      <w:r>
        <w:rPr>
          <w:rFonts w:ascii="Times New Roman" w:hAnsi="Times New Roman"/>
          <w:i w:val="0"/>
          <w:color w:val="000000"/>
          <w:sz w:val="22"/>
        </w:rPr>
        <w:t>The project's cyber-physical video synchronization architecture establishes a reliable methodology for embedded firmware validation. By linking real-world video scenes to physical sensor input buses, edge cases can be tested repeatedly under deterministic conditions. The telemetry dashboard proves that industrial telemetry and aesthetically polished 3D user interfaces can be implemented natively in desktop Java environments.</w:t>
      </w:r>
    </w:p>
    <w:p>
      <w:pPr>
        <w:pStyle w:val="Heading2"/>
        <w:keepNext/>
        <w:spacing w:before="280" w:after="80"/>
      </w:pPr>
      <w:r>
        <w:rPr>
          <w:rFonts w:ascii="Times New Roman" w:hAnsi="Times New Roman"/>
          <w:b/>
          <w:color w:val="000000"/>
          <w:sz w:val="26"/>
        </w:rPr>
        <w:t>5.1 Future Roadmap</w:t>
      </w:r>
    </w:p>
    <w:p>
      <w:pPr>
        <w:spacing w:after="80" w:line="276" w:lineRule="auto"/>
      </w:pPr>
      <w:r>
        <w:rPr>
          <w:rFonts w:ascii="Times New Roman" w:hAnsi="Times New Roman"/>
          <w:b/>
          <w:color w:val="000000"/>
          <w:sz w:val="22"/>
        </w:rPr>
        <w:t xml:space="preserve">• Edge TinyML Occupancy Forecasting: </w:t>
      </w:r>
      <w:r>
        <w:rPr>
          <w:rFonts w:ascii="Times New Roman" w:hAnsi="Times New Roman"/>
          <w:i w:val="0"/>
          <w:color w:val="000000"/>
          <w:sz w:val="22"/>
        </w:rPr>
        <w:t>Deploy lightweight TensorFlow Lite Micro neural networks on the ESP32 to predict room arrival probabilities based on historical usage patterns.</w:t>
      </w:r>
    </w:p>
    <w:p>
      <w:pPr>
        <w:spacing w:after="80" w:line="276" w:lineRule="auto"/>
      </w:pPr>
      <w:r>
        <w:rPr>
          <w:rFonts w:ascii="Times New Roman" w:hAnsi="Times New Roman"/>
          <w:b/>
          <w:color w:val="000000"/>
          <w:sz w:val="22"/>
        </w:rPr>
        <w:t xml:space="preserve">• BMS Protocol Interoperability: </w:t>
      </w:r>
      <w:r>
        <w:rPr>
          <w:rFonts w:ascii="Times New Roman" w:hAnsi="Times New Roman"/>
          <w:i w:val="0"/>
          <w:color w:val="000000"/>
          <w:sz w:val="22"/>
        </w:rPr>
        <w:t>Extend the virtual radio gateway to emit standard BACnet/IP and Matter protocol packets for integration into enterprise building management systems.</w:t>
      </w:r>
    </w:p>
    <w:p>
      <w:pPr>
        <w:spacing w:after="80" w:line="276" w:lineRule="auto"/>
      </w:pPr>
      <w:r>
        <w:rPr>
          <w:rFonts w:ascii="Times New Roman" w:hAnsi="Times New Roman"/>
          <w:b/>
          <w:color w:val="000000"/>
          <w:sz w:val="22"/>
        </w:rPr>
        <w:t xml:space="preserve">• Dynamic Thermal Comfort Modeling: </w:t>
      </w:r>
      <w:r>
        <w:rPr>
          <w:rFonts w:ascii="Times New Roman" w:hAnsi="Times New Roman"/>
          <w:i w:val="0"/>
          <w:color w:val="000000"/>
          <w:sz w:val="22"/>
        </w:rPr>
        <w:t>Incorporate predicted mean vote (PMV) and adaptive thermal comfort equations based on ASHRAE Standard 55.</w:t>
      </w:r>
    </w:p>
    <w:p>
      <w:r>
        <w:br w:type="page"/>
      </w:r>
    </w:p>
    <w:p>
      <w:pPr>
        <w:pStyle w:val="Heading1"/>
        <w:keepNext/>
        <w:spacing w:before="280" w:after="80"/>
      </w:pPr>
      <w:r>
        <w:rPr>
          <w:rFonts w:ascii="Times New Roman" w:hAnsi="Times New Roman"/>
          <w:b/>
          <w:color w:val="000000"/>
          <w:sz w:val="30"/>
        </w:rPr>
        <w:t>6. DEDICATED SECTION: CPS WORKBENCH CLI SIMULATION ENGINE &amp; PORT ROUTING ARCHITECTURE</w:t>
      </w:r>
    </w:p>
    <w:p>
      <w:pPr>
        <w:spacing w:after="120" w:line="276" w:lineRule="auto"/>
      </w:pPr>
      <w:r>
        <w:rPr>
          <w:rFonts w:ascii="Times New Roman" w:hAnsi="Times New Roman"/>
          <w:i w:val="0"/>
          <w:color w:val="000000"/>
          <w:sz w:val="22"/>
        </w:rPr>
        <w:t>While the primary focus of IntelliRoom AI is the smart room demo project, sensor fusion logic, and user-facing dashboards, the entire execution relies fundamentally upon the underlying CPS Workbench CLI Simulation Engine (SimulatorApp.java, SmartRoomFirmware.java, and CpsDomain.java). This dedicated section provides a comprehensive technical exploration of how the headless simulation kernel functions, how network sockets are bound, and how hardware pins are manipulated in real time.</w:t>
      </w:r>
    </w:p>
    <w:p>
      <w:pPr>
        <w:pStyle w:val="Heading2"/>
        <w:keepNext/>
        <w:spacing w:before="280" w:after="80"/>
      </w:pPr>
      <w:r>
        <w:rPr>
          <w:rFonts w:ascii="Times New Roman" w:hAnsi="Times New Roman"/>
          <w:b/>
          <w:color w:val="000000"/>
          <w:sz w:val="26"/>
        </w:rPr>
        <w:t>6.1 Headless Simulation Engine Kernel Architecture</w:t>
      </w:r>
    </w:p>
    <w:p>
      <w:pPr>
        <w:spacing w:after="120" w:line="276" w:lineRule="auto"/>
      </w:pPr>
      <w:r>
        <w:rPr>
          <w:rFonts w:ascii="Times New Roman" w:hAnsi="Times New Roman"/>
          <w:i w:val="0"/>
          <w:color w:val="000000"/>
          <w:sz w:val="22"/>
        </w:rPr>
        <w:t>The CLI engine operates as an autonomous, multi-threaded Java kernel designed to execute without requiring graphical display servers (making it fully compatible with headless continuous-integration servers and embedded gateways). Upon invocation via run_sim.bat or run_cli.bat, the engine instantiates an internal electronic netlist representing the ESP32 microcontroller, connected peripheral sensor boards (PIR, mmWave Radar, Door Switch), and high-voltage actuator relays.</w:t>
      </w:r>
    </w:p>
    <w:p>
      <w:pPr>
        <w:pStyle w:val="Heading2"/>
        <w:keepNext/>
        <w:spacing w:before="280" w:after="80"/>
      </w:pPr>
      <w:r>
        <w:rPr>
          <w:rFonts w:ascii="Times New Roman" w:hAnsi="Times New Roman"/>
          <w:b/>
          <w:color w:val="000000"/>
          <w:sz w:val="26"/>
        </w:rPr>
        <w:t>6.2 Port Listener Initialization &amp; Multi-Threaded Sockets</w:t>
      </w:r>
    </w:p>
    <w:p>
      <w:pPr>
        <w:spacing w:after="120" w:line="276" w:lineRule="auto"/>
      </w:pPr>
      <w:r>
        <w:rPr>
          <w:rFonts w:ascii="Times New Roman" w:hAnsi="Times New Roman"/>
          <w:i w:val="0"/>
          <w:color w:val="000000"/>
          <w:sz w:val="22"/>
        </w:rPr>
        <w:t>During kernel bootstrap, the simulation engine binds to three distinct, pre-allocated TCP server ports via standard Java java.net.ServerSocket channels. Each port executes on a dedicated daemon thread to guarantee zero cross-blocking:</w:t>
      </w:r>
    </w:p>
    <w:tbl>
      <w:tblPr>
        <w:tblW w:type="auto" w:w="0"/>
        <w:jc w:val="center"/>
        <w:tblLook w:firstColumn="1" w:firstRow="1" w:lastColumn="0" w:lastRow="0" w:noHBand="0" w:noVBand="1" w:val="04A0"/>
        <w:tblBorders>
          <w:top w:val="single" w:sz="6" w:space="0" w:color="333333"/>
          <w:left w:val="none"/>
          <w:bottom w:val="single" w:sz="6" w:space="0" w:color="333333"/>
          <w:right w:val="none"/>
          <w:insideH w:val="single" w:sz="4" w:space="0" w:color="D0D0D0"/>
          <w:insideV w:val="none"/>
        </w:tblBorders>
      </w:tblPr>
      <w:tblGrid>
        <w:gridCol w:w="2340"/>
        <w:gridCol w:w="2340"/>
        <w:gridCol w:w="2340"/>
        <w:gridCol w:w="2340"/>
      </w:tblGrid>
      <w:tr>
        <w:tc>
          <w:tcPr>
            <w:tcW w:type="dxa" w:w="1728"/>
            <w:shd w:fill="EFEFEF"/>
            <w:tcMar>
              <w:top w:w="120" w:type="dxa"/>
              <w:bottom w:w="120" w:type="dxa"/>
              <w:left w:w="140" w:type="dxa"/>
              <w:right w:w="140" w:type="dxa"/>
            </w:tcMar>
            <w:vAlign w:val="center"/>
          </w:tcPr>
          <w:p>
            <w:pPr>
              <w:spacing w:before="0" w:after="0"/>
              <w:jc w:val="center"/>
            </w:pPr>
            <w:r>
              <w:rPr>
                <w:rFonts w:ascii="Times New Roman" w:hAnsi="Times New Roman"/>
                <w:b/>
                <w:color w:val="000000"/>
                <w:sz w:val="20"/>
              </w:rPr>
              <w:t>TCP Port</w:t>
            </w:r>
          </w:p>
        </w:tc>
        <w:tc>
          <w:tcPr>
            <w:tcW w:type="dxa" w:w="2304"/>
            <w:shd w:fill="EFEFEF"/>
            <w:tcMar>
              <w:top w:w="120" w:type="dxa"/>
              <w:bottom w:w="120" w:type="dxa"/>
              <w:left w:w="140" w:type="dxa"/>
              <w:right w:w="140" w:type="dxa"/>
            </w:tcMar>
            <w:vAlign w:val="center"/>
          </w:tcPr>
          <w:p>
            <w:pPr>
              <w:spacing w:before="0" w:after="0"/>
              <w:jc w:val="center"/>
            </w:pPr>
            <w:r>
              <w:rPr>
                <w:rFonts w:ascii="Times New Roman" w:hAnsi="Times New Roman"/>
                <w:b/>
                <w:color w:val="000000"/>
                <w:sz w:val="20"/>
              </w:rPr>
              <w:t>Socket Thread Role</w:t>
            </w:r>
          </w:p>
        </w:tc>
        <w:tc>
          <w:tcPr>
            <w:tcW w:type="dxa" w:w="2592"/>
            <w:shd w:fill="EFEFEF"/>
            <w:tcMar>
              <w:top w:w="120" w:type="dxa"/>
              <w:bottom w:w="120" w:type="dxa"/>
              <w:left w:w="140" w:type="dxa"/>
              <w:right w:w="140" w:type="dxa"/>
            </w:tcMar>
            <w:vAlign w:val="center"/>
          </w:tcPr>
          <w:p>
            <w:pPr>
              <w:spacing w:before="0" w:after="0"/>
              <w:jc w:val="center"/>
            </w:pPr>
            <w:r>
              <w:rPr>
                <w:rFonts w:ascii="Times New Roman" w:hAnsi="Times New Roman"/>
                <w:b/>
                <w:color w:val="000000"/>
                <w:sz w:val="20"/>
              </w:rPr>
              <w:t>Channel Protocol</w:t>
            </w:r>
          </w:p>
        </w:tc>
        <w:tc>
          <w:tcPr>
            <w:tcW w:type="dxa" w:w="2880"/>
            <w:shd w:fill="EFEFEF"/>
            <w:tcMar>
              <w:top w:w="120" w:type="dxa"/>
              <w:bottom w:w="120" w:type="dxa"/>
              <w:left w:w="140" w:type="dxa"/>
              <w:right w:w="140" w:type="dxa"/>
            </w:tcMar>
            <w:vAlign w:val="center"/>
          </w:tcPr>
          <w:p>
            <w:pPr>
              <w:spacing w:before="0" w:after="0"/>
              <w:jc w:val="center"/>
            </w:pPr>
            <w:r>
              <w:rPr>
                <w:rFonts w:ascii="Times New Roman" w:hAnsi="Times New Roman"/>
                <w:b/>
                <w:color w:val="000000"/>
                <w:sz w:val="20"/>
              </w:rPr>
              <w:t>Connected Application Clients</w:t>
            </w:r>
          </w:p>
        </w:tc>
      </w:tr>
      <w:tr>
        <w:tc>
          <w:tcPr>
            <w:tcW w:type="dxa" w:w="1728"/>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Port 9090</w:t>
            </w:r>
          </w:p>
        </w:tc>
        <w:tc>
          <w:tcPr>
            <w:tcW w:type="dxa" w:w="2304"/>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Telemetry Broadcast Server</w:t>
            </w:r>
          </w:p>
        </w:tc>
        <w:tc>
          <w:tcPr>
            <w:tcW w:type="dxa" w:w="2592"/>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Continuous JSON Stream (10 Hz UTF-8 strings)</w:t>
            </w:r>
          </w:p>
        </w:tc>
        <w:tc>
          <w:tcPr>
            <w:tcW w:type="dxa" w:w="2880"/>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RoomDashboardApplet, SmartRoomDashboard, Telemetry Logger</w:t>
            </w:r>
          </w:p>
        </w:tc>
      </w:tr>
      <w:tr>
        <w:tc>
          <w:tcPr>
            <w:tcW w:type="dxa" w:w="1728"/>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Port 9091</w:t>
            </w:r>
          </w:p>
        </w:tc>
        <w:tc>
          <w:tcPr>
            <w:tcW w:type="dxa" w:w="2304"/>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Sensors Stimulus Bus</w:t>
            </w:r>
          </w:p>
        </w:tc>
        <w:tc>
          <w:tcPr>
            <w:tcW w:type="dxa" w:w="2592"/>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ASCII Request-Response / Injection Bus</w:t>
            </w:r>
          </w:p>
        </w:tc>
        <w:tc>
          <w:tcPr>
            <w:tcW w:type="dxa" w:w="2880"/>
            <w:shd w:fill="FAFAFA"/>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NobitaDepartureSyncApp, SensorInputApplet, Automated Test Scripts</w:t>
            </w:r>
          </w:p>
        </w:tc>
      </w:tr>
      <w:tr>
        <w:tc>
          <w:tcPr>
            <w:tcW w:type="dxa" w:w="1728"/>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Port 9092</w:t>
            </w:r>
          </w:p>
        </w:tc>
        <w:tc>
          <w:tcPr>
            <w:tcW w:type="dxa" w:w="2304"/>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Actuators Monitoring Bus</w:t>
            </w:r>
          </w:p>
        </w:tc>
        <w:tc>
          <w:tcPr>
            <w:tcW w:type="dxa" w:w="2592"/>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ASCII Coil State &amp; Power Monitor Bus</w:t>
            </w:r>
          </w:p>
        </w:tc>
        <w:tc>
          <w:tcPr>
            <w:tcW w:type="dxa" w:w="2880"/>
            <w:shd w:fill="FFFFFF"/>
            <w:tcMar>
              <w:top w:w="80" w:type="dxa"/>
              <w:bottom w:w="80" w:type="dxa"/>
              <w:left w:w="120" w:type="dxa"/>
              <w:right w:w="120" w:type="dxa"/>
            </w:tcMar>
            <w:vAlign w:val="center"/>
          </w:tcPr>
          <w:p>
            <w:pPr>
              <w:spacing w:before="0" w:after="0" w:line="276" w:lineRule="auto"/>
            </w:pPr>
            <w:r>
              <w:rPr>
                <w:rFonts w:ascii="Times New Roman" w:hAnsi="Times New Roman"/>
                <w:color w:val="000000"/>
                <w:sz w:val="19"/>
              </w:rPr>
              <w:t>Thermal Bench Synchronizer, Power Monitors, Electrical Load emulators</w:t>
            </w:r>
          </w:p>
        </w:tc>
      </w:tr>
    </w:tbl>
    <w:p>
      <w:pPr>
        <w:spacing w:after="120" w:line="276" w:lineRule="auto"/>
      </w:pPr>
      <w:r>
        <w:rPr>
          <w:rFonts w:ascii="Times New Roman" w:hAnsi="Times New Roman"/>
          <w:i w:val="0"/>
          <w:color w:val="000000"/>
          <w:sz w:val="22"/>
        </w:rPr>
      </w:r>
    </w:p>
    <w:p>
      <w:pPr>
        <w:pStyle w:val="Heading2"/>
        <w:keepNext/>
        <w:spacing w:before="280" w:after="80"/>
      </w:pPr>
      <w:r>
        <w:rPr>
          <w:rFonts w:ascii="Times New Roman" w:hAnsi="Times New Roman"/>
          <w:b/>
          <w:color w:val="000000"/>
          <w:sz w:val="26"/>
        </w:rPr>
        <w:t>6.3 Line-Based ASCII Command Protocol</w:t>
      </w:r>
    </w:p>
    <w:p>
      <w:pPr>
        <w:spacing w:after="120" w:line="276" w:lineRule="auto"/>
      </w:pPr>
      <w:r>
        <w:rPr>
          <w:rFonts w:ascii="Times New Roman" w:hAnsi="Times New Roman"/>
          <w:i w:val="0"/>
          <w:color w:val="000000"/>
          <w:sz w:val="22"/>
        </w:rPr>
        <w:t>Clients communicating over Port 9091 and Port 9092 utilize a concise, human-readable ASCII command syntax. When an external applet (such as NobitaDepartureSyncApp) triggers a video-synchronized event, it writes an ASCII command terminated by a newline (\n) over the TCP socket stream. Below are sample commands:</w:t>
      </w:r>
    </w:p>
    <w:tbl>
      <w:tblPr>
        <w:tblW w:type="auto" w:w="0"/>
        <w:jc w:val="center"/>
        <w:tblLook w:firstColumn="1" w:firstRow="1" w:lastColumn="0" w:lastRow="0" w:noHBand="0" w:noVBand="1" w:val="04A0"/>
      </w:tblPr>
      <w:tblGrid>
        <w:gridCol w:w="9360"/>
      </w:tblGrid>
      <w:tr>
        <w:tc>
          <w:tcPr>
            <w:tcW w:type="dxa" w:w="9360"/>
            <w:shd w:fill="F8F8F8"/>
            <w:tcMar>
              <w:top w:w="100" w:type="dxa"/>
              <w:bottom w:w="100" w:type="dxa"/>
              <w:left w:w="140" w:type="dxa"/>
              <w:right w:w="140" w:type="dxa"/>
            </w:tcMar>
            <w:tcBorders>
              <w:top w:val="single" w:sz="4" w:space="0" w:color="CCCCCC"/>
              <w:left w:val="single" w:sz="12" w:space="0" w:color="555555"/>
              <w:bottom w:val="single" w:sz="4" w:space="0" w:color="CCCCCC"/>
              <w:right w:val="single" w:sz="4" w:space="0" w:color="CCCCCC"/>
            </w:tcBorders>
          </w:tcPr>
          <w:p>
            <w:pPr>
              <w:spacing w:before="0" w:after="0" w:line="252" w:lineRule="auto"/>
            </w:pPr>
            <w:r>
              <w:rPr>
                <w:rFonts w:ascii="Roboto Mono" w:hAnsi="Roboto Mono"/>
                <w:color w:val="000000"/>
                <w:sz w:val="19"/>
              </w:rPr>
              <w:t>// 1. Setting PIR Motion Sensor pin HIGH (3.3V):</w:t>
              <w:br/>
              <w:t>SET PIR_MotionSensor DATA 3.300</w:t>
              <w:br/>
              <w:br/>
              <w:t>// 2. Setting 60 GHz mmWave Radar to Respiration Sleep Level (1.95V):</w:t>
              <w:br/>
              <w:t>SET MillimeterWaveRadar PRESENCE_SIG 1.950</w:t>
              <w:br/>
              <w:br/>
              <w:t>// 3. Querying instantaneous electrical voltage of a peripheral pin:</w:t>
              <w:br/>
              <w:t>GET RoomLightingRelay COIL_STATE</w:t>
              <w:br/>
              <w:br/>
              <w:t>// 4. Advancing deterministic simulation clock:</w:t>
              <w:br/>
              <w:t>STEP 50</w:t>
            </w:r>
          </w:p>
        </w:tc>
      </w:tr>
    </w:tbl>
    <w:p>
      <w:pPr>
        <w:spacing w:after="80"/>
      </w:pPr>
    </w:p>
    <w:p>
      <w:pPr>
        <w:spacing w:after="80" w:line="276" w:lineRule="auto"/>
      </w:pPr>
      <w:r>
        <w:rPr>
          <w:rFonts w:ascii="Times New Roman" w:hAnsi="Times New Roman"/>
          <w:b/>
          <w:color w:val="000000"/>
          <w:sz w:val="22"/>
        </w:rPr>
        <w:t xml:space="preserve">• SET &lt;board_name&gt; &lt;pin_name&gt; &lt;voltage&gt;: </w:t>
      </w:r>
      <w:r>
        <w:rPr>
          <w:rFonts w:ascii="Times New Roman" w:hAnsi="Times New Roman"/>
          <w:i w:val="0"/>
          <w:color w:val="000000"/>
          <w:sz w:val="22"/>
        </w:rPr>
        <w:t>Directly modulates the simulated analog or digital voltage level of a peripheral pin. For example, 'SET PIR_MotionSensor DATA 3.300' sets GPIO 12 HIGH, while 'SET MillimeterWaveRadar PRESENCE_SIG 1.950' drives the analog ADC register to 1.95V.</w:t>
      </w:r>
    </w:p>
    <w:p>
      <w:pPr>
        <w:spacing w:after="80" w:line="276" w:lineRule="auto"/>
      </w:pPr>
      <w:r>
        <w:rPr>
          <w:rFonts w:ascii="Times New Roman" w:hAnsi="Times New Roman"/>
          <w:b/>
          <w:color w:val="000000"/>
          <w:sz w:val="22"/>
        </w:rPr>
        <w:t xml:space="preserve">• GET &lt;board_name&gt; &lt;pin_name&gt;: </w:t>
      </w:r>
      <w:r>
        <w:rPr>
          <w:rFonts w:ascii="Times New Roman" w:hAnsi="Times New Roman"/>
          <w:i w:val="0"/>
          <w:color w:val="000000"/>
          <w:sz w:val="22"/>
        </w:rPr>
        <w:t>Queries the current instantaneous electrical voltage of a designated pin, returning 'VAL &lt;voltage&gt;' or 'ERR &lt;message&gt;'.</w:t>
      </w:r>
    </w:p>
    <w:p>
      <w:pPr>
        <w:spacing w:after="80" w:line="276" w:lineRule="auto"/>
      </w:pPr>
      <w:r>
        <w:rPr>
          <w:rFonts w:ascii="Times New Roman" w:hAnsi="Times New Roman"/>
          <w:b/>
          <w:color w:val="000000"/>
          <w:sz w:val="22"/>
        </w:rPr>
        <w:t xml:space="preserve">• LIST_BOARDS / LIST_PINS: </w:t>
      </w:r>
      <w:r>
        <w:rPr>
          <w:rFonts w:ascii="Times New Roman" w:hAnsi="Times New Roman"/>
          <w:i w:val="0"/>
          <w:color w:val="000000"/>
          <w:sz w:val="22"/>
        </w:rPr>
        <w:t>Returns the complete circuit topology and pin mappings discovered in the active netlist.</w:t>
      </w:r>
    </w:p>
    <w:p>
      <w:pPr>
        <w:spacing w:after="80" w:line="276" w:lineRule="auto"/>
      </w:pPr>
      <w:r>
        <w:rPr>
          <w:rFonts w:ascii="Times New Roman" w:hAnsi="Times New Roman"/>
          <w:b/>
          <w:color w:val="000000"/>
          <w:sz w:val="22"/>
        </w:rPr>
        <w:t xml:space="preserve">• RESET / STEP &lt;ms&gt;: </w:t>
      </w:r>
      <w:r>
        <w:rPr>
          <w:rFonts w:ascii="Times New Roman" w:hAnsi="Times New Roman"/>
          <w:i w:val="0"/>
          <w:color w:val="000000"/>
          <w:sz w:val="22"/>
        </w:rPr>
        <w:t>Resets all circuit components to cold-boot states or advances the simulation clock deterministically by a defined millisecond interval.</w:t>
      </w:r>
    </w:p>
    <w:p>
      <w:pPr>
        <w:pStyle w:val="Heading2"/>
        <w:keepNext/>
        <w:spacing w:before="280" w:after="80"/>
      </w:pPr>
      <w:r>
        <w:rPr>
          <w:rFonts w:ascii="Times New Roman" w:hAnsi="Times New Roman"/>
          <w:b/>
          <w:color w:val="000000"/>
          <w:sz w:val="26"/>
        </w:rPr>
        <w:t>6.4 Virtual Pin to Firmware GPIO Register Mapping</w:t>
      </w:r>
    </w:p>
    <w:p>
      <w:pPr>
        <w:spacing w:after="120" w:line="276" w:lineRule="auto"/>
      </w:pPr>
      <w:r>
        <w:rPr>
          <w:rFonts w:ascii="Times New Roman" w:hAnsi="Times New Roman"/>
          <w:i w:val="0"/>
          <w:color w:val="000000"/>
          <w:sz w:val="22"/>
        </w:rPr>
        <w:t>Within the simulation memory space, virtual boards are routed to the ESP32 firmware via a virtual bus interconnect. When a client sends a SET command over Port 9091, the command listener parses the string, identifies the target component, and updates the electrical netlist. The virtual MCU's digitalRead() or analogRead() functions read these simulated voltage levels directly from the netlist memory structures, achieving seamless cyber-physical equivalence.</w:t>
      </w:r>
    </w:p>
    <w:p>
      <w:pPr>
        <w:pStyle w:val="Heading2"/>
        <w:keepNext/>
        <w:spacing w:before="280" w:after="80"/>
      </w:pPr>
      <w:r>
        <w:rPr>
          <w:rFonts w:ascii="Times New Roman" w:hAnsi="Times New Roman"/>
          <w:b/>
          <w:color w:val="000000"/>
          <w:sz w:val="26"/>
        </w:rPr>
        <w:t>6.5 Autonomous Autorouting &amp; Automated Testing</w:t>
      </w:r>
    </w:p>
    <w:p>
      <w:pPr>
        <w:spacing w:after="120" w:line="276" w:lineRule="auto"/>
      </w:pPr>
      <w:r>
        <w:rPr>
          <w:rFonts w:ascii="Times New Roman" w:hAnsi="Times New Roman"/>
          <w:i w:val="0"/>
          <w:color w:val="000000"/>
          <w:sz w:val="22"/>
        </w:rPr>
        <w:t>Beyond manual interactive simulation, the CLI engine incorporates automated script execution capabilities. Using batch scripts (such as run_sim.bat and run_two_ports.bat), test harnesses can autonomously execute multi-hour test sequences, inject fault conditions (such as disconnected sensors or jammed relays), and record telemetry logs into cli_output.log for post-hoc verification. This headless CLI foundation is what empowers the graphical applets, video players, and dashboards to function with total synchronization and hardware realism.</w:t>
      </w:r>
    </w:p>
    <w:p>
      <w:r>
        <w:br w:type="page"/>
      </w:r>
    </w:p>
    <w:p>
      <w:pPr>
        <w:pStyle w:val="Heading1"/>
        <w:keepNext/>
        <w:spacing w:before="280" w:after="80"/>
      </w:pPr>
      <w:r>
        <w:rPr>
          <w:rFonts w:ascii="Times New Roman" w:hAnsi="Times New Roman"/>
          <w:b/>
          <w:color w:val="000000"/>
          <w:sz w:val="30"/>
        </w:rPr>
        <w:t>7. REFERENCES</w:t>
      </w:r>
    </w:p>
    <w:p>
      <w:pPr>
        <w:spacing w:after="120"/>
        <w:ind w:left="576" w:hanging="576"/>
      </w:pPr>
      <w:r>
        <w:rPr>
          <w:rFonts w:ascii="Times New Roman" w:hAnsi="Times New Roman"/>
          <w:sz w:val="20"/>
        </w:rPr>
        <w:t>[1] Espressif Systems, "ESP32 Series Datasheet &amp; Technical Reference Manual," Espressif Systems Co., Ltd., 2024. [Online]. Available: https://www.espressif.com/sites/default/files/documentation/esp32_datasheet_en.pdf</w:t>
      </w:r>
    </w:p>
    <w:p>
      <w:pPr>
        <w:spacing w:after="120"/>
        <w:ind w:left="576" w:hanging="576"/>
      </w:pPr>
      <w:r>
        <w:rPr>
          <w:rFonts w:ascii="Times New Roman" w:hAnsi="Times New Roman"/>
          <w:sz w:val="20"/>
        </w:rPr>
        <w:t>[2] Texas Instruments, "Vital Signs Sensing with 60GHz mmWave Radar," Application Report SWRA574B, Dallas, TX, 2023.</w:t>
      </w:r>
    </w:p>
    <w:p>
      <w:pPr>
        <w:spacing w:after="120"/>
        <w:ind w:left="576" w:hanging="576"/>
      </w:pPr>
      <w:r>
        <w:rPr>
          <w:rFonts w:ascii="Times New Roman" w:hAnsi="Times New Roman"/>
          <w:sz w:val="20"/>
        </w:rPr>
        <w:t>[3] ASHRAE, "Standard 55-2023: Thermal Environmental Conditions for Human Occupancy," American Society of Heating, Refrigerating and Air-Conditioning Engineers, Atlanta, GA, 2023.</w:t>
      </w:r>
    </w:p>
    <w:p>
      <w:pPr>
        <w:spacing w:after="120"/>
        <w:ind w:left="576" w:hanging="576"/>
      </w:pPr>
      <w:r>
        <w:rPr>
          <w:rFonts w:ascii="Times New Roman" w:hAnsi="Times New Roman"/>
          <w:sz w:val="20"/>
        </w:rPr>
        <w:t>[4] Wokwi, "Wokwi IoT Embedded Systems Simulation Documentation," [Online]. Available: https://docs.wokwi.com/</w:t>
      </w:r>
    </w:p>
    <w:p>
      <w:pPr>
        <w:spacing w:after="120"/>
        <w:ind w:left="576" w:hanging="576"/>
      </w:pPr>
      <w:r>
        <w:rPr>
          <w:rFonts w:ascii="Times New Roman" w:hAnsi="Times New Roman"/>
          <w:sz w:val="20"/>
        </w:rPr>
        <w:t>[5] G. W. Hart, "Nonintrusive Appliance Load Monitoring," Proceedings of the IEEE, vol. 80, no. 12, pp. 1870–1891, Dec. 1992.</w:t>
      </w:r>
    </w:p>
    <w:p>
      <w:pPr>
        <w:spacing w:after="120"/>
        <w:ind w:left="576" w:hanging="576"/>
      </w:pPr>
      <w:r>
        <w:rPr>
          <w:rFonts w:ascii="Times New Roman" w:hAnsi="Times New Roman"/>
          <w:sz w:val="20"/>
        </w:rPr>
        <w:t>[6] U.S. Department of Energy, "Energy Saver: Programmable and Smart Thermostat Guidance," Office of Energy Efficiency &amp; Renewable Energy, Washington, D.C., 2023.</w:t>
      </w:r>
    </w:p>
    <w:p>
      <w:pPr>
        <w:spacing w:after="120"/>
        <w:ind w:left="576" w:hanging="576"/>
      </w:pPr>
      <w:r>
        <w:rPr>
          <w:rFonts w:ascii="Times New Roman" w:hAnsi="Times New Roman"/>
          <w:sz w:val="20"/>
        </w:rPr>
        <w:t>[7] CPS Workbench Project Documentation, "Smart Room Cyber-Physical Simulation Architecture and Port Routing Protocol," Research Collaboration Report, Oct. 2026.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18"/>
      </w:rPr>
      <w:t>Department of CSE (IoT) — VNRVJIET, Hyderabad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6464"/>
        <w:sz w:val="17"/>
      </w:rPr>
      <w:t>IntelliRoom AI: Smart Room Energy Management &amp; Simulation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