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12" w:lineRule="auto"/>
      </w:pPr>
      <w:r>
        <w:rPr>
          <w:rFonts w:ascii="Arial" w:hAnsi="Arial"/>
          <w:b/>
          <w:color w:val="0C1C36"/>
          <w:sz w:val="44"/>
        </w:rPr>
        <w:t>NCD–HIV Cohort Dataset</w:t>
      </w:r>
    </w:p>
    <w:p>
      <w:pPr>
        <w:spacing w:before="0" w:after="200" w:line="312" w:lineRule="auto"/>
      </w:pPr>
      <w:r>
        <w:rPr>
          <w:rFonts w:ascii="Arial" w:hAnsi="Arial"/>
          <w:b w:val="0"/>
          <w:color w:val="152E56"/>
          <w:sz w:val="22"/>
        </w:rPr>
        <w:t>Dataset description  •  Research Masterclass for Clinicians</w:t>
      </w: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0" w:after="100" w:line="312" w:lineRule="auto"/>
            </w:pPr>
            <w:r>
              <w:rPr>
                <w:rFonts w:ascii="Arial" w:hAnsi="Arial"/>
                <w:b w:val="0"/>
                <w:color w:val="152E56"/>
                <w:sz w:val="21"/>
              </w:rPr>
              <w:t>NCD_HIV_cohort_dataset.csv contains 2,500 adults aged 15–64, set up like a DHS household survey in Zimbabwe, with one follow-up visit. It is a simulated teaching dataset: its estimates are not official national figures. It has 134 variables in one row per participant. NCD_HIV_cohort_data_dictionary.csv describes each variable with its wave (baseline or follow-up), units, codes and cut-offs, such as PHQ-9 ≥10, FPG ≥7.0 and viral load &lt;1000.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W w:w="9127" w:type="dxa"/>
              <w:tblLayout w:type="fixed"/>
            </w:tblPr>
            <w:tblGrid>
              <w:gridCol w:w="2281"/>
              <w:gridCol w:w="6845"/>
            </w:tblGrid>
            <w:tr>
              <w:trPr>
                <w:tblHeader w:val="true"/>
              </w:trP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ITEM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DETAIL</w:t>
                  </w:r>
                </w:p>
              </w:tc>
            </w:tr>
            <w:t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Design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Prospective cohort with a cross-sectional baseline</w:t>
                  </w:r>
                </w:p>
              </w:tc>
            </w:tr>
            <w:t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Baseline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Household survey, July–December 2025; 110 variables</w:t>
                  </w:r>
                </w:p>
              </w:tc>
            </w:tr>
            <w:t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Follow-up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One visit, April–September 2026; data closed 15 September 2026; 24 variables starting fu_</w:t>
                  </w:r>
                </w:p>
              </w:tc>
            </w:tr>
            <w:t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Follow-up time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Median about 11 months among those who completed follow-up</w:t>
                  </w:r>
                </w:p>
              </w:tc>
            </w:tr>
            <w:tr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Linking</w:t>
                  </w:r>
                </w:p>
              </w:tc>
              <w:tc>
                <w:tcPr>
                  <w:tcW w:type="dxa" w:w="684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Baseline and follow-up are in the same row, linked by participant_id</w:t>
                  </w:r>
                </w:p>
              </w:tc>
            </w:tr>
          </w:tbl>
          <w:p/>
        </w:tc>
      </w:tr>
    </w:tbl>
    <w:p>
      <w:pPr>
        <w:spacing w:before="0" w:after="80" w:line="240" w:lineRule="auto"/>
      </w:pP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Follow-up status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W w:w="9127" w:type="dxa"/>
              <w:tblLayout w:type="fixed"/>
            </w:tblPr>
            <w:tblGrid>
              <w:gridCol w:w="4563"/>
              <w:gridCol w:w="2281"/>
              <w:gridCol w:w="2281"/>
            </w:tblGrid>
            <w:tr>
              <w:trPr>
                <w:tblHeader w:val="true"/>
              </w:trPr>
              <w:tc>
                <w:tcPr>
                  <w:tcW w:type="dxa" w:w="4564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FU_STATUS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N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%</w:t>
                  </w:r>
                </w:p>
              </w:tc>
            </w:tr>
            <w:tr>
              <w:tc>
                <w:tcPr>
                  <w:tcW w:type="dxa" w:w="4564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Completed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2,272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90.9%</w:t>
                  </w:r>
                </w:p>
              </w:tc>
            </w:tr>
            <w:tr>
              <w:tc>
                <w:tcPr>
                  <w:tcW w:type="dxa" w:w="4564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Lost to follow-up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218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8.7%</w:t>
                  </w:r>
                </w:p>
              </w:tc>
            </w:tr>
            <w:tr>
              <w:tc>
                <w:tcPr>
                  <w:tcW w:type="dxa" w:w="4564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Died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10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0.4%</w:t>
                  </w:r>
                </w:p>
              </w:tc>
            </w:tr>
            <w:tr>
              <w:tc>
                <w:tcPr>
                  <w:tcW w:type="dxa" w:w="4564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0C1C36"/>
                      <w:sz w:val="19"/>
                    </w:rPr>
                    <w:t>Total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0C1C36"/>
                      <w:sz w:val="19"/>
                    </w:rPr>
                    <w:t>2,500</w:t>
                  </w:r>
                </w:p>
              </w:tc>
              <w:tc>
                <w:tcPr>
                  <w:tcW w:type="dxa" w:w="2282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0C1C36"/>
                      <w:sz w:val="19"/>
                    </w:rPr>
                    <w:t>100%</w:t>
                  </w:r>
                </w:p>
              </w:tc>
            </w:tr>
          </w:tbl>
          <w:p/>
        </w:tc>
      </w:tr>
    </w:tbl>
    <w:p>
      <w:pPr>
        <w:spacing w:before="0" w:after="80" w:line="240" w:lineRule="auto"/>
      </w:pP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Baseline variables (2025)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Demographics and survey design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date of birth, interview date, age, sex, marital status, education, wealth quintile, province, urban/rural, cluster, household and sampling weight.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HIV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test result and status awareness, diagnosis and ART start dates, regimen and line, WHO stage, CD4, viral load and suppression, cotrimoxazole, TB history and TB preventive therapy.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NCD history and medicines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self-reported hypertension, diabetes, asthma, COPD, stroke, heart disease, kidney disease, cancer, epilepsy and depression; family history; free-text current medication list; cervical screening.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Lifestyle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tobacco, alcohol (AUDIT-C), fruit and vegetables, salt, sugary drinks, fried food, staple food, physical activity (GPAQ-style minutes and MET-minutes), sitting time and sleep.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Mental health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PHQ-9 (including item 9), GAD-7, the Shona Symptom Questionnaire (SSQ-14) and self-rated health.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Clinical measurements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height, weight, BMI, waist, hip and waist-hip ratio, three blood pressure readings and the STEPS mean, and pulse.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Laboratory results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fasting glucose, HbA1c, full lipid panel, creatinine, eGFR (CKD-EPI 2021), urine protein, haemoglobin and ALT.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Derived outcomes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hypertension (mean SBP ≥140 or DBP ≥90 or on medication) and diabetes (FPG ≥7.0 or HbA1c ≥6.5 or on medication).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Follow-up variables (2026)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Vital status and time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fu_status, fu_visit_date, fu_date_of_death, fu_end_date and fu_followup_months (time from baseline interview to fu_end_date, for person-time).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Cardiometabolic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fu_sbp_mean, fu_dbp_mean, fu_on_antihypertensives, fu_hypertension, fu_weight_kg, fu_bmi_kg_m2, fu_blood_sample_collected, fu_fasting_glucose_mmol_l, fu_hba1c_percent, fu_on_diabetes_medication, fu_diabetes.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Mental health and lifestyle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fu_phq9_score, fu_current_tobacco_smoker.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/>
                <w:color w:val="0C1C36"/>
                <w:sz w:val="21"/>
              </w:rPr>
              <w:t>HIV and TB</w:t>
            </w:r>
            <w:r>
              <w:rPr>
                <w:rFonts w:ascii="Arial" w:hAnsi="Arial"/>
                <w:b w:val="0"/>
                <w:color w:val="152E56"/>
                <w:sz w:val="21"/>
              </w:rPr>
              <w:t>: fu_hiv_test_result, fu_hiv_seroconversion, fu_on_art, fu_viral_load_copies_ml, fu_viral_load_suppressed_lt1000, fu_new_tb_diagnosis.</w:t>
            </w:r>
          </w:p>
          <w:p>
            <w:pPr>
              <w:spacing w:before="0" w:after="100" w:line="312" w:lineRule="auto"/>
            </w:pPr>
            <w:r>
              <w:rPr>
                <w:rFonts w:ascii="Arial" w:hAnsi="Arial"/>
                <w:b w:val="0"/>
                <w:color w:val="152E56"/>
                <w:sz w:val="21"/>
              </w:rPr>
              <w:t>Follow-up variables are blank for participants who died or were lost to follow-up. Follow-up definitions use the same cut-offs as baseline.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How the data can be analysed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W w:w="9127" w:type="dxa"/>
              <w:tblLayout w:type="fixed"/>
            </w:tblPr>
            <w:tblGrid>
              <w:gridCol w:w="1825"/>
              <w:gridCol w:w="3651"/>
              <w:gridCol w:w="3651"/>
            </w:tblGrid>
            <w:tr>
              <w:trPr>
                <w:tblHeader w:val="true"/>
              </w:trPr>
              <w:tc>
                <w:tcPr>
                  <w:tcW w:type="dxa" w:w="182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ANALYSIS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USES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/>
                      <w:color w:val="98A3B4"/>
                      <w:sz w:val="15"/>
                    </w:rPr>
                    <w:t>EXAMPLE MEASURES</w:t>
                  </w:r>
                </w:p>
              </w:tc>
            </w:tr>
            <w:tr>
              <w:tc>
                <w:tcPr>
                  <w:tcW w:type="dxa" w:w="182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Cross-sectional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Baseline variables only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Prevalence, prevalence ratio, prevalence odds ratio</w:t>
                  </w:r>
                </w:p>
              </w:tc>
            </w:tr>
            <w:tr>
              <w:tc>
                <w:tcPr>
                  <w:tcW w:type="dxa" w:w="182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Cohort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Baseline exposure; new outcome at follow-up among those free of it at baseline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Cumulative incidence, incidence rate per 1,000 person-years, risk ratio, rate ratio</w:t>
                  </w:r>
                </w:p>
              </w:tc>
            </w:tr>
            <w:tr>
              <w:tc>
                <w:tcPr>
                  <w:tcW w:type="dxa" w:w="1826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Change over time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The same measure at baseline and follow-up in the same people</w:t>
                  </w:r>
                </w:p>
              </w:tc>
              <w:tc>
                <w:tcPr>
                  <w:tcW w:type="dxa" w:w="3651"/>
                  <w:tcBorders>
                    <w:top w:val="nil"/>
                    <w:left w:val="nil"/>
                    <w:bottom w:val="single" w:sz="6" w:color="DDE3EC"/>
                    <w:right w:val="nil"/>
                  </w:tcBorders>
                  <w:tcMar>
                    <w:top w:w="70" w:type="dxa"/>
                    <w:bottom w:w="70" w:type="dxa"/>
                    <w:left w:w="90" w:type="dxa"/>
                    <w:right w:w="90" w:type="dxa"/>
                  </w:tcMar>
                </w:tcPr>
                <w:p>
                  <w:pPr>
                    <w:spacing w:before="0" w:after="0" w:line="288" w:lineRule="auto"/>
                  </w:pPr>
                  <w:r>
                    <w:rPr>
                      <w:rFonts w:ascii="Arial" w:hAnsi="Arial"/>
                      <w:b w:val="0"/>
                      <w:color w:val="152E56"/>
                      <w:sz w:val="19"/>
                    </w:rPr>
                    <w:t>Mean change, paired t-test, McNemar test</w:t>
                  </w:r>
                </w:p>
              </w:tc>
            </w:tr>
          </w:tbl>
          <w:p/>
        </w:tc>
      </w:tr>
    </w:tbl>
    <w:p>
      <w:pPr>
        <w:spacing w:before="0" w:after="80" w:line="240" w:lineRule="auto"/>
      </w:pPr>
    </w:p>
    <w:p>
      <w:pPr>
        <w:spacing w:before="320" w:after="200" w:line="312" w:lineRule="auto"/>
        <w:keepNext/>
        <w:pBdr>
          <w:bottom w:val="single" w:sz="12" w:space="4" w:color="D32F2F"/>
        </w:pBdr>
      </w:pPr>
      <w:r>
        <w:rPr>
          <w:rFonts w:ascii="Arial" w:hAnsi="Arial"/>
          <w:b/>
          <w:color w:val="0C1C36"/>
          <w:sz w:val="32"/>
        </w:rPr>
        <w:t>Coding notes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tblLayout w:type="fixed"/>
      </w:tblPr>
      <w:tblGrid>
        <w:gridCol w:w="9637"/>
      </w:tblGrid>
      <w:tr>
        <w:tc>
          <w:tcPr>
            <w:tcW w:type="dxa" w:w="9638"/>
            <w:tcBorders>
              <w:top w:val="single" w:sz="6" w:color="DDE3EC"/>
              <w:left w:val="single" w:sz="6" w:color="DDE3EC"/>
              <w:bottom w:val="single" w:sz="6" w:color="DDE3EC"/>
              <w:right w:val="single" w:sz="6" w:color="DDE3EC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 w:val="0"/>
                <w:color w:val="152E56"/>
                <w:sz w:val="21"/>
              </w:rPr>
              <w:t>N/A means not applicable; a blank cell means missing.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 w:val="0"/>
                <w:color w:val="152E56"/>
                <w:sz w:val="21"/>
              </w:rPr>
              <w:t>A viral load of 20 copies/mL means target not detected (&lt;20).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 w:val="0"/>
                <w:color w:val="152E56"/>
                <w:sz w:val="21"/>
              </w:rPr>
              <w:t>Participants lost to follow-up have fu_end_date equal to their baseline interview date and contribute no person-time.</w:t>
            </w:r>
          </w:p>
          <w:p>
            <w:pPr>
              <w:tabs>
                <w:tab w:pos="340" w:val="left"/>
              </w:tabs>
              <w:spacing w:before="0" w:after="40" w:line="312" w:lineRule="auto"/>
              <w:ind w:left="340" w:hanging="255"/>
            </w:pPr>
            <w:r>
              <w:rPr>
                <w:rFonts w:ascii="Arial" w:hAnsi="Arial"/>
                <w:color w:val="152E56"/>
                <w:sz w:val="21"/>
              </w:rPr>
              <w:t>•</w:t>
              <w:tab/>
            </w:r>
            <w:r>
              <w:rPr>
                <w:rFonts w:ascii="Arial" w:hAnsi="Arial"/>
                <w:b w:val="0"/>
                <w:color w:val="152E56"/>
                <w:sz w:val="21"/>
              </w:rPr>
              <w:t>About 6% of participants did not give a blood sample at baseline and about 4% at follow-up; their laboratory values are blank.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A3B4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DE3EC"/>
      </w:pBdr>
    </w:pPr>
    <w:r>
      <w:rPr>
        <w:rFonts w:ascii="Arial" w:hAnsi="Arial"/>
        <w:b w:val="0"/>
        <w:color w:val="98A3B4"/>
        <w:sz w:val="17"/>
      </w:rPr>
      <w:t>Newlands Clinic  •  Research Masterclass for Clinicians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52E5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