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5/12/2015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r>
        <w:drawing>
          <wp:inline>
            <wp:extent cx="5334000" cy="5367007"/>
            <wp:effectExtent b="0" l="0" r="0" t="0"/>
            <wp:docPr descr="" id="1" name="Picture"/>
            <a:graphic>
              <a:graphicData uri="http://schemas.openxmlformats.org/drawingml/2006/picture">
                <pic:pic>
                  <pic:nvPicPr>
                    <pic:cNvPr descr="https://github.com/researchplanninginc/NOAA-SCAT-Standard/blob/master/graphics/SCATv2.png?raw=true" id="0" name="Picture"/>
                    <pic:cNvPicPr>
                      <a:picLocks noChangeArrowheads="1" noChangeAspect="1"/>
                    </pic:cNvPicPr>
                  </pic:nvPicPr>
                  <pic:blipFill>
                    <a:blip r:embed="rId51"/>
                    <a:stretch>
                      <a:fillRect/>
                    </a:stretch>
                  </pic:blipFill>
                  <pic:spPr bwMode="auto">
                    <a:xfrm>
                      <a:off x="0" y="0"/>
                      <a:ext cx="5334000" cy="5367007"/>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 if the relevant shoreline is represented linearly and not polygonally.</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"islands" must be represented as separate spatial features.</w:t>
      </w:r>
    </w:p>
    <w:p>
      <w:r>
        <w:t xml:space="preserve">See figures 3-6 below for illustrative examples.</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 Linear feature endpoints depicted as dots, whereas feature vertices are not depicted.</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(i.e., cannot have an "island" within a hole).</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 For example, "date" is unacceptable as a field name, but "obs_date" is acceptable.</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SEG_ID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SURV_ID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SURV_DATE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SURV_TYPE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ZONE_ID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OIL_DIST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OIL_THICK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OIL_CHAR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OIL_CAT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PIT_ID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OIL_CHAR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OIL_DIST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OIL_CAT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STR_ID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the survey in which the given observation was made.</w:t>
      </w:r>
    </w:p>
    <w:p>
      <w:pPr>
        <w:pStyle w:val="Compact"/>
        <w:numPr>
          <w:numId w:val="1006"/>
          <w:ilvl w:val="0"/>
        </w:numPr>
      </w:pPr>
      <w:r>
        <w:t xml:space="preserve">All tabular records describing surveys are required to have at least one child record in the data table containing information about surface oiling observations (zones) or subsurface oiling observations made in that survey.</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t xml:space="preserve">Note that this form, by design, assumes that the user is surveying a single SCAT segment. This practice is</w:t>
      </w:r>
      <w:r>
        <w:t xml:space="preserve"> </w:t>
      </w:r>
      <w:r>
        <w:rPr>
          <w:i/>
        </w:rPr>
        <w:t xml:space="preserve">not</w:t>
      </w:r>
      <w:r>
        <w:t xml:space="preserve"> </w:t>
      </w:r>
      <w:r>
        <w:t xml:space="preserve">required by this data standard, though it is permitted.</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Tab-delimited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p>
    <w:p>
      <w:r>
        <w:t xml:space="preserve">Text should be encoded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f5e7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9b86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d668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