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600"/>
        <w:jc w:val="center"/>
      </w:pPr>
      <w:r>
        <w:rPr>
          <w:rFonts w:ascii="Arial" w:cs="Arial" w:eastAsia="Arial" w:hAnsi="Arial"/>
          <w:b/>
          <w:bCs/>
          <w:color w:val="1F3864"/>
          <w:sz w:val="48"/>
          <w:szCs w:val="48"/>
        </w:rPr>
        <w:t xml:space="preserve">1g vs. Microgravity (µg) Solidification</w:t>
      </w:r>
    </w:p>
    <w:p>
      <w:pPr>
        <w:spacing w:after="100" w:before="0"/>
        <w:jc w:val="center"/>
      </w:pPr>
      <w:r>
        <w:rPr>
          <w:rFonts w:ascii="Arial" w:cs="Arial" w:eastAsia="Arial" w:hAnsi="Arial"/>
          <w:b w:val="false"/>
          <w:bCs w:val="false"/>
          <w:color w:val="2C3E50"/>
          <w:sz w:val="28"/>
          <w:szCs w:val="28"/>
        </w:rPr>
        <w:t xml:space="preserve">Comprehensive Comparison Table by Phenomenon — with Magnitude of Difference, Research Gaps, and Open Questions</w:t>
      </w:r>
    </w:p>
    <w:p>
      <w:pPr>
        <w:spacing w:after="600" w:before="0"/>
        <w:jc w:val="center"/>
      </w:pPr>
      <w:r>
        <w:rPr>
          <w:rFonts w:ascii="Arial" w:cs="Arial" w:eastAsia="Arial" w:hAnsi="Arial"/>
          <w:i/>
          <w:iCs/>
          <w:color w:val="888888"/>
          <w:sz w:val="18"/>
          <w:szCs w:val="18"/>
        </w:rPr>
        <w:t xml:space="preserve">Companion to microgravity_solidification_deep_research_2026.md  •  Date: April 2026  •  Based on Flemings (1974) + 50+ digests + 2024–26 literature</w:t>
      </w:r>
    </w:p>
    <w:p>
      <w:pPr>
        <w:pStyle w:val="Heading2"/>
        <w:spacing w:after="160" w:before="0"/>
      </w:pPr>
      <w:r>
        <w:rPr>
          <w:rFonts w:ascii="Arial" w:cs="Arial" w:eastAsia="Arial" w:hAnsi="Arial"/>
          <w:b/>
          <w:bCs/>
          <w:color w:val="2E75B6"/>
          <w:sz w:val="26"/>
          <w:szCs w:val="26"/>
        </w:rPr>
        <w:t xml:space="preserve">How to Use This Document</w:t>
      </w:r>
    </w:p>
    <w:p>
      <w:pPr>
        <w:spacing w:after="0" w:before="0"/>
        <w:jc w:val="left"/>
      </w:pPr>
      <w:r>
        <w:rPr>
          <w:rFonts w:ascii="Arial" w:cs="Arial" w:eastAsia="Arial" w:hAnsi="Arial"/>
          <w:b w:val="false"/>
          <w:bCs w:val="false"/>
          <w:i w:val="false"/>
          <w:iCs w:val="false"/>
          <w:color w:val="1C2833"/>
          <w:sz w:val="19"/>
          <w:szCs w:val="19"/>
        </w:rPr>
        <w:t xml:space="preserve">This document organises every significant 1g-versus-µg solidification phenomenon into eight sections (A–H) mapped to chapters of Flemings, Solidification Processing (1974). Each row gives: the 1g prediction or observation, the µg observation, the magnitude of the gravity effect (with a 10-point visual scale), and the two or three most diagnostic references. Section A covers macrosegregation and fluid flow; B covers dendritic and cellular microstructure; C covers eutectic, peritectic, and immiscible systems; D covers nucleation and undercooling; E covers thermophysical property measurements and plane-front solidification; F covers detached Bridgman and semiconductor crystal quality; G covers gas porosity and the additive manufacturing bridge; H records the mechanical-property gap that remains the most urgent open problem in the field.</w:t>
      </w:r>
    </w:p>
    <w:p>
      <w:pPr>
        <w:spacing w:after="160" w:before="0"/>
      </w:pPr>
    </w:p>
    <w:p>
      <w:pPr>
        <w:spacing w:after="0" w:before="0"/>
        <w:jc w:val="left"/>
      </w:pPr>
      <w:r>
        <w:rPr>
          <w:rFonts w:ascii="Arial" w:cs="Arial" w:eastAsia="Arial" w:hAnsi="Arial"/>
          <w:b w:val="false"/>
          <w:bCs w:val="false"/>
          <w:i w:val="false"/>
          <w:iCs w:val="false"/>
          <w:color w:val="1C2833"/>
          <w:sz w:val="19"/>
          <w:szCs w:val="19"/>
        </w:rPr>
        <w:t xml:space="preserve">The dashboard (Section 1) summarises all phenomena on one page. The statistics table (Section 2) quantifies the distribution of effect types. Sections 3–10 present the full per-phenomenon tables. Section 11 lists Research Gaps. Section 12 lists Open Questions.</w:t>
      </w:r>
    </w:p>
    <w:p>
      <w:pPr>
        <w:spacing w:after="280" w:before="0"/>
      </w:pPr>
    </w:p>
    <w:p>
      <w:pPr>
        <w:pStyle w:val="Heading2"/>
        <w:spacing w:after="160" w:before="0"/>
      </w:pPr>
      <w:r>
        <w:rPr>
          <w:rFonts w:ascii="Arial" w:cs="Arial" w:eastAsia="Arial" w:hAnsi="Arial"/>
          <w:b/>
          <w:bCs/>
          <w:color w:val="2E75B6"/>
          <w:sz w:val="26"/>
          <w:szCs w:val="26"/>
        </w:rPr>
        <w:t xml:space="preserve">Legend: Row Colours and Effect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000"/>
        <w:gridCol w:w="1800"/>
        <w:gridCol w:w="308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Row Color</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Effect Type</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Meaning</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 (0–10)</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Typical Examples</w:t>
            </w:r>
          </w:p>
        </w:tc>
      </w:tr>
      <w:tr>
        <w:tc>
          <w:tcPr>
            <w:tcW w:type="dxa" w:w="13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Quantitative Reduction / Increase</w:t>
            </w:r>
          </w:p>
        </w:tc>
        <w:tc>
          <w:tcPr>
            <w:tcW w:type="dxa" w:w="5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 measurable factor-of-N change. Bar filled proportionally (1=minor, 10=orders of magnitude).</w:t>
            </w:r>
          </w:p>
        </w:tc>
        <w:tc>
          <w:tcPr>
            <w:tcW w:type="dxa" w:w="18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2–10</w:t>
            </w:r>
          </w:p>
        </w:tc>
        <w:tc>
          <w:tcPr>
            <w:tcW w:type="dxa" w:w="30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SDAS finer by 30%; segregation amplitude 4–6×</w:t>
            </w:r>
          </w:p>
        </w:tc>
      </w:tr>
      <w:tr>
        <w:tc>
          <w:tcPr>
            <w:tcW w:type="dxa" w:w="13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Mechanism Change</w:t>
            </w:r>
          </w:p>
        </w:tc>
        <w:tc>
          <w:tcPr>
            <w:tcW w:type="dxa" w:w="5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The dominant physical process switches (e.g., convective → diffusive transport).</w:t>
            </w:r>
          </w:p>
        </w:tc>
        <w:tc>
          <w:tcPr>
            <w:tcW w:type="dxa" w:w="18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5–10</w:t>
            </w:r>
          </w:p>
        </w:tc>
        <w:tc>
          <w:tcPr>
            <w:tcW w:type="dxa" w:w="30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Diffusive vs. convective; burst vs. continuous nucleation</w:t>
            </w:r>
          </w:p>
        </w:tc>
      </w:tr>
      <w:tr>
        <w:tc>
          <w:tcPr>
            <w:tcW w:type="dxa" w:w="13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Phenomenon</w:t>
            </w:r>
          </w:p>
        </w:tc>
        <w:tc>
          <w:tcPr>
            <w:tcW w:type="dxa" w:w="50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Only observable/accessible under µg conditions. Bar indicates breadth of effect.</w:t>
            </w:r>
          </w:p>
        </w:tc>
        <w:tc>
          <w:tcPr>
            <w:tcW w:type="dxa" w:w="18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6–10</w:t>
            </w:r>
          </w:p>
        </w:tc>
        <w:tc>
          <w:tcPr>
            <w:tcW w:type="dxa" w:w="30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Spiral eutectic; LMR morphology; ferroelectric unlock</w:t>
            </w:r>
          </w:p>
        </w:tc>
      </w:tr>
      <w:tr>
        <w:tc>
          <w:tcPr>
            <w:tcW w:type="dxa" w:w="13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Equivalent (Gravity-Independent)</w:t>
            </w:r>
          </w:p>
        </w:tc>
        <w:tc>
          <w:tcPr>
            <w:tcW w:type="dxa" w:w="5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 significant difference between 1g and µg outcomes.</w:t>
            </w:r>
          </w:p>
        </w:tc>
        <w:tc>
          <w:tcPr>
            <w:tcW w:type="dxa" w:w="18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1–3</w:t>
            </w:r>
          </w:p>
        </w:tc>
        <w:tc>
          <w:tcPr>
            <w:tcW w:type="dxa" w:w="30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Isothermal growth velocity; inverse segregation</w:t>
            </w:r>
          </w:p>
        </w:tc>
      </w:tr>
      <w:tr>
        <w:tc>
          <w:tcPr>
            <w:tcW w:type="dxa" w:w="13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Methodology Advance</w:t>
            </w:r>
          </w:p>
        </w:tc>
        <w:tc>
          <w:tcPr>
            <w:tcW w:type="dxa" w:w="50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µg provides a cleaner benchmark enabling better theory validation or measurement.</w:t>
            </w:r>
          </w:p>
        </w:tc>
        <w:tc>
          <w:tcPr>
            <w:tcW w:type="dxa" w:w="18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0–10</w:t>
            </w:r>
          </w:p>
        </w:tc>
        <w:tc>
          <w:tcPr>
            <w:tcW w:type="dxa" w:w="30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BPS validation; DECLIC 3D dendrite benchmark; viscosity ±1.9%</w:t>
            </w:r>
          </w:p>
        </w:tc>
      </w:tr>
      <w:tr>
        <w:tc>
          <w:tcPr>
            <w:tcW w:type="dxa" w:w="13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
            </w:r>
          </w:p>
        </w:tc>
        <w:tc>
          <w:tcPr>
            <w:tcW w:type="dxa" w:w="25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Persistent Gap</w:t>
            </w:r>
          </w:p>
        </w:tc>
        <w:tc>
          <w:tcPr>
            <w:tcW w:type="dxa" w:w="50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Data missing or cross-validation lacking as of April 2026. Bar = 0 = no data.</w:t>
            </w:r>
          </w:p>
        </w:tc>
        <w:tc>
          <w:tcPr>
            <w:tcW w:type="dxa" w:w="18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0</w:t>
            </w:r>
          </w:p>
        </w:tc>
        <w:tc>
          <w:tcPr>
            <w:tcW w:type="dxa" w:w="30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6"/>
                <w:szCs w:val="16"/>
              </w:rPr>
              <w:t xml:space="preserve">Tensile strength; fatigue; cross-platform thermophysical</w:t>
            </w:r>
          </w:p>
        </w:tc>
      </w:tr>
    </w:tbl>
    <w:p>
      <w:pPr>
        <w:spacing w:after="200" w:before="0"/>
      </w:pPr>
    </w:p>
    <w:p>
      <w:pPr>
        <w:spacing w:after="0" w:before="0"/>
        <w:jc w:val="left"/>
      </w:pPr>
      <w:r>
        <w:rPr>
          <w:rFonts w:ascii="Arial" w:cs="Arial" w:eastAsia="Arial" w:hAnsi="Arial"/>
          <w:b w:val="false"/>
          <w:bCs w:val="false"/>
          <w:i/>
          <w:iCs/>
          <w:color w:val="1C2833"/>
          <w:sz w:val="18"/>
          <w:szCs w:val="18"/>
        </w:rPr>
        <w:t xml:space="preserve">Scale notation: ██████████ = maximum effect (orders of magnitude or entirely new phenomenon); ░░░░░░░░░░ = negligible or no effect. A bar filled to 7 of 10 (███████░░░) represents a large, robust gravity effect corresponding to factor 3–10× or a clear mechanism change.</w:t>
      </w:r>
    </w:p>
    <w:p>
      <w:r>
        <w:br w:type="page"/>
      </w:r>
    </w:p>
    <w:p>
      <w:pPr>
        <w:pStyle w:val="Heading1"/>
      </w:pPr>
      <w:r>
        <w:rPr>
          <w:rFonts w:ascii="Arial" w:cs="Arial" w:eastAsia="Arial" w:hAnsi="Arial"/>
          <w:b/>
          <w:bCs/>
          <w:color w:val="1F3864"/>
          <w:sz w:val="36"/>
          <w:szCs w:val="36"/>
        </w:rPr>
        <w:t xml:space="preserve">Section 1 — At-a-Glance Dashboard: All Phenomena</w:t>
      </w:r>
    </w:p>
    <w:p>
      <w:pPr>
        <w:spacing w:after="0" w:before="0"/>
        <w:jc w:val="left"/>
      </w:pPr>
      <w:r>
        <w:rPr>
          <w:rFonts w:ascii="Arial" w:cs="Arial" w:eastAsia="Arial" w:hAnsi="Arial"/>
          <w:b w:val="false"/>
          <w:bCs w:val="false"/>
          <w:i w:val="false"/>
          <w:iCs w:val="false"/>
          <w:color w:val="1C2833"/>
          <w:sz w:val="19"/>
          <w:szCs w:val="19"/>
        </w:rPr>
        <w:t xml:space="preserve">Every phenomenon from Sections A–H is listed in condensed form below. Use this table to identify high-priority experiments and to navigate to detailed rows in the sections that follow.</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40"/>
        <w:gridCol w:w="3000"/>
        <w:gridCol w:w="1580"/>
        <w:gridCol w:w="2400"/>
        <w:gridCol w:w="1700"/>
        <w:gridCol w:w="820"/>
        <w:gridCol w:w="800"/>
        <w:gridCol w:w="2540"/>
      </w:tblGrid>
      <w:tr>
        <w:trPr>
          <w:tblHeader/>
        </w:trPr>
        <w:tc>
          <w:tcPr>
            <w:tcW w:type="dxa" w:w="84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Section</w:t>
            </w:r>
          </w:p>
        </w:tc>
        <w:tc>
          <w:tcPr>
            <w:tcW w:type="dxa" w:w="3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15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Effect Type</w:t>
            </w:r>
          </w:p>
        </w:tc>
        <w:tc>
          <w:tcPr>
            <w:tcW w:type="dxa" w:w="24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17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 (0→10)</w:t>
            </w:r>
          </w:p>
        </w:tc>
        <w:tc>
          <w:tcPr>
            <w:tcW w:type="dxa" w:w="82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Flemings Ch.</w:t>
            </w:r>
          </w:p>
        </w:tc>
        <w:tc>
          <w:tcPr>
            <w:tcW w:type="dxa" w:w="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Research Gap?</w:t>
            </w:r>
          </w:p>
        </w:tc>
        <w:tc>
          <w:tcPr>
            <w:tcW w:type="dxa" w:w="254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Axial macrosegregation — Al-Si columnar</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~4–6× reduction in segregation amplitude</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Axial macrosegregation — Al-Cu equiaxed</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change — directional sign lost</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Radial macrosegregation (Al-20Cu Bridgman)</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~3–4× reduction</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Inverse (shrinkage-driven) segregation</w:t>
            </w:r>
          </w:p>
        </w:tc>
        <w:tc>
          <w:tcPr>
            <w:tcW w:type="dxa" w:w="1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Equivalent</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Equivalent in both regimes</w:t>
            </w:r>
          </w:p>
        </w:tc>
        <w:tc>
          <w:tcPr>
            <w:tcW w:type="dxa" w:w="17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Channel / freckle segregation</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Critical Ra effectively → ∞; phenomenon eliminated</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Interdendritic flow driver</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Buoyancy term fully eliminated; physics simplified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Solute redistribution mechanism</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Transport mode switch: convective → diffusive</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A — Macroseg.</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Freezing-shrinkage / surface morphology</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morphology class accessible only in µg</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7</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Secondary dendrite arm spacing SDAS (Al-7Si matched pair)</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~30% finer in µg (coarsening suppressed)</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Primary dendrite arm spacing PDAS</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Histogram tightening; scatter reduced by ~50%</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Equiaxed grain size (Al-Cu, grain-refined)</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~2–3× finer grains</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Columnar-to-Equiaxed Transition (CET) position</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CET position shifts from ~30% → &gt;90% solidified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CET blocking mechanism</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shift — different physics entirely</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CET onset under g-jitter</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Threshold bound established: &lt;0.04g benign</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Dendrite tip velocity V(ΔT) in SCN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20-year gap between IDGE data and theory resolved in µg</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Equiaxed nucleation dynamics</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change in nucleation mode</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Dendritic growth velocity (Al-Cu/Ge isothermal)</w:t>
            </w:r>
          </w:p>
        </w:tc>
        <w:tc>
          <w:tcPr>
            <w:tcW w:type="dxa" w:w="158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Equivalent</w:t>
            </w:r>
          </w:p>
        </w:tc>
        <w:tc>
          <w:tcPr>
            <w:tcW w:type="dxa" w:w="24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No significant gravity effect at low ΔT</w:t>
            </w:r>
          </w:p>
        </w:tc>
        <w:tc>
          <w:tcPr>
            <w:tcW w:type="dxa" w:w="170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F2F3F4"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Fragment density / sedimentation (Al-7Si 3D)</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 sedimentation eliminated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Phase-field model accuracy (primary spacing)</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Model accuracy improved 3–6× using µg as clean benchmark</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B — Dendritic</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3D dendritic array stability benchmark</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quantitative regime opened</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3, 5</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Jackson-Hunt λ²V = K (2D lamellar eutectic)</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2D J-H confirmed in clean µg; convection error ~10–20%</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3D anisotropy-driven eutectic grain morphology</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morphology class inaccessible on ground</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Oscillatory / locked eutectic colonies</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Weak convection (&gt;1 µm/s) suppresses on ground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Peritectic coupled growth wavelength selection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 mechanistic prediction now possible</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Coupled vs. divorced eutectic (Fe-19Si)</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Morphology switch: divorced ↔ coupled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Eutectic undercooling achieved (Zr-V refractory)</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~3–8× deeper undercooling accessible</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Spiral / Marangoni-wave coupled eutectic growth</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pattern class — inaccessible on ground</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Monotectic droplet separation (Al-Bi, Fe-Cu)</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Sedimentation fully eliminated; droplet size ~100× smaller</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Core-shell immiscible microsphere formation</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isolated — Marangoni sufficient alone</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C — Eutectic/Immiscible</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Anomalous eutectic at velocity transitions (Ni-Sn)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Transient state now fully observable and characterizable</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4, 6</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Max undercooling — Nb-Si eutectic (CSS)</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~2.5× deeper; approaches 0.2 T_L homogeneous limit</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Max undercooling — Nb₈₄.₁Si₁₅.₉</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~4× deeper</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Max undercooling — Zr-Ni-Al-Nb BMG</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Metastable amorphization accessible — qualitative new state</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Undercooling record — Zr₆₄V₃₆ (refractory)</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Previously inaccessible state</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Nucleation kinetics under stirring (Zr₈₀Pt₂₀)</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Opposite trend to ground intuition — qualitative reversal</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Metastable phase selection (Fe-Cr-Ni)</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Phase-selection pathway altered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Recalescence velocity V(ΔT) curve shape</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Full kinetics quantifiable for the first time</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Interface response function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methodology — data previously inaccessible</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Container-wall heterogeneous nucleation</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removal of dominant nucleation pathway</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D — Nucleation</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Burst vs. continuous nucleation geometry</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change in nucleation mode</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BPS solute boundary layer (Al-1.5Ni plane front)</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Analytic diffusion theory validated quantitatively</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g-jitter effect on BPS boundary layer</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g-jitter sensitivity regime characterized</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Liquid density measurement uncertainty</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~5–10× improvement in precision</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Liquid surface tension uncertainty</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~3–10× improvement</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Liquid viscosity uncertainty</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~3–5× improvement</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Cross-platform validation (ISS vs. CSS)</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Open gap — no cross-validation exists as of 2026</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Evaporation mass loss during EML (FeCrNi)</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Mass-loss model confirmed — modeling uncertainty resolved</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E — Thermophys.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Specific heat / emissivity of BMGs</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benchmark class — first containerless BMG property set</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 2, 8</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Crystal detachment from crucible wall</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change — mechanism reversed</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Dewetting angle criterion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Clean mechanism isolation — capillarity alone sufficient</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Dislocation density (GeSi, GaSb — historical)</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1–1.5 orders of magnitude improvement</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Dislocation density — InAsSb CSS 2026</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1 order of magnitude — recent confirmation</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Compositional uniformity (InAsSb CSS)</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Near-uniform — composition control qualitatively improved</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Stacking-fault elimination (InSe CSS)</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property unlock — new physics accessible</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Semiconductor quality meta-baseline (160 crystals)</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 meta-answer: strong overall benefit</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F — Semiconductors</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High magnetic field (10 T) as µg analog</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Ground approximation: achieves ~35% not ~90–99% of µg benefit</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2, 9</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G — Porosity/AM</w:t>
            </w:r>
          </w:p>
        </w:tc>
        <w:tc>
          <w:tcPr>
            <w:tcW w:type="dxa" w:w="3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Gas bubble buoyant escape</w:t>
            </w:r>
          </w:p>
        </w:tc>
        <w:tc>
          <w:tcPr>
            <w:tcW w:type="dxa" w:w="158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w:t>
            </w:r>
          </w:p>
        </w:tc>
        <w:tc>
          <w:tcPr>
            <w:tcW w:type="dxa" w:w="24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Mechanism change: buoyancy → Marangoni only</w:t>
            </w:r>
          </w:p>
        </w:tc>
        <w:tc>
          <w:tcPr>
            <w:tcW w:type="dxa" w:w="17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G — Porosity/AM</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AM DED pore retention (metallic glass)</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Modestly higher pore retention in µg (+4–8% vol)</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G — Porosity/AM</w:t>
            </w:r>
          </w:p>
        </w:tc>
        <w:tc>
          <w:tcPr>
            <w:tcW w:type="dxa" w:w="30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Marangoni-driven bubble motion</w:t>
            </w:r>
          </w:p>
        </w:tc>
        <w:tc>
          <w:tcPr>
            <w:tcW w:type="dxa" w:w="158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Methodology Advance</w:t>
            </w:r>
          </w:p>
        </w:tc>
        <w:tc>
          <w:tcPr>
            <w:tcW w:type="dxa" w:w="24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 mechanism now explicit</w:t>
            </w:r>
          </w:p>
        </w:tc>
        <w:tc>
          <w:tcPr>
            <w:tcW w:type="dxa" w:w="170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AFAF1"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G — Porosity/AM</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µg → AM defect-mitigation bridge</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Open linkage — key research gap</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Tensile strength of ISS/CSS-solidified alloys</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Gap remains — strongest PhD-thesis lever</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Fatigue / creep of µg-solidified alloys</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Gap remains</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Hardness / microindentation</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Under-populated — few data points</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Low</w:t>
            </w:r>
          </w:p>
        </w:tc>
      </w:tr>
      <w:tr>
        <w:tc>
          <w:tcPr>
            <w:tcW w:type="dxa" w:w="8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Semiconductor carrier mobility (µg vs 1g)</w:t>
            </w:r>
          </w:p>
        </w:tc>
        <w:tc>
          <w:tcPr>
            <w:tcW w:type="dxa" w:w="158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Quantitative</w:t>
            </w:r>
          </w:p>
        </w:tc>
        <w:tc>
          <w:tcPr>
            <w:tcW w:type="dxa" w:w="24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Consistent improvement — aggregate only</w:t>
            </w:r>
          </w:p>
        </w:tc>
        <w:tc>
          <w:tcPr>
            <w:tcW w:type="dxa" w:w="170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EBF5FB"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r>
        <w:tc>
          <w:tcPr>
            <w:tcW w:type="dxa" w:w="8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InSe piezo/ferroelectric response (CSS)</w:t>
            </w:r>
          </w:p>
        </w:tc>
        <w:tc>
          <w:tcPr>
            <w:tcW w:type="dxa" w:w="158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New Phenomenon</w:t>
            </w:r>
          </w:p>
        </w:tc>
        <w:tc>
          <w:tcPr>
            <w:tcW w:type="dxa" w:w="24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Qualitative property unlock — functional material enabled</w:t>
            </w:r>
          </w:p>
        </w:tc>
        <w:tc>
          <w:tcPr>
            <w:tcW w:type="dxa" w:w="170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Potential</w:t>
            </w:r>
          </w:p>
        </w:tc>
        <w:tc>
          <w:tcPr>
            <w:tcW w:type="dxa" w:w="2540"/>
            <w:tcBorders>
              <w:top w:val="single" w:color="BBBBBB" w:sz="1"/>
              <w:left w:val="single" w:color="BBBBBB" w:sz="1"/>
              <w:bottom w:val="single" w:color="BBBBBB" w:sz="1"/>
              <w:right w:val="single" w:color="BBBBBB" w:sz="1"/>
            </w:tcBorders>
            <w:shd w:fill="F4ECF7"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High</w:t>
            </w:r>
          </w:p>
        </w:tc>
      </w:tr>
      <w:tr>
        <w:tc>
          <w:tcPr>
            <w:tcW w:type="dxa" w:w="8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bCs/>
                <w:color w:val="1C2833"/>
                <w:sz w:val="16"/>
                <w:szCs w:val="16"/>
              </w:rPr>
              <w:t xml:space="preserve">H — Mech. Props.</w:t>
            </w:r>
          </w:p>
        </w:tc>
        <w:tc>
          <w:tcPr>
            <w:tcW w:type="dxa" w:w="30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Grain-size vs. cooling-rate anomaly (Fe-19Si)</w:t>
            </w:r>
          </w:p>
        </w:tc>
        <w:tc>
          <w:tcPr>
            <w:tcW w:type="dxa" w:w="158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Persistent Gap</w:t>
            </w:r>
          </w:p>
        </w:tc>
        <w:tc>
          <w:tcPr>
            <w:tcW w:type="dxa" w:w="24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left"/>
            </w:pPr>
            <w:r>
              <w:rPr>
                <w:rFonts w:ascii="Arial" w:cs="Arial" w:eastAsia="Arial" w:hAnsi="Arial"/>
                <w:b w:val="false"/>
                <w:bCs w:val="false"/>
                <w:color w:val="1C2833"/>
                <w:sz w:val="16"/>
                <w:szCs w:val="16"/>
              </w:rPr>
              <w:t xml:space="preserve">Counter-intuitive — unresolved mechanistic question</w:t>
            </w:r>
          </w:p>
        </w:tc>
        <w:tc>
          <w:tcPr>
            <w:tcW w:type="dxa" w:w="17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2E75B6"/>
                <w:sz w:val="16"/>
                <w:szCs w:val="16"/>
              </w:rPr>
              <w:t xml:space="preserve">█████░░░░░</w:t>
            </w:r>
          </w:p>
        </w:tc>
        <w:tc>
          <w:tcPr>
            <w:tcW w:type="dxa" w:w="82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Ch. 10</w:t>
            </w:r>
          </w:p>
        </w:tc>
        <w:tc>
          <w:tcPr>
            <w:tcW w:type="dxa" w:w="8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bCs/>
                <w:color w:val="C0392B"/>
                <w:sz w:val="16"/>
                <w:szCs w:val="16"/>
              </w:rPr>
              <w:t xml:space="preserve">YES</w:t>
            </w:r>
          </w:p>
        </w:tc>
        <w:tc>
          <w:tcPr>
            <w:tcW w:type="dxa" w:w="254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vAlign w:val="top"/>
          </w:tcPr>
          <w:p>
            <w:pPr>
              <w:jc w:val="center"/>
            </w:pPr>
            <w:r>
              <w:rPr>
                <w:rFonts w:ascii="Arial" w:cs="Arial" w:eastAsia="Arial" w:hAnsi="Arial"/>
                <w:b w:val="false"/>
                <w:bCs w:val="false"/>
                <w:color w:val="1C2833"/>
                <w:sz w:val="16"/>
                <w:szCs w:val="16"/>
              </w:rPr>
              <w:t xml:space="preserve">★★ Medium</w:t>
            </w:r>
          </w:p>
        </w:tc>
      </w:tr>
    </w:tbl>
    <w:p>
      <w:r>
        <w:br w:type="page"/>
      </w:r>
    </w:p>
    <w:p>
      <w:pPr>
        <w:pStyle w:val="Heading1"/>
      </w:pPr>
      <w:r>
        <w:rPr>
          <w:rFonts w:ascii="Arial" w:cs="Arial" w:eastAsia="Arial" w:hAnsi="Arial"/>
          <w:b/>
          <w:bCs/>
          <w:color w:val="1F3864"/>
          <w:sz w:val="36"/>
          <w:szCs w:val="36"/>
        </w:rPr>
        <w:t xml:space="preserve">Section 2 — Distribution of Effect Types</w:t>
      </w:r>
    </w:p>
    <w:p>
      <w:pPr>
        <w:spacing w:after="0" w:before="0"/>
        <w:jc w:val="left"/>
      </w:pPr>
      <w:r>
        <w:rPr>
          <w:rFonts w:ascii="Arial" w:cs="Arial" w:eastAsia="Arial" w:hAnsi="Arial"/>
          <w:b w:val="false"/>
          <w:bCs w:val="false"/>
          <w:i w:val="false"/>
          <w:iCs w:val="false"/>
          <w:color w:val="1C2833"/>
          <w:sz w:val="19"/>
          <w:szCs w:val="19"/>
        </w:rPr>
        <w:t xml:space="preserve">The table below counts phenomena by effect category across all 8 sections.</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500"/>
        <w:gridCol w:w="318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Category</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Phenomena Count</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 of Total</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Avg. Gravity-Effect Scale (0–10)</w:t>
            </w:r>
          </w:p>
        </w:tc>
        <w:tc>
          <w:tcPr>
            <w:tcW w:type="dxa" w:w="31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Interpretation</w:t>
            </w:r>
          </w:p>
        </w:tc>
      </w:tr>
      <w:tr>
        <w:tc>
          <w:tcPr>
            <w:tcW w:type="dxa" w:w="3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Quantitative Effect</w:t>
            </w:r>
          </w:p>
        </w:tc>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17 of 66</w:t>
            </w:r>
          </w:p>
        </w:tc>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26%</w:t>
            </w:r>
          </w:p>
        </w:tc>
        <w:tc>
          <w:tcPr>
            <w:tcW w:type="dxa" w:w="2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Measurable factor-of-N change</w:t>
            </w:r>
          </w:p>
        </w:tc>
      </w:tr>
      <w:tr>
        <w:tc>
          <w:tcPr>
            <w:tcW w:type="dxa" w:w="3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Mechanism Change</w:t>
            </w:r>
          </w:p>
        </w:tc>
        <w:tc>
          <w:tcPr>
            <w:tcW w:type="dxa" w:w="2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16 of 66</w:t>
            </w:r>
          </w:p>
        </w:tc>
        <w:tc>
          <w:tcPr>
            <w:tcW w:type="dxa" w:w="2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24%</w:t>
            </w:r>
          </w:p>
        </w:tc>
        <w:tc>
          <w:tcPr>
            <w:tcW w:type="dxa" w:w="2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Different physical process dominates</w:t>
            </w:r>
          </w:p>
        </w:tc>
      </w:tr>
      <w:tr>
        <w:tc>
          <w:tcPr>
            <w:tcW w:type="dxa" w:w="30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New Phenomenon</w:t>
            </w:r>
          </w:p>
        </w:tc>
        <w:tc>
          <w:tcPr>
            <w:tcW w:type="dxa" w:w="2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10 of 66</w:t>
            </w:r>
          </w:p>
        </w:tc>
        <w:tc>
          <w:tcPr>
            <w:tcW w:type="dxa" w:w="2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15%</w:t>
            </w:r>
          </w:p>
        </w:tc>
        <w:tc>
          <w:tcPr>
            <w:tcW w:type="dxa" w:w="2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Only accessible in µg</w:t>
            </w:r>
          </w:p>
        </w:tc>
      </w:tr>
      <w:tr>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Equivalent</w:t>
            </w:r>
          </w:p>
        </w:tc>
        <w:tc>
          <w:tcPr>
            <w:tcW w:type="dxa" w:w="2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2 of 66</w:t>
            </w:r>
          </w:p>
        </w:tc>
        <w:tc>
          <w:tcPr>
            <w:tcW w:type="dxa" w:w="2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3%</w:t>
            </w:r>
          </w:p>
        </w:tc>
        <w:tc>
          <w:tcPr>
            <w:tcW w:type="dxa" w:w="2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Gravity has no significant role</w:t>
            </w:r>
          </w:p>
        </w:tc>
      </w:tr>
      <w:tr>
        <w:tc>
          <w:tcPr>
            <w:tcW w:type="dxa" w:w="30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Methodology Advance</w:t>
            </w:r>
          </w:p>
        </w:tc>
        <w:tc>
          <w:tcPr>
            <w:tcW w:type="dxa" w:w="25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15 of 66</w:t>
            </w:r>
          </w:p>
        </w:tc>
        <w:tc>
          <w:tcPr>
            <w:tcW w:type="dxa" w:w="25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23%</w:t>
            </w:r>
          </w:p>
        </w:tc>
        <w:tc>
          <w:tcPr>
            <w:tcW w:type="dxa" w:w="25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µg enables cleaner theory validation</w:t>
            </w:r>
          </w:p>
        </w:tc>
      </w:tr>
      <w:tr>
        <w:tc>
          <w:tcPr>
            <w:tcW w:type="dxa" w:w="30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Persistent Gap</w:t>
            </w:r>
          </w:p>
        </w:tc>
        <w:tc>
          <w:tcPr>
            <w:tcW w:type="dxa" w:w="25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6 of 66</w:t>
            </w:r>
          </w:p>
        </w:tc>
        <w:tc>
          <w:tcPr>
            <w:tcW w:type="dxa" w:w="25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9%</w:t>
            </w:r>
          </w:p>
        </w:tc>
        <w:tc>
          <w:tcPr>
            <w:tcW w:type="dxa" w:w="25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8"/>
                <w:szCs w:val="18"/>
              </w:rPr>
              <w:t xml:space="preserve">—</w:t>
            </w:r>
          </w:p>
        </w:tc>
        <w:tc>
          <w:tcPr>
            <w:tcW w:type="dxa" w:w="31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Data missing — no µg measurement yet</w:t>
            </w:r>
          </w:p>
        </w:tc>
      </w:tr>
      <w:tr>
        <w:tc>
          <w:tcPr>
            <w:tcW w:type="dxa" w:w="30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TOTAL: 66 phenomena</w:t>
            </w:r>
          </w:p>
        </w:tc>
        <w:tc>
          <w:tcPr>
            <w:tcW w:type="dxa" w:w="25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C2833"/>
                <w:sz w:val="18"/>
                <w:szCs w:val="18"/>
              </w:rPr>
              <w:t xml:space="preserve">43 (65%) at scale ≥7</w:t>
            </w:r>
          </w:p>
        </w:tc>
        <w:tc>
          <w:tcPr>
            <w:tcW w:type="dxa" w:w="25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C2833"/>
                <w:sz w:val="18"/>
                <w:szCs w:val="18"/>
              </w:rPr>
              <w:t xml:space="preserve">Mean scale: 6.4/10</w:t>
            </w:r>
          </w:p>
        </w:tc>
        <w:tc>
          <w:tcPr>
            <w:tcW w:type="dxa" w:w="250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
            </w:r>
          </w:p>
        </w:tc>
        <w:tc>
          <w:tcPr>
            <w:tcW w:type="dxa" w:w="3180"/>
            <w:tcBorders>
              <w:top w:val="single" w:color="BBBBBB" w:sz="1"/>
              <w:left w:val="single" w:color="BBBBBB" w:sz="1"/>
              <w:bottom w:val="single" w:color="BBBBBB" w:sz="1"/>
              <w:right w:val="single" w:color="BBBBBB" w:sz="1"/>
            </w:tcBorders>
            <w:shd w:fill="F0F0F0"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Gravity has large effect (≥7/10) on majority of phenomena</w:t>
            </w:r>
          </w:p>
        </w:tc>
      </w:tr>
    </w:tbl>
    <w:p>
      <w:pPr>
        <w:spacing w:after="280" w:before="0"/>
      </w:pPr>
    </w:p>
    <w:p>
      <w:pPr>
        <w:spacing w:after="0" w:before="0"/>
        <w:jc w:val="left"/>
      </w:pPr>
      <w:r>
        <w:rPr>
          <w:rFonts w:ascii="Arial" w:cs="Arial" w:eastAsia="Arial" w:hAnsi="Arial"/>
          <w:b w:val="false"/>
          <w:bCs w:val="false"/>
          <w:i w:val="false"/>
          <w:iCs w:val="false"/>
          <w:color w:val="1C2833"/>
          <w:sz w:val="19"/>
          <w:szCs w:val="19"/>
        </w:rPr>
        <w:t xml:space="preserve">Key finding: gravity plays a large role (scale ≥7/10) in more than half of all phenomena surveyed. Mechanism changes are as frequent as quantitative reductions, emphasising that microgravity does not simply “weaken” gravity-driven effects but often switches the dominant physics entirely. New phenomena (only observable in µg) represent approximately one-fifth of entries, pointing to a rich discovery space that cannot be accessed by ground-based means.</w:t>
      </w:r>
    </w:p>
    <w:p>
      <w:r>
        <w:br w:type="page"/>
      </w:r>
    </w:p>
    <w:p>
      <w:pPr>
        <w:pStyle w:val="Heading1"/>
      </w:pPr>
      <w:r>
        <w:rPr>
          <w:rFonts w:ascii="Arial" w:cs="Arial" w:eastAsia="Arial" w:hAnsi="Arial"/>
          <w:b/>
          <w:bCs/>
          <w:color w:val="1F3864"/>
          <w:sz w:val="36"/>
          <w:szCs w:val="36"/>
        </w:rPr>
        <w:t xml:space="preserve">Section A — Fluid Flow, Convection, and Macrosegregation (Flemings Ch. 7)</w:t>
      </w:r>
    </w:p>
    <w:p>
      <w:pPr>
        <w:spacing w:after="0" w:before="0"/>
        <w:jc w:val="left"/>
      </w:pPr>
      <w:r>
        <w:rPr>
          <w:rFonts w:ascii="Arial" w:cs="Arial" w:eastAsia="Arial" w:hAnsi="Arial"/>
          <w:b w:val="false"/>
          <w:bCs w:val="false"/>
          <w:i w:val="false"/>
          <w:iCs w:val="false"/>
          <w:color w:val="1C2833"/>
          <w:sz w:val="19"/>
          <w:szCs w:val="19"/>
        </w:rPr>
        <w:t xml:space="preserve">Macrosegregation is the largest-length-scale solidification defect. On Earth, thermosolutal buoyancy drives interdendritic fluid flow that segregates alloying elements over distances of centimetres to metres. In µg, buoyancy is eliminated and flow reverts to shrinkage-driven only, reducing segregation amplitudes by factors of 3–6× and in some cases eliminating the effect direction entirely. Channel (freckle) segregation, which requires Ra &gt; Ra_cr driven by buoyancy, is not observed in any µg metallic trial.</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D6E4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A — Fluid Flow, Convection, and Macrosegregation</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A1</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Axial macrosegregation — Al-Si columnar</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Si enriches upward +20–30%; density-driven solutal buoyancy (ρ_liq decreases with Si)</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±5% flat diffusive profile</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~4–6× reduction in segregation amplitude</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Zhang 2024 npj Microgravity; Mehrabian/Flemings 1970</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A2</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Axial macrosegregation — Al-Cu equiaxed</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Cu enriches downward (heavy Cu sinks); strong composition gradient</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"Almost disappears" — essentially uniform</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change — directional sign lost</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Zhang 2024; Chen 2025 JOM</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A3</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Radial macrosegregation (Al-20Cu Bridgman)</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~15–20% radial segregation amplitude</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&lt;5% radial (near-diffusive)</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~3–4× reduction</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Spinella 2024 Materialia; Williams 2022 MMTA</w:t>
            </w:r>
          </w:p>
        </w:tc>
      </w:tr>
      <w:tr>
        <w:tc>
          <w:tcPr>
            <w:tcW w:type="dxa" w:w="4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A4</w:t>
            </w:r>
          </w:p>
        </w:tc>
        <w:tc>
          <w:tcPr>
            <w:tcW w:type="dxa" w:w="22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Inverse (shrinkage-driven) segregation</w:t>
            </w:r>
          </w:p>
        </w:tc>
        <w:tc>
          <w:tcPr>
            <w:tcW w:type="dxa" w:w="27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Present at chill face — shrinkage + buoyancy driven</w:t>
            </w:r>
          </w:p>
        </w:tc>
        <w:tc>
          <w:tcPr>
            <w:tcW w:type="dxa" w:w="27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Still present — gravity-independent</w:t>
            </w:r>
          </w:p>
        </w:tc>
        <w:tc>
          <w:tcPr>
            <w:tcW w:type="dxa" w:w="19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Equivalent in both regimes</w:t>
            </w:r>
          </w:p>
        </w:tc>
        <w:tc>
          <w:tcPr>
            <w:tcW w:type="dxa" w:w="9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Zhang 2024; Mirihanage 2023 npj Microgravity</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A5</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Channel / freckle segregation</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Present above Ra_cr ≈ 0.25–46 (geometry-dependent)</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Not observed in any µg Ni-superalloy or Al-Cu trial</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Critical Ra effectively → ∞; phenomenon eliminated</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Mehrabian/Flemings 1970; CETSOL/MICAST; Zhang 2024</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A6</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Interdendritic flow driver</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Buoyancy (thermosolutal) + shrinkage — buoyancy dominant</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Shrinkage only (Δρ_solid-liquid) — buoyancy eliminated</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Buoyancy term fully eliminated; physics simplified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Simpson &amp; Kou 1984; Ganesan &amp; Poirier 1990</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A7</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Solute redistribution mechanism</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Convective (bulk mixing); Scheil-like actual profiles</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Purely diffusive — BPS/Tiller analytic theory validated</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Transport mode switch: convective → diffusive</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Thi 2005 J. Cryst. Growth; Stelian 2005</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A8</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Freezing-shrinkage / surface morphology</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Masked by buoyancy-driven flow; smooth surface collapse</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Wrinkled &amp; spiral shrinkage patterns (refractory droplets) — newly visible</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morphology class accessible only in µg</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Wang 2024 Adv. Mater. doi:10.1002/adma.202313162; Liu 2024 Adv. Funct. Mater.</w:t>
            </w:r>
          </w:p>
        </w:tc>
      </w:tr>
    </w:tbl>
    <w:p>
      <w:r>
        <w:br w:type="page"/>
      </w:r>
    </w:p>
    <w:p>
      <w:pPr>
        <w:pStyle w:val="Heading1"/>
      </w:pPr>
      <w:r>
        <w:rPr>
          <w:rFonts w:ascii="Arial" w:cs="Arial" w:eastAsia="Arial" w:hAnsi="Arial"/>
          <w:b/>
          <w:bCs/>
          <w:color w:val="1F3864"/>
          <w:sz w:val="36"/>
          <w:szCs w:val="36"/>
        </w:rPr>
        <w:t xml:space="preserve">Section B — Dendritic and Cellular Solidification (Flemings Ch. 3, 5)</w:t>
      </w:r>
    </w:p>
    <w:p>
      <w:pPr>
        <w:spacing w:after="0" w:before="0"/>
        <w:jc w:val="left"/>
      </w:pPr>
      <w:r>
        <w:rPr>
          <w:rFonts w:ascii="Arial" w:cs="Arial" w:eastAsia="Arial" w:hAnsi="Arial"/>
          <w:b w:val="false"/>
          <w:bCs w:val="false"/>
          <w:i w:val="false"/>
          <w:iCs w:val="false"/>
          <w:color w:val="1C2833"/>
          <w:sz w:val="19"/>
          <w:szCs w:val="19"/>
        </w:rPr>
        <w:t xml:space="preserve">Dendritic microstructure sets the scale for subsequent macrosegregation and mechanical properties. Convection on the ground broadens dendrite spacing distributions, promotes sedimentation of fragments, and enhances the columnar-to-equiaxed transition. In µg, spacing distributions narrow, fragment dynamics are purely misorientation-driven, and phase-field models agree with experiment to within 5–10·% — closing a 20-year gap. The IDGE dendritic tip-velocity controversy (LGK vs. experiment) is now largely resolved using µg data.</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D5E8D4"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B — Dendritic and Cellular Solidification</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B1</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Secondary dendrite arm spacing SDAS (Al-7Si matched pair)</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150–250 µm (convection enhances coarsening)</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120–180 µm — finer, narrower distribution</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~30% finer in µg (coarsening suppressed)</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Zhang 2024 npj Microgravity; Roósz 2022 Crystals</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B2</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Primary dendrite arm spacing PDAS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Convection-broadened; wide scatter; histogram skewed</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Narrower, tighter distribution — diffusion-controlled</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Histogram tightening; scatter reduced by ~50%</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Williams 2022 MMTA; Ngomesse 2021 Acta Mat.</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B3</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Equiaxed grain size (Al-Cu, grain-refined)</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200–500 µm (sedimenting grains coarsen)</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100–300 µm (3× finer vs. non-refined µg controls)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~2–3× finer grains</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Zimmermann 2024 Materialia; Williams 2022</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B4</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Columnar-to-Equiaxed Transition (CET) position</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~30% solidified — occurs early; strong solutal blocking</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Absent or &gt;90% — largely suppressed without convection</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CET position shifts from ~30% → &gt;90% solidified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Mirihanage 2023 npj Microgravity; Ngomesse 2021</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B5</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CET blocking mechanism</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Solutal blocking dominant (convection sweeps ahead)</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Mechanical/shrinkage-flow blocking (no solutal sweep)</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Mechanism shift — different physics entirely</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Ngomesse 2021 (MASER-14 X-ray in situ)</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B6</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CET onset under g-jitter</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 (fixed 1g)</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Negligible up to ±0.04g; first empirical threshold</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Threshold bound established: &lt;0.04g benign</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Geng 2025 IOP Conf. Ser.</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B7</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Dendrite tip velocity V(ΔT) in SCN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Convection-enhanced; +20% excess over LGK; hides theory</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LGK + non-paraboloid tip + 0.2R integration → within scatter</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20-year gap between IDGE data and theory resolved in µg</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Glicksman 1994–99 IDGE; Alexandrov 2026 Acta Mat.</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B8</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Equiaxed nucleation dynamics</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Continuous, spatially scattered — convection samples sites</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Burst-like, simultaneous — uniform solute field triggers all at once</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change in nucleation mode</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Becker 2023 MMTA doi:10.1007/s11661-023-07092-0</w:t>
            </w:r>
          </w:p>
        </w:tc>
      </w:tr>
      <w:tr>
        <w:tc>
          <w:tcPr>
            <w:tcW w:type="dxa" w:w="4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B9</w:t>
            </w:r>
          </w:p>
        </w:tc>
        <w:tc>
          <w:tcPr>
            <w:tcW w:type="dxa" w:w="228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Dendritic growth velocity (Al-Cu/Ge isothermal)</w:t>
            </w:r>
          </w:p>
        </w:tc>
        <w:tc>
          <w:tcPr>
            <w:tcW w:type="dxa" w:w="27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≈8 µm/s at same ΔT (slight convection enhancement)</w:t>
            </w:r>
          </w:p>
        </w:tc>
        <w:tc>
          <w:tcPr>
            <w:tcW w:type="dxa" w:w="27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≈8 µm/s — identical</w:t>
            </w:r>
          </w:p>
        </w:tc>
        <w:tc>
          <w:tcPr>
            <w:tcW w:type="dxa" w:w="19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No significant gravity effect at low ΔT</w:t>
            </w:r>
          </w:p>
        </w:tc>
        <w:tc>
          <w:tcPr>
            <w:tcW w:type="dxa" w:w="9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Becker 2023 MMTA</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B10</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Fragment density / sedimentation (Al-7Si 3D)</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Sedimentation-dependent; fragments settle and coarsen</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Misorientation-driven only — no sedimentation</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Mechanism change; sedimentation eliminated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Abou-Khalil 2023 Acta Mat.</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B11</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Phase-field model accuracy (primary spacing)</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&gt;30% discrepancy pre-2020 (convection confounds ground data)</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5–10% with GPU phase-field vs. DECLIC-DSI µg data</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Model accuracy improved 3–6× using µg as clean benchmark</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Tian 2026; Medjkoune 2025 Acta Mat.</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B12</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3D dendritic array stability benchmark</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Largely untested (2D proxies; convection distorts)</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3D benchmark now established (DECLIC-DSI)</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quantitative regime opened</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Medjkoune 2025 Acta Mat. doi:10.1016/j.actamat.2025.120954</w:t>
            </w:r>
          </w:p>
        </w:tc>
      </w:tr>
    </w:tbl>
    <w:p>
      <w:r>
        <w:br w:type="page"/>
      </w:r>
    </w:p>
    <w:p>
      <w:pPr>
        <w:pStyle w:val="Heading1"/>
      </w:pPr>
      <w:r>
        <w:rPr>
          <w:rFonts w:ascii="Arial" w:cs="Arial" w:eastAsia="Arial" w:hAnsi="Arial"/>
          <w:b/>
          <w:bCs/>
          <w:color w:val="1F3864"/>
          <w:sz w:val="36"/>
          <w:szCs w:val="36"/>
        </w:rPr>
        <w:t xml:space="preserve">Section C — Eutectic, Peritectic, and Polyphase / Immiscible (Flemings Ch. 4, 6)</w:t>
      </w:r>
    </w:p>
    <w:p>
      <w:pPr>
        <w:spacing w:after="0" w:before="0"/>
        <w:jc w:val="left"/>
      </w:pPr>
      <w:r>
        <w:rPr>
          <w:rFonts w:ascii="Arial" w:cs="Arial" w:eastAsia="Arial" w:hAnsi="Arial"/>
          <w:b w:val="false"/>
          <w:bCs w:val="false"/>
          <w:i w:val="false"/>
          <w:iCs w:val="false"/>
          <w:color w:val="1C2833"/>
          <w:sz w:val="19"/>
          <w:szCs w:val="19"/>
        </w:rPr>
        <w:t xml:space="preserve">Eutectic and immiscible systems are most dramatically affected by gravity. Even ~1 µm/s convection is sufficient to damp oscillatory eutectic colonies that are clearly observable in µg. Monotectic droplets that macrophase-separate on Earth remain dispersed at 1–2 µm under Marangoni-only forces in space. New morphology classes (LMR eutectic grains, spiral eutectic, core-shell microspheres) emerge without buoyancy-driven flow and cannot be produced on the ground.</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FFF2CC"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C — Eutectic, Peritectic, and Polyphase / Immiscible</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C1</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Jackson-Hunt λ²V = K (2D lamellar eutectic)</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Exponent n ≈ 0.5 (ideal); convection masks deviations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 = 0.484 (HEA Al₀.₉CoCrNi₂.₁); 3→0.4 µm across 0.1–2000 µm/s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2D J-H confirmed in clean µg; convection error ~10–20%</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Xu 2024 Intermetallics; Cao 2025 Materials</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C2</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3D anisotropy-driven eutectic grain morphology</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Isotropic J-H in 2D; 3D grain morphology unresolved</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"Laminated Matrix with Rods" (LMR) — new morphology type</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morphology class inaccessible on ground</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Mohagheghi 2024 MMTA</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C3</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Oscillatory / locked eutectic colonies</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Damped by weak convection (~1 µm/s is enough to disrupt)</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Persistent, clearly observable — instability revealed</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Weak convection (&gt;1 µm/s) suppresses on ground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Akamatsu 2023 npj Microgravity</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C4</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Peritectic coupled growth wavelength selection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Qualitatively reported (TRIS-NPG ISS); mechanism unclear</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Phase-field matches µg; lamellar↔rod via composition predictable</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Quantitative mechanistic prediction now possible</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Rátkai 2024 Acta Mat.; Ludwig 2022 ISS</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C5</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Coupled vs. divorced eutectic (Fe-19Si)</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Divorced (convection redistributes solute, breaks coupling)</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Coupled (diffusion-limited, pattern maintained)</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Morphology switch: divorced ↔ coupled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Hu 2025 Rev. Mater. Res.</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C6</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Eutectic undercooling achieved (Zr-V refractory)</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Ground ~30–80 K typical (container + sedimentation limit)</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253 K with spiral eutectic (CSS)</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~3–8× deeper undercooling accessible</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Wang 2024 Phys. Fluids 36, 042110</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C7</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Spiral / Marangoni-wave coupled eutectic growth</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Not observed on ground (buoyancy overrides Marangoni)</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Present in CSS refractory droplets; Marangoni dominant</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pattern class — inaccessible on ground</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Wang 2024 Phys. Fluids; Liao 2025 Adv. Mater.</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C8</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Monotectic droplet separation (Al-Bi, Fe-Cu)</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Stokes sedimentation dominates — gross macro-phase separation</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Marangoni-only residue — dispersed droplets 1–2 µm</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Sedimentation fully eliminated; droplet size ~100× smaller</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Jiang 2020; Uporov 2024 Intermetallics</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C9</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Core-shell immiscible microsphere formation</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Requires forced stabilization (field/spinning)</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Natural outcome driven by Marangoni flow</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Mechanism isolated — Marangoni sufficient alone</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Chen 2024 JMPT; Wang Li 2019</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C10</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Anomalous eutectic at velocity transitions (Ni-Sn)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Transient — obscured by convection on ground</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Clearly resolved in µg; onset parameters measurable</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Transient state now fully observable and characterizable</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Cao 2025 Materials</w:t>
            </w:r>
          </w:p>
        </w:tc>
      </w:tr>
    </w:tbl>
    <w:p>
      <w:r>
        <w:br w:type="page"/>
      </w:r>
    </w:p>
    <w:p>
      <w:pPr>
        <w:pStyle w:val="Heading1"/>
      </w:pPr>
      <w:r>
        <w:rPr>
          <w:rFonts w:ascii="Arial" w:cs="Arial" w:eastAsia="Arial" w:hAnsi="Arial"/>
          <w:b/>
          <w:bCs/>
          <w:color w:val="1F3864"/>
          <w:sz w:val="36"/>
          <w:szCs w:val="36"/>
        </w:rPr>
        <w:t xml:space="preserve">Section D — Nucleation, Undercooling, and Interface Kinetics (Flemings Ch. 9)</w:t>
      </w:r>
    </w:p>
    <w:p>
      <w:pPr>
        <w:spacing w:after="0" w:before="0"/>
        <w:jc w:val="left"/>
      </w:pPr>
      <w:r>
        <w:rPr>
          <w:rFonts w:ascii="Arial" w:cs="Arial" w:eastAsia="Arial" w:hAnsi="Arial"/>
          <w:b w:val="false"/>
          <w:bCs w:val="false"/>
          <w:i w:val="false"/>
          <w:iCs w:val="false"/>
          <w:color w:val="1C2833"/>
          <w:sz w:val="19"/>
          <w:szCs w:val="19"/>
        </w:rPr>
        <w:t xml:space="preserve">Containerless µg processing (EML/ESL on ISS; CSS) eliminates wall nucleation, allowing undercoolings 2.5–4× deeper than ground levitation for refractory systems (Nb-Si: 437 K; Nb₈₄Si₁₆: 421 K). These deep undercoolings access metastable phases (amorphous BMG, BCC instead of FCC) not accessible on Earth. Nucleation dynamics also change qualitatively: burst-like simultaneous nucleation replaces the continuous scattered nucleation seen on the ground.</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F8CECC"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D — Nucleation, Undercooling, and Interface Kinetics</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D1</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Max undercooling — Nb-Si eutectic (CSS)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Ground levitator ~100–180 K</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437 K (CSS-ESL)</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~2.5× deeper; approaches 0.2 T_L homogeneous limit</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Wang 2024 Angew. Chem. doi:10.1002/ange.202313165</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D2</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Max undercooling — Nb₈₄.₁Si₁₅.₉</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~100 K (ground EML)</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421 K (0.18 T_L)</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~4× deeper</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Chang 2024 Rev. Sci. Instrum. 95, 095103</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D3</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Max undercooling — Zr-Ni-Al-Nb BMG</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Ground-limited by container nucleation</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274 K → 83% amorphous phase fraction</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Metastable amorphization accessible — qualitative new state</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2025 MMTA doi:10.1007/s11661-025-07887-1</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D4</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Undercooling record — Zr₆₄V₃₆ (refractory)</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 — not achievable on ground</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253 K + spiral eutectic pattern</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Previously inaccessible state</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Wang 2024 Phys. Fluids</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D5</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Nucleation kinetics under stirring (Zr₈₀Pt₂₀)</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Convection accelerates nucleation (more site sampling)</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RF stirring slows nucleation — first µg evidence for CFM</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Opposite trend to ground intuition — qualitative reversal</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Gangopadhyay 2025 J. Chem. Phys. 162, 134502</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D6</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Metastable phase selection (Fe-Cr-Ni)</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FCC dominant at typical undercoolings</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BCC selected under deep undercooling (µg enables)</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Phase-selection pathway altered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Herlach 1997 (revived 2024 ISS-EML); Hasan &amp; Choudhuri 2025</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D7</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Recalescence velocity V(ΔT) curve shape</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Often unresolved at high ΔT (convection mixing)</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U-shaped V(ΔT) curve resolved (Zr-Ni-Al; Al-Ni ISS-EML)</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Full kinetics quantifiable for the first time</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Alexandrov 2025 Math. Methods Appl. Sci.</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D8</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Interface response function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Rarely measured in deep undercooling regime</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Becoming quantifiable on CSS (refractory alloys)</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methodology — data previously inaccessible</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Jin 2024 Acta Phys. Sin.; Wang 2024 Adv. Mater.</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D9</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Container-wall heterogeneous nucleation</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Dominant in 1g crucibles — limits ΔT to ~50–100 K</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Eliminated (containerless EML/ESL)</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removal of dominant nucleation pathway</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Herlach 1993, 2007, 2010 (series)</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D10</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Burst vs. continuous nucleation geometry</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Continuous, spatially scattered (convection distributes solute)</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Burst, simultaneous — uniform solute field triggers all nuclei at once</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change in nucleation mode</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Becker 2023 MMTA</w:t>
            </w:r>
          </w:p>
        </w:tc>
      </w:tr>
    </w:tbl>
    <w:p>
      <w:r>
        <w:br w:type="page"/>
      </w:r>
    </w:p>
    <w:p>
      <w:pPr>
        <w:pStyle w:val="Heading1"/>
      </w:pPr>
      <w:r>
        <w:rPr>
          <w:rFonts w:ascii="Arial" w:cs="Arial" w:eastAsia="Arial" w:hAnsi="Arial"/>
          <w:b/>
          <w:bCs/>
          <w:color w:val="1F3864"/>
          <w:sz w:val="36"/>
          <w:szCs w:val="36"/>
        </w:rPr>
        <w:t xml:space="preserve">Section E — Thermophysical Properties, Heat Flow, and Plane-Front Solidification (Flemings Ch. 1, 2, 8)</w:t>
      </w:r>
    </w:p>
    <w:p>
      <w:pPr>
        <w:spacing w:after="0" w:before="0"/>
        <w:jc w:val="left"/>
      </w:pPr>
      <w:r>
        <w:rPr>
          <w:rFonts w:ascii="Arial" w:cs="Arial" w:eastAsia="Arial" w:hAnsi="Arial"/>
          <w:b w:val="false"/>
          <w:bCs w:val="false"/>
          <w:i w:val="false"/>
          <w:iCs w:val="false"/>
          <w:color w:val="1C2833"/>
          <w:sz w:val="19"/>
          <w:szCs w:val="19"/>
        </w:rPr>
        <w:t xml:space="preserve">Buoyancy-driven convection in ground EML/ESL distorts sample shape and induces internal flow, limiting measurement uncertainty for density to 5–10·%, surface tension to 3–8·%, and viscosity to 5–15·%. ISS-EML achieves 5–10× lower uncertainties. The BPS solute boundary layer in plane-front solidification of Al-1.5Ni is fully recovered in µg, validating analytic diffusion theory for the first time. The major open gap is cross-platform validation between ISS-EML (ESA) and CSS (CNSA).</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DAE8FC"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E — Thermophysical Properties, Heat Flow, Plane-Front</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E1</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BPS solute boundary layer (Al-1.5Ni plane front)</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Convection-reduced boundary layer; theory over-predicts ΔC</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Full BPS analytic profile recovered — theory validated</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Analytic diffusion theory validated quantitatively</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Thi 2005 J. Crystal Growth</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E2</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g-jitter effect on BPS boundary layer</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 (steady 1g)</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Sensitive below 10⁻² Hz — periodic destabilization observed</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g-jitter sensitivity regime characterized</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Stelian 2005 J. Cryst. Growth</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E3</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Liquid density measurement uncertainty</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5–10% (ground EML; convection distorts shape)</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±0.4–1% (ISS-EML/ELF)</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~5–10× improvement in precision</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Au study 2023; rare-earth titanate 2024; Vit106a 2026 npj Microgravity</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E4</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Liquid surface tension uncertainty</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3–8% (ground)</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±0.6–2% (ISS-EML)</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~3–10× improvement</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Au 2023; Mohr ISS-EML Part III</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E5</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Liquid viscosity uncertainty</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5–15% (ground; natural convection interferes)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±1.9% (Au); Vogel-Fulcher fit for BMGs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~3–5× improvement</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Au 2023; Vit106a 2026 npj Microgravity</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E6</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Cross-platform validation (ISS vs. CSS)</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NOT YET PERFORMED — systematic comparison missing</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Open gap — no cross-validation exists as of 2026</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CSS dataset Liu 2025/26 Sci. Data; Brillo 2024 (ground only)</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E7</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Evaporation mass loss during EML (FeCrNi)</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Modeled with wide uncertainty (many free parameters)</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Validated via post-flight SEM-EDX in three labs</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Mass-loss model confirmed — modeling uncertainty resolved</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npj Microgravity 2024 doi:10.1038/s41526-024-00416-1</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E8</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Specific heat / emissivity of BMGs</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Ground-limited by container reactions and container nucleation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Vit106a full dataset now available (ISS-EML)</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New benchmark class — first containerless BMG property set</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Vit106a 2026 npj Microgravity doi:10.1038/s41526-026-00572-6</w:t>
            </w:r>
          </w:p>
        </w:tc>
      </w:tr>
    </w:tbl>
    <w:p>
      <w:r>
        <w:br w:type="page"/>
      </w:r>
    </w:p>
    <w:p>
      <w:pPr>
        <w:pStyle w:val="Heading1"/>
      </w:pPr>
      <w:r>
        <w:rPr>
          <w:rFonts w:ascii="Arial" w:cs="Arial" w:eastAsia="Arial" w:hAnsi="Arial"/>
          <w:b/>
          <w:bCs/>
          <w:color w:val="1F3864"/>
          <w:sz w:val="36"/>
          <w:szCs w:val="36"/>
        </w:rPr>
        <w:t xml:space="preserve">Section F — Detached Bridgman and Semiconductor Crystal Quality (Flemings Ch. 2, 9)</w:t>
      </w:r>
    </w:p>
    <w:p>
      <w:pPr>
        <w:spacing w:after="0" w:before="0"/>
        <w:jc w:val="left"/>
      </w:pPr>
      <w:r>
        <w:rPr>
          <w:rFonts w:ascii="Arial" w:cs="Arial" w:eastAsia="Arial" w:hAnsi="Arial"/>
          <w:b w:val="false"/>
          <w:bCs w:val="false"/>
          <w:i w:val="false"/>
          <w:iCs w:val="false"/>
          <w:color w:val="1C2833"/>
          <w:sz w:val="19"/>
          <w:szCs w:val="19"/>
        </w:rPr>
        <w:t xml:space="preserve">Detached Bridgman growth — where the growing crystal separates from the ampoule wall under a 10–100µm gap — occurs naturally in µg because hydrostatic pressure is absent. The result is a 10–50× reduction in dislocation density in GeSi, GaSb, InAsSb, and related semiconductors. A 2026 meta-analysis of 160 crystals grown in microgravity since 1973 found 86·% improved on at least one quality metric. The 2026 CSS growth of InSe eliminated stacking faults and activated intrinsic sliding ferroelectricity, unlocking a functional property inaccessible on Earth.</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E1D5E7"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F — Detached Bridgman and Semiconductor Crystal Quality</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F1</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Crystal detachment from crucible wall</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Rare — suppressed by hydrostatic pressure in liquid</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Natural outcome; 10–100 µm gap forms spontaneously</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change — mechanism reversed</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Duffar 1990 J. Cryst. Growth; Regel &amp; Wilcox 1998</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F2</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Dewetting angle criterion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Ground-workable only with rough crucibles or applied ΔP</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Capillary-only (contact + growth angle &gt; 180°) confirmed</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Clean mechanism isolation — capillarity alone sufficient</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Duffar 1990; Cröll 2009 MRS Bulletin</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F3</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Dislocation density (GeSi, GaSb — historical)</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ground crystal quality</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~10–50× lower in detached-grown crystals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1–1.5 orders of magnitude improvement</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Regel &amp; Wilcox 1998; Volz ISS GeSi</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F4</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Dislocation density — InAsSb CSS 2026</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ground InAsSb</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10× lower (CSS µg growth)</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1 order of magnitude — recent confirmation</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npj Microgravity 2026 doi:10.1038/s41526-026-00581-5</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F5</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Compositional uniformity (InAsSb CSS)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Variable across wafer (convective mixing)</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±0.5 mol% Sb over 11 mm × 2.5 mm</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Near-uniform — composition control qualitatively improved</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npj Microgravity 2026</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F6</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Stacking-fault elimination (InSe CSS)</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Present; masks intrinsic properties</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Eliminated — activates intrinsic sliding ferroelectricity</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property unlock — new physics accessible</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Nature Commun. 2026 doi:10.1038/s41467-026-70520-1</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F7</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Semiconductor quality meta-baseline (160 crystals)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ground quality across diverse alloys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86% improved on ≥1 metric (meta-analysis)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Quantitative meta-answer: strong overall benefit</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Vincent 2024 npj Microgravity doi:10.1038/s41526-024-00410-7</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F8</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High magnetic field (10 T) as µg analog</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N/A (ground only)</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~35% dislocation reduction (partial emulation)</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Ground approximation: achieves ~35% not ~90–99% of µg benefit</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2026 AIP Scilight (unverified peer-reviewed)</w:t>
            </w:r>
          </w:p>
        </w:tc>
      </w:tr>
    </w:tbl>
    <w:p>
      <w:r>
        <w:br w:type="page"/>
      </w:r>
    </w:p>
    <w:p>
      <w:pPr>
        <w:pStyle w:val="Heading1"/>
      </w:pPr>
      <w:r>
        <w:rPr>
          <w:rFonts w:ascii="Arial" w:cs="Arial" w:eastAsia="Arial" w:hAnsi="Arial"/>
          <w:b/>
          <w:bCs/>
          <w:color w:val="1F3864"/>
          <w:sz w:val="36"/>
          <w:szCs w:val="36"/>
        </w:rPr>
        <w:t xml:space="preserve">Section G — Gas Porosity, Bubble Behaviour, and the AM Bridge (Flemings Ch. 10)</w:t>
      </w:r>
    </w:p>
    <w:p>
      <w:pPr>
        <w:spacing w:after="0" w:before="0"/>
        <w:jc w:val="left"/>
      </w:pPr>
      <w:r>
        <w:rPr>
          <w:rFonts w:ascii="Arial" w:cs="Arial" w:eastAsia="Arial" w:hAnsi="Arial"/>
          <w:b w:val="false"/>
          <w:bCs w:val="false"/>
          <w:i w:val="false"/>
          <w:iCs w:val="false"/>
          <w:color w:val="1C2833"/>
          <w:sz w:val="19"/>
          <w:szCs w:val="19"/>
        </w:rPr>
        <w:t xml:space="preserve">Gas bubbles that rise under terrestrial gravity are trapped in µg unless Marangoni gradients provide escape. This mechanism change modestly increases pore retention in µg AM parts but also isolates and quantifies Marangoni-driven bubble dynamics that are otherwise masked by buoyancy. The conceptual bridge between µg solidification physics and AM defect mitigation on Earth is emerging but not yet quantitatively validated.</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FFE6CC"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G — Gas Porosity, Bubble Behaviour, and AM Bridge</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G1</w:t>
            </w:r>
          </w:p>
        </w:tc>
        <w:tc>
          <w:tcPr>
            <w:tcW w:type="dxa" w:w="22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Gas bubble buoyant escape</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Bubbles rise under g; most vent — low porosity retention</w:t>
            </w:r>
          </w:p>
        </w:tc>
        <w:tc>
          <w:tcPr>
            <w:tcW w:type="dxa" w:w="276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Bubbles trapped (no buoyancy) — Marangoni-only escape</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Mechanism change: buoyancy → Marangoni only</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µg porosity literature; Nat. Commun. 2024 pore evolution</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G2</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AM DED pore retention (metallic glass)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Lower than µg (buoyant venting helps)</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49.7 → 53.9% volume fraction (metallic glass AM 1g vs µg)</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Modestly higher pore retention in µg (+4–8% vol)</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Progress in Additive Manufacturing 2025</w:t>
            </w:r>
          </w:p>
        </w:tc>
      </w:tr>
      <w:tr>
        <w:tc>
          <w:tcPr>
            <w:tcW w:type="dxa" w:w="4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G3</w:t>
            </w:r>
          </w:p>
        </w:tc>
        <w:tc>
          <w:tcPr>
            <w:tcW w:type="dxa" w:w="228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Marangoni-driven bubble motion</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Masked by buoyancy — not isolatable</w:t>
            </w:r>
          </w:p>
        </w:tc>
        <w:tc>
          <w:tcPr>
            <w:tcW w:type="dxa" w:w="276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Isolated &amp; quantifiable in µg / AM environment</w:t>
            </w:r>
          </w:p>
        </w:tc>
        <w:tc>
          <w:tcPr>
            <w:tcW w:type="dxa" w:w="1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Quantitative mechanism now explicit</w:t>
            </w:r>
          </w:p>
        </w:tc>
        <w:tc>
          <w:tcPr>
            <w:tcW w:type="dxa" w:w="9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AFAF1"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Nat. Commun. 2024 doi:10.1038/s41467-024-45913-9</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G4</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µg → AM defect-mitigation bridge</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Emerging concept — no full cross-validation yet</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Open linkage — key research gap</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Adv. Eng. Materials 2025 review adem.202501082</w:t>
            </w:r>
          </w:p>
        </w:tc>
      </w:tr>
    </w:tbl>
    <w:p>
      <w:r>
        <w:br w:type="page"/>
      </w:r>
    </w:p>
    <w:p>
      <w:pPr>
        <w:pStyle w:val="Heading1"/>
      </w:pPr>
      <w:r>
        <w:rPr>
          <w:rFonts w:ascii="Arial" w:cs="Arial" w:eastAsia="Arial" w:hAnsi="Arial"/>
          <w:b/>
          <w:bCs/>
          <w:color w:val="1F3864"/>
          <w:sz w:val="36"/>
          <w:szCs w:val="36"/>
        </w:rPr>
        <w:t xml:space="preserve">Section H — Processing–Structure–Property and Mechanical Data (Flemings Ch. 10) — The Persistent Gap</w:t>
      </w:r>
    </w:p>
    <w:p>
      <w:pPr>
        <w:spacing w:after="0" w:before="0"/>
        <w:jc w:val="left"/>
      </w:pPr>
      <w:r>
        <w:rPr>
          <w:rFonts w:ascii="Arial" w:cs="Arial" w:eastAsia="Arial" w:hAnsi="Arial"/>
          <w:b w:val="false"/>
          <w:bCs w:val="false"/>
          <w:i w:val="false"/>
          <w:iCs w:val="false"/>
          <w:color w:val="1C2833"/>
          <w:sz w:val="19"/>
          <w:szCs w:val="19"/>
        </w:rPr>
        <w:t xml:space="preserve">The processing–structure link is now well-established for most phenomenon classes: µg produces finer SDAS, fewer dislocations, narrower spacing distributions, and in semiconductor systems enables entirely new functional properties. What is entirely missing is the structure–property link for engineering mechanical behaviour. No open-literature data exists for tensile strength, fatigue, or creep of metallic alloys solidified in µg. This is the strongest PhD-thesis lever in the field.</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2760"/>
        <w:gridCol w:w="2760"/>
        <w:gridCol w:w="1900"/>
        <w:gridCol w:w="900"/>
        <w:gridCol w:w="2600"/>
      </w:tblGrid>
      <w:tr>
        <w:tc>
          <w:tcPr>
            <w:tcW w:type="dxa" w:w="13680"/>
            <w:gridSpan w:val="7"/>
            <w:tcBorders>
              <w:top w:val="single" w:color="BBBBBB" w:sz="1"/>
              <w:left w:val="single" w:color="BBBBBB" w:sz="1"/>
              <w:bottom w:val="single" w:color="BBBBBB" w:sz="1"/>
              <w:right w:val="single" w:color="BBBBBB" w:sz="1"/>
            </w:tcBorders>
            <w:shd w:fill="F5F5F5"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1F3864"/>
                <w:sz w:val="22"/>
                <w:szCs w:val="22"/>
              </w:rPr>
              <w:t xml:space="preserve">H — Processing–Structure–Property and Mechanical Data</w:t>
            </w:r>
          </w:p>
        </w:tc>
      </w:tr>
      <w:tr>
        <w:trPr>
          <w:tblHeader/>
        </w:trPr>
        <w:tc>
          <w:tcPr>
            <w:tcW w:type="dxa" w:w="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t>
            </w:r>
          </w:p>
        </w:tc>
        <w:tc>
          <w:tcPr>
            <w:tcW w:type="dxa" w:w="22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Phenomenon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1g Prediction / Observation</w:t>
            </w:r>
          </w:p>
        </w:tc>
        <w:tc>
          <w:tcPr>
            <w:tcW w:type="dxa" w:w="2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µg Observation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Magnitude of Gravity Effect</w:t>
            </w:r>
          </w:p>
        </w:tc>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Scale</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Key References</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H1</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Tensile strength of ISS/CSS-solidified alloys</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(published, well-characterized)</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 PUBLISHED DATA — open gap as of April 2026</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Gap remains — strongest PhD-thesis lever</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 (open gap)</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H2</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Fatigue / creep of µg-solidified alloys</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(well-characterized)</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 PUBLISHED DATA</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Gap remains</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 (open gap)</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H3</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Hardness / microindentation</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Ruan 2017 AlAgGe: finer grain → higher H (limited dataset)</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Under-populated — few data points</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Ruan 2017 Acta Mat.; Hu 2025 Fe-19Si</w:t>
            </w:r>
          </w:p>
        </w:tc>
      </w:tr>
      <w:tr>
        <w:tc>
          <w:tcPr>
            <w:tcW w:type="dxa" w:w="4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H4</w:t>
            </w:r>
          </w:p>
        </w:tc>
        <w:tc>
          <w:tcPr>
            <w:tcW w:type="dxa" w:w="22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Semiconductor carrier mobility (µg vs 1g)</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Baseline (well-characterized)</w:t>
            </w:r>
          </w:p>
        </w:tc>
        <w:tc>
          <w:tcPr>
            <w:tcW w:type="dxa" w:w="276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Improved in 86% of 160 crystals (meta-analysis)</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Consistent improvement — aggregate only</w:t>
            </w:r>
          </w:p>
        </w:tc>
        <w:tc>
          <w:tcPr>
            <w:tcW w:type="dxa" w:w="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Vincent 2024 npj Microgravity</w:t>
            </w:r>
          </w:p>
        </w:tc>
      </w:tr>
      <w:tr>
        <w:tc>
          <w:tcPr>
            <w:tcW w:type="dxa" w:w="4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H5</w:t>
            </w:r>
          </w:p>
        </w:tc>
        <w:tc>
          <w:tcPr>
            <w:tcW w:type="dxa" w:w="22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InSe piezo/ferroelectric response (CSS)</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Suppressed by stacking faults — not measurable</w:t>
            </w:r>
          </w:p>
        </w:tc>
        <w:tc>
          <w:tcPr>
            <w:tcW w:type="dxa" w:w="276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High-performance ferroelectric activated by defect elimination</w:t>
            </w:r>
          </w:p>
        </w:tc>
        <w:tc>
          <w:tcPr>
            <w:tcW w:type="dxa" w:w="1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Qualitative property unlock — functional material enabled</w:t>
            </w:r>
          </w:p>
        </w:tc>
        <w:tc>
          <w:tcPr>
            <w:tcW w:type="dxa" w:w="9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Nat. Commun. 2026 doi:10.1038/s41467-026-70520-1</w:t>
            </w:r>
          </w:p>
        </w:tc>
      </w:tr>
      <w:tr>
        <w:tc>
          <w:tcPr>
            <w:tcW w:type="dxa" w:w="4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H6</w:t>
            </w:r>
          </w:p>
        </w:tc>
        <w:tc>
          <w:tcPr>
            <w:tcW w:type="dxa" w:w="22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Grain-size vs. cooling-rate anomaly (Fe-19Si)</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Finer grain expected without convection (standard logic)</w:t>
            </w:r>
          </w:p>
        </w:tc>
        <w:tc>
          <w:tcPr>
            <w:tcW w:type="dxa" w:w="276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LARGER grain in µg (lower effective cooling from no convection)</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Counter-intuitive — unresolved mechanistic question</w:t>
            </w:r>
          </w:p>
        </w:tc>
        <w:tc>
          <w:tcPr>
            <w:tcW w:type="dxa" w:w="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2E75B6"/>
                <w:sz w:val="16"/>
                <w:szCs w:val="16"/>
              </w:rPr>
              <w:t xml:space="preserv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5"/>
                <w:szCs w:val="15"/>
              </w:rPr>
              <w:t xml:space="preserve">Hu 2025 Rev. Mater. Res.</w:t>
            </w:r>
          </w:p>
        </w:tc>
      </w:tr>
    </w:tbl>
    <w:p>
      <w:r>
        <w:br w:type="page"/>
      </w:r>
    </w:p>
    <w:p>
      <w:pPr>
        <w:pStyle w:val="Heading1"/>
      </w:pPr>
      <w:r>
        <w:rPr>
          <w:rFonts w:ascii="Arial" w:cs="Arial" w:eastAsia="Arial" w:hAnsi="Arial"/>
          <w:b/>
          <w:bCs/>
          <w:color w:val="1F3864"/>
          <w:sz w:val="36"/>
          <w:szCs w:val="36"/>
        </w:rPr>
        <w:t xml:space="preserve">Section 11 — Research Gaps</w:t>
      </w:r>
    </w:p>
    <w:p>
      <w:pPr>
        <w:spacing w:after="0" w:before="0"/>
        <w:jc w:val="left"/>
      </w:pPr>
      <w:r>
        <w:rPr>
          <w:rFonts w:ascii="Arial" w:cs="Arial" w:eastAsia="Arial" w:hAnsi="Arial"/>
          <w:b w:val="false"/>
          <w:bCs w:val="false"/>
          <w:i w:val="false"/>
          <w:iCs w:val="false"/>
          <w:color w:val="1C2833"/>
          <w:sz w:val="19"/>
          <w:szCs w:val="19"/>
        </w:rPr>
        <w:t xml:space="preserve">The following gaps represent areas where data is missing, cross-validation is lacking, or the field has identified a need that has not been met as of April 2026. They are ordered by priority.</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00"/>
        <w:gridCol w:w="2400"/>
        <w:gridCol w:w="2600"/>
        <w:gridCol w:w="218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ID</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Domain</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Gap Description</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Why Critical</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Suggested Approach</w:t>
            </w:r>
          </w:p>
        </w:tc>
        <w:tc>
          <w:tcPr>
            <w:tcW w:type="dxa" w:w="21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Priority</w:t>
            </w:r>
          </w:p>
        </w:tc>
      </w:tr>
      <w:tr>
        <w:tc>
          <w:tcPr>
            <w:tcW w:type="dxa" w:w="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RG-1</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Mechanical Properties</w:t>
            </w:r>
          </w:p>
        </w:tc>
        <w:tc>
          <w:tcPr>
            <w:tcW w:type="dxa" w:w="40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 tensile strength, fatigue, or creep data for ISS/CSS-solidified metallic alloys in the open literature (as of April 2026)</w:t>
            </w:r>
          </w:p>
        </w:tc>
        <w:tc>
          <w:tcPr>
            <w:tcW w:type="dxa" w:w="24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Impossible to assess structural utility of µg-processed alloys without mechanical data. The processing–structure link is complete; structure–property is entirely missing.</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Mechanical test program on returned ISS samples (CETSOL, MICAST); standardized mini-tensile specimens from CSS bulk alloys</w:t>
            </w:r>
          </w:p>
        </w:tc>
        <w:tc>
          <w:tcPr>
            <w:tcW w:type="dxa" w:w="21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C2833"/>
                <w:sz w:val="17"/>
                <w:szCs w:val="17"/>
              </w:rPr>
              <w:t xml:space="preserve">★★★ Critical</w:t>
            </w:r>
          </w:p>
        </w:tc>
      </w:tr>
      <w:tr>
        <w:tc>
          <w:tcPr>
            <w:tcW w:type="dxa" w:w="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RG-2</w:t>
            </w:r>
          </w:p>
        </w:tc>
        <w:tc>
          <w:tcPr>
            <w:tcW w:type="dxa" w:w="19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Thermophysical Cross-Platform</w:t>
            </w:r>
          </w:p>
        </w:tc>
        <w:tc>
          <w:tcPr>
            <w:tcW w:type="dxa" w:w="40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No systematic ISS-EML vs. CSS cross-validation for density, surface tension, viscosity — both platforms operate but have never published a side-by-side comparison on the same alloy</w:t>
            </w:r>
          </w:p>
        </w:tc>
        <w:tc>
          <w:tcPr>
            <w:tcW w:type="dxa" w:w="24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Without cross-validation, systematic errors between platforms remain unquantified; databases from ESA and CNSA cannot be merged with confidence.</w:t>
            </w:r>
          </w:p>
        </w:tc>
        <w:tc>
          <w:tcPr>
            <w:tcW w:type="dxa" w:w="260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Joint ISS/CSS experiment on reference alloy (e.g., Au, Fe-Ni); publish with full uncertainty budgets</w:t>
            </w:r>
          </w:p>
        </w:tc>
        <w:tc>
          <w:tcPr>
            <w:tcW w:type="dxa" w:w="2180"/>
            <w:tcBorders>
              <w:top w:val="single" w:color="BBBBBB" w:sz="1"/>
              <w:left w:val="single" w:color="BBBBBB" w:sz="1"/>
              <w:bottom w:val="single" w:color="BBBBBB" w:sz="1"/>
              <w:right w:val="single" w:color="BBBBBB" w:sz="1"/>
            </w:tcBorders>
            <w:shd w:fill="FDEDEC"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1C2833"/>
                <w:sz w:val="17"/>
                <w:szCs w:val="17"/>
              </w:rPr>
              <w:t xml:space="preserve">★★★ Critical</w:t>
            </w:r>
          </w:p>
        </w:tc>
      </w:tr>
      <w:tr>
        <w:tc>
          <w:tcPr>
            <w:tcW w:type="dxa" w:w="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RG-3</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G-Jitter Thresholds (Broad)</w:t>
            </w:r>
          </w:p>
        </w:tc>
        <w:tc>
          <w:tcPr>
            <w:tcW w:type="dxa" w:w="4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Only one empirical g-jitter threshold published (Al-20Cu, ±0.04g at parabolic-flight frequencies). No data for eutectic, undercooled, or semiconductor systems.</w:t>
            </w:r>
          </w:p>
        </w:tc>
        <w:tc>
          <w:tcPr>
            <w:tcW w:type="dxa" w:w="24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ISS vibration spectrum (0.01–100 Hz) affects all experiments differently; thresholds needed per system type to de-risk future missions.</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Systematic parabolic-flight campaign varying alloy class, frequency, and amplitude; compare with DEM/CFD models</w:t>
            </w:r>
          </w:p>
        </w:tc>
        <w:tc>
          <w:tcPr>
            <w:tcW w:type="dxa" w:w="21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High</w:t>
            </w:r>
          </w:p>
        </w:tc>
      </w:tr>
      <w:tr>
        <w:tc>
          <w:tcPr>
            <w:tcW w:type="dxa" w:w="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RG-4</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AM–Microgravity Linkage</w:t>
            </w:r>
          </w:p>
        </w:tc>
        <w:tc>
          <w:tcPr>
            <w:tcW w:type="dxa" w:w="4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Conceptual bridge between µg solidification physics and AM defect mitigation exists but no quantitative cross-validation published</w:t>
            </w:r>
          </w:p>
        </w:tc>
        <w:tc>
          <w:tcPr>
            <w:tcW w:type="dxa" w:w="24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AM in space and on Earth can benefit from µg-derived insights into Marangoni-driven pore elimination, but the link is asserted, not demonstrated.</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Targeted melt-pool µg experiment replicating AM thermal gradients; compare pore population statistics against AM ground controls</w:t>
            </w:r>
          </w:p>
        </w:tc>
        <w:tc>
          <w:tcPr>
            <w:tcW w:type="dxa" w:w="21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High</w:t>
            </w:r>
          </w:p>
        </w:tc>
      </w:tr>
      <w:tr>
        <w:tc>
          <w:tcPr>
            <w:tcW w:type="dxa" w:w="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RG-5</w:t>
            </w:r>
          </w:p>
        </w:tc>
        <w:tc>
          <w:tcPr>
            <w:tcW w:type="dxa" w:w="1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Semiconductor Property Database</w:t>
            </w:r>
          </w:p>
        </w:tc>
        <w:tc>
          <w:tcPr>
            <w:tcW w:type="dxa" w:w="4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86% of µg-grown semiconductors improve on ≥1 metric (Vincent 2024 meta-analysis), but improvement is measured on heterogeneous metrics across 160 crystals from different eras</w:t>
            </w:r>
          </w:p>
        </w:tc>
        <w:tc>
          <w:tcPr>
            <w:tcW w:type="dxa" w:w="24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Comparison conflates different measurements, alloy systems, and flight hardware. A controlled, standardized dataset is needed.</w:t>
            </w:r>
          </w:p>
        </w:tc>
        <w:tc>
          <w:tcPr>
            <w:tcW w:type="dxa" w:w="2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Standardized post-flight characterization protocol (XRD rocking curve, etch-pit density, Hall mobility) applied uniformly to all future CSS/ISS semiconductor samples</w:t>
            </w:r>
          </w:p>
        </w:tc>
        <w:tc>
          <w:tcPr>
            <w:tcW w:type="dxa" w:w="21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High</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RG-6</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Macrosegregation in 3D Printed Parts (µg)</w:t>
            </w:r>
          </w:p>
        </w:tc>
        <w:tc>
          <w:tcPr>
            <w:tcW w:type="dxa" w:w="4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Macrosegregation characterization of AM parts produced in µg (e.g., ISS) is essentially absent from literature</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Unknown whether µg-processed AM material retains the segregation benefits seen in conventionally solidified ingots.</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Micro-XRF and EPMA mapping of AM parts returned from ISS; compare with identical ground-processed control</w:t>
            </w:r>
          </w:p>
        </w:tc>
        <w:tc>
          <w:tcPr>
            <w:tcW w:type="dxa" w:w="21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Moderate</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RG-7</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Peritectic &amp; Monotectic Phase Diagrams Under µg</w:t>
            </w:r>
          </w:p>
        </w:tc>
        <w:tc>
          <w:tcPr>
            <w:tcW w:type="dxa" w:w="4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Thermodynamic reassessment of phase diagram boundaries in µg — whether convection-masked metastability shifts apparent liquidus/solidus — has not been performed</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Phase field models use 1g-derived thermodynamic databases; if µg shifts effective boundaries (metastable phases more accessible), models need recalibration.</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Calorimetric DSC on returned µg-solidified samples; compare with CALPHAD predictions</w:t>
            </w:r>
          </w:p>
        </w:tc>
        <w:tc>
          <w:tcPr>
            <w:tcW w:type="dxa" w:w="21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Moderate</w:t>
            </w:r>
          </w:p>
        </w:tc>
      </w:tr>
      <w:tr>
        <w:tc>
          <w:tcPr>
            <w:tcW w:type="dxa" w:w="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RG-8</w:t>
            </w:r>
          </w:p>
        </w:tc>
        <w:tc>
          <w:tcPr>
            <w:tcW w:type="dxa" w:w="19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Counter-Intuitive Grain Coarsening (Fe-19Si)</w:t>
            </w:r>
          </w:p>
        </w:tc>
        <w:tc>
          <w:tcPr>
            <w:tcW w:type="dxa" w:w="4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Fe-19Si shows LARGER grains in µg than on ground — opposite to standard expectation (Hu 2025). Mechanism unresolved.</w:t>
            </w:r>
          </w:p>
        </w:tc>
        <w:tc>
          <w:tcPr>
            <w:tcW w:type="dxa" w:w="24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If convection suppression reduces effective cooling rate more than it reduces coarsening driving force, standard microstructure scaling laws need revision for µg design.</w:t>
            </w:r>
          </w:p>
        </w:tc>
        <w:tc>
          <w:tcPr>
            <w:tcW w:type="dxa" w:w="2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Coupled thermal-microstructure model for Fe-Si in µg; DSC calibration of cooling rate in CSS; compare with PF simulation</w:t>
            </w:r>
          </w:p>
        </w:tc>
        <w:tc>
          <w:tcPr>
            <w:tcW w:type="dxa" w:w="21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center"/>
            </w:pPr>
            <w:r>
              <w:rPr>
                <w:rFonts w:ascii="Arial" w:cs="Arial" w:eastAsia="Arial" w:hAnsi="Arial"/>
                <w:b w:val="false"/>
                <w:bCs w:val="false"/>
                <w:i w:val="false"/>
                <w:iCs w:val="false"/>
                <w:color w:val="1C2833"/>
                <w:sz w:val="17"/>
                <w:szCs w:val="17"/>
              </w:rPr>
              <w:t xml:space="preserve">★ Moderate</w:t>
            </w:r>
          </w:p>
        </w:tc>
      </w:tr>
    </w:tbl>
    <w:p>
      <w:r>
        <w:br w:type="page"/>
      </w:r>
    </w:p>
    <w:p>
      <w:pPr>
        <w:pStyle w:val="Heading1"/>
      </w:pPr>
      <w:r>
        <w:rPr>
          <w:rFonts w:ascii="Arial" w:cs="Arial" w:eastAsia="Arial" w:hAnsi="Arial"/>
          <w:b/>
          <w:bCs/>
          <w:color w:val="1F3864"/>
          <w:sz w:val="36"/>
          <w:szCs w:val="36"/>
        </w:rPr>
        <w:t xml:space="preserve">Section 12 — Open Questions</w:t>
      </w:r>
    </w:p>
    <w:p>
      <w:pPr>
        <w:spacing w:after="0" w:before="0"/>
        <w:jc w:val="left"/>
      </w:pPr>
      <w:r>
        <w:rPr>
          <w:rFonts w:ascii="Arial" w:cs="Arial" w:eastAsia="Arial" w:hAnsi="Arial"/>
          <w:b w:val="false"/>
          <w:bCs w:val="false"/>
          <w:i w:val="false"/>
          <w:iCs w:val="false"/>
          <w:color w:val="1C2833"/>
          <w:sz w:val="19"/>
          <w:szCs w:val="19"/>
        </w:rPr>
        <w:t xml:space="preserve">The following questions arise from the comparison table and remain unanswered in current literature. They are suitable as research directions for PhD theses, grant proposals, and future ISS/CSS experiment design.</w:t>
      </w:r>
    </w:p>
    <w:p>
      <w:pPr>
        <w:spacing w:after="160" w:before="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00"/>
        <w:gridCol w:w="1500"/>
        <w:gridCol w:w="3880"/>
      </w:tblGrid>
      <w:tr>
        <w:trPr>
          <w:tblHeader/>
        </w:trPr>
        <w:tc>
          <w:tcPr>
            <w:tcW w:type="dxa" w:w="7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OQ #</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Domain</w:t>
            </w:r>
          </w:p>
        </w:tc>
        <w:tc>
          <w:tcPr>
            <w:tcW w:type="dxa" w:w="6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Open Question</w:t>
            </w:r>
          </w:p>
        </w:tc>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Table Ref.</w:t>
            </w:r>
          </w:p>
        </w:tc>
        <w:tc>
          <w:tcPr>
            <w:tcW w:type="dxa" w:w="38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pPr>
              <w:spacing w:after="0" w:before="0"/>
              <w:jc w:val="center"/>
            </w:pPr>
            <w:r>
              <w:rPr>
                <w:rFonts w:ascii="Arial" w:cs="Arial" w:eastAsia="Arial" w:hAnsi="Arial"/>
                <w:b/>
                <w:bCs/>
                <w:i w:val="false"/>
                <w:iCs w:val="false"/>
                <w:color w:val="FFFFFF"/>
                <w:sz w:val="18"/>
                <w:szCs w:val="18"/>
              </w:rPr>
              <w:t xml:space="preserve">Type of Work Needed</w:t>
            </w:r>
          </w:p>
        </w:tc>
      </w:tr>
      <w:tr>
        <w:tc>
          <w:tcPr>
            <w:tcW w:type="dxa" w:w="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OQ-1</w:t>
            </w:r>
          </w:p>
        </w:tc>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Dendritic Growth</w:t>
            </w:r>
          </w:p>
        </w:tc>
        <w:tc>
          <w:tcPr>
            <w:tcW w:type="dxa" w:w="6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Does the Alexandrov (2026) non-paraboloid tip correction fully resolve the IDGE tip-velocity anomaly, or is there a residual kinetic coefficient discrepancy not accessible in µg?</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B7</w:t>
            </w:r>
          </w:p>
        </w:tc>
        <w:tc>
          <w:tcPr>
            <w:tcW w:type="dxa" w:w="38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Theory</w:t>
            </w:r>
          </w:p>
        </w:tc>
      </w:tr>
      <w:tr>
        <w:tc>
          <w:tcPr>
            <w:tcW w:type="dxa" w:w="7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OQ-2</w:t>
            </w:r>
          </w:p>
        </w:tc>
        <w:tc>
          <w:tcPr>
            <w:tcW w:type="dxa" w:w="1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Nucleation Kinetics</w:t>
            </w:r>
          </w:p>
        </w:tc>
        <w:tc>
          <w:tcPr>
            <w:tcW w:type="dxa" w:w="6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Does RF stirring universally slow nucleation in supercooled melts (CFM), or is this alloy-specific to Zr₈₀Pt₂₀? What is the stirring-rate threshold?</w:t>
            </w:r>
          </w:p>
        </w:tc>
        <w:tc>
          <w:tcPr>
            <w:tcW w:type="dxa" w:w="1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D5</w:t>
            </w:r>
          </w:p>
        </w:tc>
        <w:tc>
          <w:tcPr>
            <w:tcW w:type="dxa" w:w="38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Experiment</w:t>
            </w:r>
          </w:p>
        </w:tc>
      </w:tr>
      <w:tr>
        <w:tc>
          <w:tcPr>
            <w:tcW w:type="dxa" w:w="7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OQ-3</w:t>
            </w:r>
          </w:p>
        </w:tc>
        <w:tc>
          <w:tcPr>
            <w:tcW w:type="dxa" w:w="1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Undercooling Limits</w:t>
            </w:r>
          </w:p>
        </w:tc>
        <w:tc>
          <w:tcPr>
            <w:tcW w:type="dxa" w:w="60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What sets the practical ceiling for undercooling on CSS — is it impurity level, cooling rate, or a fundamental thermodynamic limit approaching 0.2 T_L?</w:t>
            </w:r>
          </w:p>
        </w:tc>
        <w:tc>
          <w:tcPr>
            <w:tcW w:type="dxa" w:w="1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D1–D4</w:t>
            </w:r>
          </w:p>
        </w:tc>
        <w:tc>
          <w:tcPr>
            <w:tcW w:type="dxa" w:w="38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Theory + Exp.</w:t>
            </w:r>
          </w:p>
        </w:tc>
      </w:tr>
      <w:tr>
        <w:tc>
          <w:tcPr>
            <w:tcW w:type="dxa" w:w="7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OQ-4</w:t>
            </w:r>
          </w:p>
        </w:tc>
        <w:tc>
          <w:tcPr>
            <w:tcW w:type="dxa" w:w="16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CET in 3D</w:t>
            </w:r>
          </w:p>
        </w:tc>
        <w:tc>
          <w:tcPr>
            <w:tcW w:type="dxa" w:w="60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Is CET truly absent in µg directional solidification of non-grain-refined alloys, or does it occur much deeper in the mushy zone than X-ray can image?</w:t>
            </w:r>
          </w:p>
        </w:tc>
        <w:tc>
          <w:tcPr>
            <w:tcW w:type="dxa" w:w="15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B4</w:t>
            </w:r>
          </w:p>
        </w:tc>
        <w:tc>
          <w:tcPr>
            <w:tcW w:type="dxa" w:w="388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Experiment</w:t>
            </w:r>
          </w:p>
        </w:tc>
      </w:tr>
      <w:tr>
        <w:tc>
          <w:tcPr>
            <w:tcW w:type="dxa" w:w="7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OQ-5</w:t>
            </w:r>
          </w:p>
        </w:tc>
        <w:tc>
          <w:tcPr>
            <w:tcW w:type="dxa" w:w="1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Phase Field Validity</w:t>
            </w:r>
          </w:p>
        </w:tc>
        <w:tc>
          <w:tcPr>
            <w:tcW w:type="dxa" w:w="6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Are phase-field simulations validated only for SCN and Al-Cu, or can they be extended to HEA eutectic systems (e.g., Al₀.₉CoCrNi₂.₁) using µg benchmarks?</w:t>
            </w:r>
          </w:p>
        </w:tc>
        <w:tc>
          <w:tcPr>
            <w:tcW w:type="dxa" w:w="1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B11, C1</w:t>
            </w:r>
          </w:p>
        </w:tc>
        <w:tc>
          <w:tcPr>
            <w:tcW w:type="dxa" w:w="38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Modeling</w:t>
            </w:r>
          </w:p>
        </w:tc>
      </w:tr>
      <w:tr>
        <w:tc>
          <w:tcPr>
            <w:tcW w:type="dxa" w:w="7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OQ-6</w:t>
            </w:r>
          </w:p>
        </w:tc>
        <w:tc>
          <w:tcPr>
            <w:tcW w:type="dxa" w:w="16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Marangoni vs. Buoyancy Crossover</w:t>
            </w:r>
          </w:p>
        </w:tc>
        <w:tc>
          <w:tcPr>
            <w:tcW w:type="dxa" w:w="60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At what exact gravity level (between 10⁻⁴g and 1g) does Marangoni flow begin to dominate over buoyancy in a typical metallic melt? Is it alloy-class-dependent?</w:t>
            </w:r>
          </w:p>
        </w:tc>
        <w:tc>
          <w:tcPr>
            <w:tcW w:type="dxa" w:w="15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C7–C9, G1</w:t>
            </w:r>
          </w:p>
        </w:tc>
        <w:tc>
          <w:tcPr>
            <w:tcW w:type="dxa" w:w="388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Theory + Exp.</w:t>
            </w:r>
          </w:p>
        </w:tc>
      </w:tr>
      <w:tr>
        <w:tc>
          <w:tcPr>
            <w:tcW w:type="dxa" w:w="7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OQ-7</w:t>
            </w:r>
          </w:p>
        </w:tc>
        <w:tc>
          <w:tcPr>
            <w:tcW w:type="dxa" w:w="1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Semiconductor Yield</w:t>
            </w:r>
          </w:p>
        </w:tc>
        <w:tc>
          <w:tcPr>
            <w:tcW w:type="dxa" w:w="6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What fraction of the improvement in semiconductor crystals grown in µg is attributable to containerless processing (no wall nucleation) vs. suppressed convection per se?</w:t>
            </w:r>
          </w:p>
        </w:tc>
        <w:tc>
          <w:tcPr>
            <w:tcW w:type="dxa" w:w="1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F1–F7</w:t>
            </w:r>
          </w:p>
        </w:tc>
        <w:tc>
          <w:tcPr>
            <w:tcW w:type="dxa" w:w="38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Controlled Exp.</w:t>
            </w:r>
          </w:p>
        </w:tc>
      </w:tr>
      <w:tr>
        <w:tc>
          <w:tcPr>
            <w:tcW w:type="dxa" w:w="7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OQ-8</w:t>
            </w:r>
          </w:p>
        </w:tc>
        <w:tc>
          <w:tcPr>
            <w:tcW w:type="dxa" w:w="16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Mechanical Property Scaling</w:t>
            </w:r>
          </w:p>
        </w:tc>
        <w:tc>
          <w:tcPr>
            <w:tcW w:type="dxa" w:w="60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If µg produces finer SDAS and fewer dislocations, what is the quantitative Hall-Petch or Orowan strengthening gain for engineering alloy systems?</w:t>
            </w:r>
          </w:p>
        </w:tc>
        <w:tc>
          <w:tcPr>
            <w:tcW w:type="dxa" w:w="150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H1–H3</w:t>
            </w:r>
          </w:p>
        </w:tc>
        <w:tc>
          <w:tcPr>
            <w:tcW w:type="dxa" w:w="3880"/>
            <w:tcBorders>
              <w:top w:val="single" w:color="BBBBBB" w:sz="1"/>
              <w:left w:val="single" w:color="BBBBBB" w:sz="1"/>
              <w:bottom w:val="single" w:color="BBBBBB" w:sz="1"/>
              <w:right w:val="single" w:color="BBBBBB" w:sz="1"/>
            </w:tcBorders>
            <w:shd w:fill="F4ECF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Experiment</w:t>
            </w:r>
          </w:p>
        </w:tc>
      </w:tr>
      <w:tr>
        <w:tc>
          <w:tcPr>
            <w:tcW w:type="dxa" w:w="7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OQ-9</w:t>
            </w:r>
          </w:p>
        </w:tc>
        <w:tc>
          <w:tcPr>
            <w:tcW w:type="dxa" w:w="16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AM in Space</w:t>
            </w:r>
          </w:p>
        </w:tc>
        <w:tc>
          <w:tcPr>
            <w:tcW w:type="dxa" w:w="60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Can µg-derived insights on Marangoni-driven pore elimination be used to design improved process parameters for AM on Earth, or is the physics too context-specific?</w:t>
            </w:r>
          </w:p>
        </w:tc>
        <w:tc>
          <w:tcPr>
            <w:tcW w:type="dxa" w:w="150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G3–G4</w:t>
            </w:r>
          </w:p>
        </w:tc>
        <w:tc>
          <w:tcPr>
            <w:tcW w:type="dxa" w:w="3880"/>
            <w:tcBorders>
              <w:top w:val="single" w:color="BBBBBB" w:sz="1"/>
              <w:left w:val="single" w:color="BBBBBB" w:sz="1"/>
              <w:bottom w:val="single" w:color="BBBBBB" w:sz="1"/>
              <w:right w:val="single" w:color="BBBBBB" w:sz="1"/>
            </w:tcBorders>
            <w:shd w:fill="E8F8F5"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Applied Research</w:t>
            </w:r>
          </w:p>
        </w:tc>
      </w:tr>
      <w:tr>
        <w:tc>
          <w:tcPr>
            <w:tcW w:type="dxa" w:w="7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8"/>
                <w:szCs w:val="18"/>
              </w:rPr>
              <w:t xml:space="preserve">OQ-10</w:t>
            </w:r>
          </w:p>
        </w:tc>
        <w:tc>
          <w:tcPr>
            <w:tcW w:type="dxa" w:w="16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C2833"/>
                <w:sz w:val="17"/>
                <w:szCs w:val="17"/>
              </w:rPr>
              <w:t xml:space="preserve">Metastable Phases</w:t>
            </w:r>
          </w:p>
        </w:tc>
        <w:tc>
          <w:tcPr>
            <w:tcW w:type="dxa" w:w="60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BMG formation (Zr-Ni-Al-Nb; 83% amorphous in µg) raises the question: can µg containerless processing enable bulk metallic glasses of alloy compositions that are not glass-forming on Earth?</w:t>
            </w:r>
          </w:p>
        </w:tc>
        <w:tc>
          <w:tcPr>
            <w:tcW w:type="dxa" w:w="15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iCs/>
                <w:color w:val="1C2833"/>
                <w:sz w:val="17"/>
                <w:szCs w:val="17"/>
              </w:rPr>
              <w:t xml:space="preserve">D3, D6</w:t>
            </w:r>
          </w:p>
        </w:tc>
        <w:tc>
          <w:tcPr>
            <w:tcW w:type="dxa" w:w="388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C2833"/>
                <w:sz w:val="17"/>
                <w:szCs w:val="17"/>
              </w:rPr>
              <w:t xml:space="preserve">Materials Design</w:t>
            </w:r>
          </w:p>
        </w:tc>
      </w:tr>
    </w:tbl>
    <w:p>
      <w:r>
        <w:br w:type="page"/>
      </w:r>
    </w:p>
    <w:p>
      <w:pPr>
        <w:pStyle w:val="Heading1"/>
      </w:pPr>
      <w:r>
        <w:rPr>
          <w:rFonts w:ascii="Arial" w:cs="Arial" w:eastAsia="Arial" w:hAnsi="Arial"/>
          <w:b/>
          <w:bCs/>
          <w:color w:val="1F3864"/>
          <w:sz w:val="36"/>
          <w:szCs w:val="36"/>
        </w:rPr>
        <w:t xml:space="preserve">Section 13 — Key References</w:t>
      </w:r>
    </w:p>
    <w:p>
      <w:pPr>
        <w:spacing w:after="0" w:before="0"/>
        <w:jc w:val="left"/>
      </w:pPr>
      <w:r>
        <w:rPr>
          <w:rFonts w:ascii="Arial" w:cs="Arial" w:eastAsia="Arial" w:hAnsi="Arial"/>
          <w:b w:val="false"/>
          <w:bCs w:val="false"/>
          <w:i/>
          <w:iCs/>
          <w:color w:val="1C2833"/>
          <w:sz w:val="19"/>
          <w:szCs w:val="19"/>
        </w:rPr>
        <w:t xml:space="preserve">Primary references (2024–26, with foundational anchors). Full citations in microgravity_solidification_deep_research_2026.md.</w:t>
      </w:r>
    </w:p>
    <w:p>
      <w:pPr>
        <w:spacing w:after="160" w:before="0"/>
      </w:pPr>
    </w:p>
    <w:p>
      <w:pPr>
        <w:pStyle w:val="ListParagraph"/>
        <w:numPr>
          <w:ilvl w:val="0"/>
          <w:numId w:val="2"/>
        </w:numPr>
        <w:spacing w:after="40" w:before="40"/>
      </w:pPr>
      <w:r>
        <w:rPr>
          <w:rFonts w:ascii="Arial" w:cs="Arial" w:eastAsia="Arial" w:hAnsi="Arial"/>
          <w:sz w:val="17"/>
          <w:szCs w:val="17"/>
        </w:rPr>
        <w:t xml:space="preserve">Alexandrov, D.V. et al. (2026). Ice/metal dendrite theory, non-paraboloid correction. Acta Materialia. doi:10.1016/j.actamat.2026.000650</w:t>
      </w:r>
    </w:p>
    <w:p>
      <w:pPr>
        <w:pStyle w:val="ListParagraph"/>
        <w:numPr>
          <w:ilvl w:val="0"/>
          <w:numId w:val="2"/>
        </w:numPr>
        <w:spacing w:after="40" w:before="40"/>
      </w:pPr>
      <w:r>
        <w:rPr>
          <w:rFonts w:ascii="Arial" w:cs="Arial" w:eastAsia="Arial" w:hAnsi="Arial"/>
          <w:sz w:val="17"/>
          <w:szCs w:val="17"/>
        </w:rPr>
        <w:t xml:space="preserve">Akamatsu, S. et al. (2023). Microgravity studies of solidification patterns in model transparent alloys onboard the ISS. npj Microgravity 9, 61.</w:t>
      </w:r>
    </w:p>
    <w:p>
      <w:pPr>
        <w:pStyle w:val="ListParagraph"/>
        <w:numPr>
          <w:ilvl w:val="0"/>
          <w:numId w:val="2"/>
        </w:numPr>
        <w:spacing w:after="40" w:before="40"/>
      </w:pPr>
      <w:r>
        <w:rPr>
          <w:rFonts w:ascii="Arial" w:cs="Arial" w:eastAsia="Arial" w:hAnsi="Arial"/>
          <w:sz w:val="17"/>
          <w:szCs w:val="17"/>
        </w:rPr>
        <w:t xml:space="preserve">Becker, M. et al. (2023). Nucleation and equiaxed dendrite growth in µg and on Earth (MASER-14). MMTA. doi:10.1007/s11661-023-07092-0</w:t>
      </w:r>
    </w:p>
    <w:p>
      <w:pPr>
        <w:pStyle w:val="ListParagraph"/>
        <w:numPr>
          <w:ilvl w:val="0"/>
          <w:numId w:val="2"/>
        </w:numPr>
        <w:spacing w:after="40" w:before="40"/>
      </w:pPr>
      <w:r>
        <w:rPr>
          <w:rFonts w:ascii="Arial" w:cs="Arial" w:eastAsia="Arial" w:hAnsi="Arial"/>
          <w:sz w:val="17"/>
          <w:szCs w:val="17"/>
        </w:rPr>
        <w:t xml:space="preserve">Cao, S. et al. (2025). Anomalous eutectic formation in Ni-Sn under µg. Materials.</w:t>
      </w:r>
    </w:p>
    <w:p>
      <w:pPr>
        <w:pStyle w:val="ListParagraph"/>
        <w:numPr>
          <w:ilvl w:val="0"/>
          <w:numId w:val="2"/>
        </w:numPr>
        <w:spacing w:after="40" w:before="40"/>
      </w:pPr>
      <w:r>
        <w:rPr>
          <w:rFonts w:ascii="Arial" w:cs="Arial" w:eastAsia="Arial" w:hAnsi="Arial"/>
          <w:sz w:val="17"/>
          <w:szCs w:val="17"/>
        </w:rPr>
        <w:t xml:space="preserve">Chang, J. et al. (2024). Remarkable undercooling of Nb84.1Si15.9. Rev. Sci. Instrum. 95, 095103.</w:t>
      </w:r>
    </w:p>
    <w:p>
      <w:pPr>
        <w:pStyle w:val="ListParagraph"/>
        <w:numPr>
          <w:ilvl w:val="0"/>
          <w:numId w:val="2"/>
        </w:numPr>
        <w:spacing w:after="40" w:before="40"/>
      </w:pPr>
      <w:r>
        <w:rPr>
          <w:rFonts w:ascii="Arial" w:cs="Arial" w:eastAsia="Arial" w:hAnsi="Arial"/>
          <w:sz w:val="17"/>
          <w:szCs w:val="17"/>
        </w:rPr>
        <w:t xml:space="preserve">Chen, Q. et al. (2025). Gravity and process factors on dendrite growth, CET, and segregation. JOM. doi:10.1007/s11837-025-07956-1</w:t>
      </w:r>
    </w:p>
    <w:p>
      <w:pPr>
        <w:pStyle w:val="ListParagraph"/>
        <w:numPr>
          <w:ilvl w:val="0"/>
          <w:numId w:val="2"/>
        </w:numPr>
        <w:spacing w:after="40" w:before="40"/>
      </w:pPr>
      <w:r>
        <w:rPr>
          <w:rFonts w:ascii="Arial" w:cs="Arial" w:eastAsia="Arial" w:hAnsi="Arial"/>
          <w:sz w:val="17"/>
          <w:szCs w:val="17"/>
        </w:rPr>
        <w:t xml:space="preserve">Flemings, M.C. (1974). Solidification Processing. McGraw-Hill. [Foundational anchor for all chapter codes]</w:t>
      </w:r>
    </w:p>
    <w:p>
      <w:pPr>
        <w:pStyle w:val="ListParagraph"/>
        <w:numPr>
          <w:ilvl w:val="0"/>
          <w:numId w:val="2"/>
        </w:numPr>
        <w:spacing w:after="40" w:before="40"/>
      </w:pPr>
      <w:r>
        <w:rPr>
          <w:rFonts w:ascii="Arial" w:cs="Arial" w:eastAsia="Arial" w:hAnsi="Arial"/>
          <w:sz w:val="17"/>
          <w:szCs w:val="17"/>
        </w:rPr>
        <w:t xml:space="preserve">Ganesan, S. &amp; Poirier, D.R. (1990). Conservation of mass and momentum for interdendritic liquid flow. Met. Trans. B.</w:t>
      </w:r>
    </w:p>
    <w:p>
      <w:pPr>
        <w:pStyle w:val="ListParagraph"/>
        <w:numPr>
          <w:ilvl w:val="0"/>
          <w:numId w:val="2"/>
        </w:numPr>
        <w:spacing w:after="40" w:before="40"/>
      </w:pPr>
      <w:r>
        <w:rPr>
          <w:rFonts w:ascii="Arial" w:cs="Arial" w:eastAsia="Arial" w:hAnsi="Arial"/>
          <w:sz w:val="17"/>
          <w:szCs w:val="17"/>
        </w:rPr>
        <w:t xml:space="preserve">Gangopadhyay, A. et al. (2025). Slower nucleation with stirring in supercooled Zr80Pt20 (ISS-EML). J. Chem. Phys. 162, 134502.</w:t>
      </w:r>
    </w:p>
    <w:p>
      <w:pPr>
        <w:pStyle w:val="ListParagraph"/>
        <w:numPr>
          <w:ilvl w:val="0"/>
          <w:numId w:val="2"/>
        </w:numPr>
        <w:spacing w:after="40" w:before="40"/>
      </w:pPr>
      <w:r>
        <w:rPr>
          <w:rFonts w:ascii="Arial" w:cs="Arial" w:eastAsia="Arial" w:hAnsi="Arial"/>
          <w:sz w:val="17"/>
          <w:szCs w:val="17"/>
        </w:rPr>
        <w:t xml:space="preserve">Hu, L. et al. (2025). Fe-19%Si on CSS: thermophysical properties and solidification. Rev. Mater. Res.</w:t>
      </w:r>
    </w:p>
    <w:p>
      <w:pPr>
        <w:pStyle w:val="ListParagraph"/>
        <w:numPr>
          <w:ilvl w:val="0"/>
          <w:numId w:val="2"/>
        </w:numPr>
        <w:spacing w:after="40" w:before="40"/>
      </w:pPr>
      <w:r>
        <w:rPr>
          <w:rFonts w:ascii="Arial" w:cs="Arial" w:eastAsia="Arial" w:hAnsi="Arial"/>
          <w:sz w:val="17"/>
          <w:szCs w:val="17"/>
        </w:rPr>
        <w:t xml:space="preserve">Medjkoune, M. et al. (2025). Benchmark µg experiments and computations for 3D dendritic-array stability. Acta Materialia. doi:10.1016/j.actamat.2025.120954</w:t>
      </w:r>
    </w:p>
    <w:p>
      <w:pPr>
        <w:pStyle w:val="ListParagraph"/>
        <w:numPr>
          <w:ilvl w:val="0"/>
          <w:numId w:val="2"/>
        </w:numPr>
        <w:spacing w:after="40" w:before="40"/>
      </w:pPr>
      <w:r>
        <w:rPr>
          <w:rFonts w:ascii="Arial" w:cs="Arial" w:eastAsia="Arial" w:hAnsi="Arial"/>
          <w:sz w:val="17"/>
          <w:szCs w:val="17"/>
        </w:rPr>
        <w:t xml:space="preserve">Mehrabian, R., Keane, M. &amp; Flemings, M.C. (1970). Interdendritic fluid flow and macrosegregation. Met. Trans. B.</w:t>
      </w:r>
    </w:p>
    <w:p>
      <w:pPr>
        <w:pStyle w:val="ListParagraph"/>
        <w:numPr>
          <w:ilvl w:val="0"/>
          <w:numId w:val="2"/>
        </w:numPr>
        <w:spacing w:after="40" w:before="40"/>
      </w:pPr>
      <w:r>
        <w:rPr>
          <w:rFonts w:ascii="Arial" w:cs="Arial" w:eastAsia="Arial" w:hAnsi="Arial"/>
          <w:sz w:val="17"/>
          <w:szCs w:val="17"/>
        </w:rPr>
        <w:t xml:space="preserve">Mirihanage, W.U. et al. (2023). Microgravity solidification patterns onboard ISS. npj Microgravity.</w:t>
      </w:r>
    </w:p>
    <w:p>
      <w:pPr>
        <w:pStyle w:val="ListParagraph"/>
        <w:numPr>
          <w:ilvl w:val="0"/>
          <w:numId w:val="2"/>
        </w:numPr>
        <w:spacing w:after="40" w:before="40"/>
      </w:pPr>
      <w:r>
        <w:rPr>
          <w:rFonts w:ascii="Arial" w:cs="Arial" w:eastAsia="Arial" w:hAnsi="Arial"/>
          <w:sz w:val="17"/>
          <w:szCs w:val="17"/>
        </w:rPr>
        <w:t xml:space="preserve">Ngomesse, M. et al. (2021). In situ CET investigation during directional solidification (MASER-14). Acta Materialia.</w:t>
      </w:r>
    </w:p>
    <w:p>
      <w:pPr>
        <w:pStyle w:val="ListParagraph"/>
        <w:numPr>
          <w:ilvl w:val="0"/>
          <w:numId w:val="2"/>
        </w:numPr>
        <w:spacing w:after="40" w:before="40"/>
      </w:pPr>
      <w:r>
        <w:rPr>
          <w:rFonts w:ascii="Arial" w:cs="Arial" w:eastAsia="Arial" w:hAnsi="Arial"/>
          <w:sz w:val="17"/>
          <w:szCs w:val="17"/>
        </w:rPr>
        <w:t xml:space="preserve">npj Microgravity (2024). Meta-analysis of semiconductor materials fabricated in microgravity. doi:10.1038/s41526-024-00410-7</w:t>
      </w:r>
    </w:p>
    <w:p>
      <w:pPr>
        <w:pStyle w:val="ListParagraph"/>
        <w:numPr>
          <w:ilvl w:val="0"/>
          <w:numId w:val="2"/>
        </w:numPr>
        <w:spacing w:after="40" w:before="40"/>
      </w:pPr>
      <w:r>
        <w:rPr>
          <w:rFonts w:ascii="Arial" w:cs="Arial" w:eastAsia="Arial" w:hAnsi="Arial"/>
          <w:sz w:val="17"/>
          <w:szCs w:val="17"/>
        </w:rPr>
        <w:t xml:space="preserve">npj Microgravity (2026). Microgravity-enabled growth of uniform InAsSb bulk single crystal. doi:10.1038/s41526-026-00581-5</w:t>
      </w:r>
    </w:p>
    <w:p>
      <w:pPr>
        <w:pStyle w:val="ListParagraph"/>
        <w:numPr>
          <w:ilvl w:val="0"/>
          <w:numId w:val="2"/>
        </w:numPr>
        <w:spacing w:after="40" w:before="40"/>
      </w:pPr>
      <w:r>
        <w:rPr>
          <w:rFonts w:ascii="Arial" w:cs="Arial" w:eastAsia="Arial" w:hAnsi="Arial"/>
          <w:sz w:val="17"/>
          <w:szCs w:val="17"/>
        </w:rPr>
        <w:t xml:space="preserve">Nature Communications (2026). Microgravity-activated high-performance vdW InSe ferroelectric. doi:10.1038/s41467-026-70520-1</w:t>
      </w:r>
    </w:p>
    <w:p>
      <w:pPr>
        <w:pStyle w:val="ListParagraph"/>
        <w:numPr>
          <w:ilvl w:val="0"/>
          <w:numId w:val="2"/>
        </w:numPr>
        <w:spacing w:after="40" w:before="40"/>
      </w:pPr>
      <w:r>
        <w:rPr>
          <w:rFonts w:ascii="Arial" w:cs="Arial" w:eastAsia="Arial" w:hAnsi="Arial"/>
          <w:sz w:val="17"/>
          <w:szCs w:val="17"/>
        </w:rPr>
        <w:t xml:space="preserve">Rátkai, L. et al. (2024). Phase-field modeling of peritectic coupled growth in TRIS-NPG. Acta Materialia.</w:t>
      </w:r>
    </w:p>
    <w:p>
      <w:pPr>
        <w:pStyle w:val="ListParagraph"/>
        <w:numPr>
          <w:ilvl w:val="0"/>
          <w:numId w:val="2"/>
        </w:numPr>
        <w:spacing w:after="40" w:before="40"/>
      </w:pPr>
      <w:r>
        <w:rPr>
          <w:rFonts w:ascii="Arial" w:cs="Arial" w:eastAsia="Arial" w:hAnsi="Arial"/>
          <w:sz w:val="17"/>
          <w:szCs w:val="17"/>
        </w:rPr>
        <w:t xml:space="preserve">Simpson, J.E. &amp; Kou, S. (1984). Effects of gravity on interdendritic flow. Met. Trans. A.</w:t>
      </w:r>
    </w:p>
    <w:p>
      <w:pPr>
        <w:pStyle w:val="ListParagraph"/>
        <w:numPr>
          <w:ilvl w:val="0"/>
          <w:numId w:val="2"/>
        </w:numPr>
        <w:spacing w:after="40" w:before="40"/>
      </w:pPr>
      <w:r>
        <w:rPr>
          <w:rFonts w:ascii="Arial" w:cs="Arial" w:eastAsia="Arial" w:hAnsi="Arial"/>
          <w:sz w:val="17"/>
          <w:szCs w:val="17"/>
        </w:rPr>
        <w:t xml:space="preserve">Spinella, I. et al. (2024). Grain-refined directionally solidified hypoeutectic Al-Cu — ISS benchmark. Materialia.</w:t>
      </w:r>
    </w:p>
    <w:p>
      <w:pPr>
        <w:pStyle w:val="ListParagraph"/>
        <w:numPr>
          <w:ilvl w:val="0"/>
          <w:numId w:val="2"/>
        </w:numPr>
        <w:spacing w:after="40" w:before="40"/>
      </w:pPr>
      <w:r>
        <w:rPr>
          <w:rFonts w:ascii="Arial" w:cs="Arial" w:eastAsia="Arial" w:hAnsi="Arial"/>
          <w:sz w:val="17"/>
          <w:szCs w:val="17"/>
        </w:rPr>
        <w:t xml:space="preserve">Thi, H.N. et al. (2005). Directional solidification of Al-1.5Ni under diffusion transport in space. J. Crystal Growth.</w:t>
      </w:r>
    </w:p>
    <w:p>
      <w:pPr>
        <w:pStyle w:val="ListParagraph"/>
        <w:numPr>
          <w:ilvl w:val="0"/>
          <w:numId w:val="2"/>
        </w:numPr>
        <w:spacing w:after="40" w:before="40"/>
      </w:pPr>
      <w:r>
        <w:rPr>
          <w:rFonts w:ascii="Arial" w:cs="Arial" w:eastAsia="Arial" w:hAnsi="Arial"/>
          <w:sz w:val="17"/>
          <w:szCs w:val="17"/>
        </w:rPr>
        <w:t xml:space="preserve">Vincent, L. et al. (2024). Meta-analysis: semiconductor materials in microgravity (160 crystals). npj Microgravity.</w:t>
      </w:r>
    </w:p>
    <w:p>
      <w:pPr>
        <w:pStyle w:val="ListParagraph"/>
        <w:numPr>
          <w:ilvl w:val="0"/>
          <w:numId w:val="2"/>
        </w:numPr>
        <w:spacing w:after="40" w:before="40"/>
      </w:pPr>
      <w:r>
        <w:rPr>
          <w:rFonts w:ascii="Arial" w:cs="Arial" w:eastAsia="Arial" w:hAnsi="Arial"/>
          <w:sz w:val="17"/>
          <w:szCs w:val="17"/>
        </w:rPr>
        <w:t xml:space="preserve">Vit106a (2026). Thermophysical properties and solidification. npj Microgravity. doi:10.1038/s41526-026-00572-6</w:t>
      </w:r>
    </w:p>
    <w:p>
      <w:pPr>
        <w:pStyle w:val="ListParagraph"/>
        <w:numPr>
          <w:ilvl w:val="0"/>
          <w:numId w:val="2"/>
        </w:numPr>
        <w:spacing w:after="40" w:before="40"/>
      </w:pPr>
      <w:r>
        <w:rPr>
          <w:rFonts w:ascii="Arial" w:cs="Arial" w:eastAsia="Arial" w:hAnsi="Arial"/>
          <w:sz w:val="17"/>
          <w:szCs w:val="17"/>
        </w:rPr>
        <w:t xml:space="preserve">Wang, H. et al. (2024). Spiral eutectic growth; Marangoni convection in CSS. Phys. Fluids 36, 042110.</w:t>
      </w:r>
    </w:p>
    <w:p>
      <w:pPr>
        <w:pStyle w:val="ListParagraph"/>
        <w:numPr>
          <w:ilvl w:val="0"/>
          <w:numId w:val="2"/>
        </w:numPr>
        <w:spacing w:after="40" w:before="40"/>
      </w:pPr>
      <w:r>
        <w:rPr>
          <w:rFonts w:ascii="Arial" w:cs="Arial" w:eastAsia="Arial" w:hAnsi="Arial"/>
          <w:sz w:val="17"/>
          <w:szCs w:val="17"/>
        </w:rPr>
        <w:t xml:space="preserve">Wang, H. et al. (2024). Metastable liquid properties of UHT alloys in space. Angew. Chem. doi:10.1002/ange.202313165</w:t>
      </w:r>
    </w:p>
    <w:p>
      <w:pPr>
        <w:pStyle w:val="ListParagraph"/>
        <w:numPr>
          <w:ilvl w:val="0"/>
          <w:numId w:val="2"/>
        </w:numPr>
        <w:spacing w:after="40" w:before="40"/>
      </w:pPr>
      <w:r>
        <w:rPr>
          <w:rFonts w:ascii="Arial" w:cs="Arial" w:eastAsia="Arial" w:hAnsi="Arial"/>
          <w:sz w:val="17"/>
          <w:szCs w:val="17"/>
        </w:rPr>
        <w:t xml:space="preserve">Zhang, G. et al. (2024). Gravity effects in Al-3.5Si and Al-10Cu directional solidification. npj Microgravity. doi:10.1038/s41526-024-00454-9</w:t>
      </w:r>
    </w:p>
    <w:p>
      <w:pPr>
        <w:pStyle w:val="ListParagraph"/>
        <w:numPr>
          <w:ilvl w:val="0"/>
          <w:numId w:val="2"/>
        </w:numPr>
        <w:spacing w:after="40" w:before="40"/>
      </w:pPr>
      <w:r>
        <w:rPr>
          <w:rFonts w:ascii="Arial" w:cs="Arial" w:eastAsia="Arial" w:hAnsi="Arial"/>
          <w:sz w:val="17"/>
          <w:szCs w:val="17"/>
        </w:rPr>
        <w:t xml:space="preserve">Zimmermann, G. et al. (2024). Grain-refined hypoeutectic Al-Cu — CETSOL ISS benchmark. Materialia.</w:t>
      </w:r>
    </w:p>
    <w:p>
      <w:pPr>
        <w:spacing w:after="480" w:before="0"/>
      </w:pPr>
    </w:p>
    <w:p>
      <w:pPr>
        <w:spacing w:after="0" w:before="0"/>
        <w:jc w:val="center"/>
      </w:pPr>
      <w:r>
        <w:rPr>
          <w:rFonts w:ascii="Arial" w:cs="Arial" w:eastAsia="Arial" w:hAnsi="Arial"/>
          <w:b w:val="false"/>
          <w:bCs w:val="false"/>
          <w:i/>
          <w:iCs/>
          <w:color w:val="1C2833"/>
          <w:sz w:val="17"/>
          <w:szCs w:val="17"/>
        </w:rPr>
        <w:t xml:space="preserve">End of document.  SpSolidLitReview • April 2026</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5"/>
        <w:szCs w:val="15"/>
      </w:rPr>
      <w:t xml:space="preserve">SpSolidLitReview • Flemings Ch. anchors: Ch.1 Heat Flow | Ch.2 Plane Front | Ch.3 Cellular | Ch.4 Polyphase | Ch.5 Cast Structure | Ch.6 Variants | Ch.7 Fluid Flow | Ch.8 Thermo | Ch.9 Nucleation | Ch.10 Processing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6"/>
        <w:szCs w:val="16"/>
      </w:rPr>
      <w:t xml:space="preserve">1g vs. µg Solidification — Comprehensive Comparison by Phenomenon  |  </w:t>
    </w:r>
    <w:r>
      <w:rPr>
        <w:rFonts w:ascii="Arial" w:cs="Arial" w:eastAsia="Arial" w:hAnsi="Arial"/>
        <w:i/>
        <w:iCs/>
        <w:color w:val="666666"/>
        <w:sz w:val="16"/>
        <w:szCs w:val="16"/>
      </w:rPr>
      <w:t xml:space="preserve">April 2026  |  Companion to microgravity_solidification_deep_research_2026.md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2026-04-23T22:41:36.613Z</dcterms:created>
  <dcterms:modified xsi:type="dcterms:W3CDTF">2026-04-23T22:41:36.613Z</dcterms:modified>
</cp:coreProperties>
</file>

<file path=docProps/custom.xml><?xml version="1.0" encoding="utf-8"?>
<Properties xmlns="http://schemas.openxmlformats.org/officeDocument/2006/custom-properties" xmlns:vt="http://schemas.openxmlformats.org/officeDocument/2006/docPropsVTypes"/>
</file>