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spacing w:line="480" w:lineRule="auto"/>
        <w:jc w:val="center"/>
        <w:rPr>
          <w:rFonts w:hint="eastAsia" w:ascii="Arial" w:hAnsi="Arial" w:cs="Arial"/>
          <w:b w:val="0"/>
          <w:bCs w:val="0"/>
          <w:color w:val="auto"/>
          <w:sz w:val="32"/>
          <w:szCs w:val="32"/>
          <w:lang w:val="en-US" w:eastAsia="zh-CN"/>
        </w:rPr>
      </w:pPr>
      <w:r>
        <w:rPr>
          <w:rFonts w:hint="eastAsia" w:ascii="Arial" w:hAnsi="Arial" w:cs="Arial"/>
          <w:b w:val="0"/>
          <w:bCs w:val="0"/>
          <w:color w:val="auto"/>
          <w:sz w:val="32"/>
          <w:szCs w:val="32"/>
          <w:lang w:val="en-US" w:eastAsia="zh-CN"/>
        </w:rPr>
        <w:t>Title page</w:t>
      </w:r>
    </w:p>
    <w:p>
      <w:pPr>
        <w:widowControl w:val="0"/>
        <w:numPr>
          <w:ilvl w:val="0"/>
          <w:numId w:val="0"/>
        </w:numPr>
        <w:tabs>
          <w:tab w:val="left" w:pos="312"/>
        </w:tabs>
        <w:spacing w:line="480" w:lineRule="auto"/>
        <w:jc w:val="both"/>
        <w:rPr>
          <w:rFonts w:hint="default" w:ascii="Arial" w:hAnsi="Arial" w:cs="Arial"/>
          <w:b/>
          <w:bCs/>
          <w:color w:val="auto"/>
          <w:sz w:val="30"/>
          <w:szCs w:val="30"/>
          <w:lang w:val="en-US" w:eastAsia="zh-CN"/>
        </w:rPr>
      </w:pPr>
    </w:p>
    <w:p>
      <w:pPr>
        <w:widowControl w:val="0"/>
        <w:numPr>
          <w:ilvl w:val="0"/>
          <w:numId w:val="0"/>
        </w:numPr>
        <w:tabs>
          <w:tab w:val="left" w:pos="312"/>
        </w:tabs>
        <w:spacing w:line="480" w:lineRule="auto"/>
        <w:jc w:val="both"/>
        <w:rPr>
          <w:rFonts w:hint="default" w:ascii="Arial" w:hAnsi="Arial" w:cs="Arial"/>
          <w:b/>
          <w:bCs/>
          <w:color w:val="auto"/>
          <w:sz w:val="30"/>
          <w:szCs w:val="30"/>
          <w:lang w:val="en-US" w:eastAsia="zh-CN"/>
        </w:rPr>
      </w:pPr>
      <w:r>
        <w:rPr>
          <w:rFonts w:hint="eastAsia" w:ascii="Arial" w:hAnsi="Arial" w:cs="Arial"/>
          <w:b/>
          <w:bCs/>
          <w:color w:val="auto"/>
          <w:sz w:val="30"/>
          <w:szCs w:val="30"/>
          <w:highlight w:val="yellow"/>
          <w:lang w:val="en-US" w:eastAsia="zh-CN"/>
        </w:rPr>
        <w:t>Retro</w:t>
      </w:r>
      <w:r>
        <w:rPr>
          <w:rFonts w:hint="default" w:ascii="Arial" w:hAnsi="Arial" w:cs="Arial"/>
          <w:b/>
          <w:bCs/>
          <w:color w:val="auto"/>
          <w:sz w:val="30"/>
          <w:szCs w:val="30"/>
          <w:highlight w:val="yellow"/>
          <w:lang w:val="en-US" w:eastAsia="zh-CN"/>
        </w:rPr>
        <w:t>spective</w:t>
      </w:r>
      <w:r>
        <w:rPr>
          <w:rFonts w:hint="default" w:ascii="Arial" w:hAnsi="Arial" w:cs="Arial"/>
          <w:b/>
          <w:bCs/>
          <w:color w:val="auto"/>
          <w:sz w:val="30"/>
          <w:szCs w:val="30"/>
          <w:lang w:val="en-US" w:eastAsia="zh-CN"/>
        </w:rPr>
        <w:t xml:space="preserve"> cohort study comparing </w:t>
      </w:r>
      <w:r>
        <w:rPr>
          <w:rFonts w:hint="eastAsia" w:ascii="Arial" w:hAnsi="Arial" w:cs="Arial"/>
          <w:b/>
          <w:bCs/>
          <w:color w:val="auto"/>
          <w:sz w:val="30"/>
          <w:szCs w:val="30"/>
          <w:lang w:val="en-US" w:eastAsia="zh-CN"/>
        </w:rPr>
        <w:t xml:space="preserve">outcomes of </w:t>
      </w:r>
      <w:r>
        <w:rPr>
          <w:rFonts w:hint="default" w:ascii="Arial" w:hAnsi="Arial" w:cs="Arial"/>
          <w:b/>
          <w:bCs/>
          <w:color w:val="auto"/>
          <w:sz w:val="30"/>
          <w:szCs w:val="30"/>
          <w:lang w:val="en-US" w:eastAsia="zh-CN"/>
        </w:rPr>
        <w:t xml:space="preserve">intravenous busulfan versus total body irradiation </w:t>
      </w:r>
      <w:r>
        <w:rPr>
          <w:rFonts w:hint="eastAsia" w:ascii="Arial" w:hAnsi="Arial" w:cs="Arial"/>
          <w:b/>
          <w:bCs/>
          <w:color w:val="auto"/>
          <w:sz w:val="30"/>
          <w:szCs w:val="30"/>
          <w:lang w:val="en-US" w:eastAsia="zh-CN"/>
        </w:rPr>
        <w:t>after</w:t>
      </w:r>
      <w:r>
        <w:rPr>
          <w:rFonts w:hint="default" w:ascii="Arial" w:hAnsi="Arial" w:cs="Arial"/>
          <w:b/>
          <w:bCs/>
          <w:color w:val="auto"/>
          <w:sz w:val="30"/>
          <w:szCs w:val="30"/>
          <w:lang w:val="en-US" w:eastAsia="zh-CN"/>
        </w:rPr>
        <w:t xml:space="preserve"> </w:t>
      </w:r>
      <w:r>
        <w:rPr>
          <w:rFonts w:hint="eastAsia" w:ascii="Arial" w:hAnsi="Arial" w:cs="Arial"/>
          <w:b/>
          <w:bCs/>
          <w:color w:val="auto"/>
          <w:sz w:val="30"/>
          <w:szCs w:val="30"/>
          <w:lang w:val="en-US" w:eastAsia="zh-CN"/>
        </w:rPr>
        <w:t xml:space="preserve">single </w:t>
      </w:r>
      <w:r>
        <w:rPr>
          <w:rFonts w:hint="default" w:ascii="Arial" w:hAnsi="Arial" w:cs="Arial"/>
          <w:b/>
          <w:bCs/>
          <w:color w:val="auto"/>
          <w:sz w:val="30"/>
          <w:szCs w:val="30"/>
          <w:lang w:val="en-US" w:eastAsia="zh-CN"/>
        </w:rPr>
        <w:t>cord blood transplantation</w:t>
      </w:r>
    </w:p>
    <w:p>
      <w:pPr>
        <w:spacing w:beforeLines="0" w:afterLines="0" w:line="480" w:lineRule="auto"/>
        <w:jc w:val="left"/>
        <w:rPr>
          <w:rFonts w:hint="default" w:ascii="Arial" w:hAnsi="Arial" w:eastAsia="宋体" w:cs="Arial"/>
          <w:b w:val="0"/>
          <w:bCs/>
          <w:i w:val="0"/>
          <w:iCs w:val="0"/>
          <w:color w:val="auto"/>
          <w:sz w:val="24"/>
          <w:szCs w:val="24"/>
          <w:highlight w:val="none"/>
          <w:lang w:val="en-US" w:eastAsia="zh-CN"/>
        </w:rPr>
      </w:pPr>
    </w:p>
    <w:p>
      <w:pPr>
        <w:spacing w:beforeLines="0" w:afterLines="0" w:line="480" w:lineRule="auto"/>
        <w:jc w:val="left"/>
        <w:rPr>
          <w:rFonts w:hint="default" w:ascii="Arial" w:hAnsi="Arial" w:eastAsia="宋体" w:cs="Arial"/>
          <w:b w:val="0"/>
          <w:bCs/>
          <w:i w:val="0"/>
          <w:iCs w:val="0"/>
          <w:color w:val="auto"/>
          <w:sz w:val="24"/>
          <w:szCs w:val="24"/>
          <w:highlight w:val="none"/>
          <w:lang w:val="en-US" w:eastAsia="zh-CN"/>
        </w:rPr>
      </w:pPr>
      <w:r>
        <w:rPr>
          <w:rFonts w:hint="eastAsia" w:ascii="Arial" w:hAnsi="Arial" w:eastAsia="宋体" w:cs="Arial"/>
          <w:b/>
          <w:bCs w:val="0"/>
          <w:color w:val="auto"/>
          <w:sz w:val="24"/>
          <w:szCs w:val="24"/>
          <w:lang w:val="en-US" w:eastAsia="zh-CN"/>
        </w:rPr>
        <w:t>Running title:</w:t>
      </w:r>
      <w:r>
        <w:rPr>
          <w:rFonts w:hint="eastAsia" w:ascii="Arial" w:hAnsi="Arial" w:cs="Arial"/>
          <w:b/>
          <w:bCs w:val="0"/>
          <w:color w:val="auto"/>
          <w:sz w:val="24"/>
          <w:szCs w:val="24"/>
          <w:lang w:val="en-US" w:eastAsia="zh-CN"/>
        </w:rPr>
        <w:t xml:space="preserve"> </w:t>
      </w:r>
      <w:r>
        <w:rPr>
          <w:rFonts w:hint="eastAsia" w:ascii="Arial" w:hAnsi="Arial" w:cs="Arial"/>
          <w:b w:val="0"/>
          <w:bCs w:val="0"/>
          <w:color w:val="auto"/>
          <w:sz w:val="24"/>
          <w:szCs w:val="24"/>
          <w:lang w:val="en-US" w:eastAsia="zh-CN"/>
        </w:rPr>
        <w:t>IV-</w:t>
      </w:r>
      <w:r>
        <w:rPr>
          <w:rFonts w:hint="default" w:ascii="Arial" w:hAnsi="Arial" w:cs="Arial"/>
          <w:b w:val="0"/>
          <w:bCs w:val="0"/>
          <w:color w:val="auto"/>
          <w:sz w:val="24"/>
          <w:szCs w:val="24"/>
          <w:lang w:val="en-US" w:eastAsia="zh-CN"/>
        </w:rPr>
        <w:t>B</w:t>
      </w:r>
      <w:r>
        <w:rPr>
          <w:rFonts w:hint="eastAsia" w:ascii="Arial" w:hAnsi="Arial" w:cs="Arial"/>
          <w:b w:val="0"/>
          <w:bCs w:val="0"/>
          <w:color w:val="auto"/>
          <w:sz w:val="24"/>
          <w:szCs w:val="24"/>
          <w:lang w:val="en-US" w:eastAsia="zh-CN"/>
        </w:rPr>
        <w:t>u versus TBI for cord blood transplantation</w:t>
      </w:r>
    </w:p>
    <w:p>
      <w:pPr>
        <w:spacing w:beforeLines="0" w:afterLines="0" w:line="480" w:lineRule="auto"/>
        <w:jc w:val="left"/>
        <w:rPr>
          <w:rFonts w:hint="default" w:ascii="Arial" w:hAnsi="Arial" w:eastAsia="宋体" w:cs="Arial"/>
          <w:b w:val="0"/>
          <w:bCs/>
          <w:i w:val="0"/>
          <w:iCs w:val="0"/>
          <w:color w:val="auto"/>
          <w:sz w:val="24"/>
          <w:szCs w:val="24"/>
          <w:highlight w:val="none"/>
          <w:lang w:val="en-US" w:eastAsia="zh-CN"/>
        </w:rPr>
      </w:pPr>
    </w:p>
    <w:p>
      <w:pPr>
        <w:spacing w:beforeLines="0" w:afterLines="0" w:line="480" w:lineRule="auto"/>
        <w:jc w:val="left"/>
        <w:rPr>
          <w:rFonts w:hint="eastAsia" w:ascii="Arial" w:hAnsi="Arial" w:eastAsia="宋体" w:cs="Arial"/>
          <w:b w:val="0"/>
          <w:bCs/>
          <w:i w:val="0"/>
          <w:iCs w:val="0"/>
          <w:color w:val="auto"/>
          <w:sz w:val="24"/>
          <w:szCs w:val="24"/>
          <w:highlight w:val="none"/>
          <w:vertAlign w:val="superscript"/>
          <w:lang w:val="en-US" w:eastAsia="zh-CN"/>
        </w:rPr>
      </w:pPr>
      <w:r>
        <w:rPr>
          <w:rFonts w:hint="default" w:ascii="Arial" w:hAnsi="Arial" w:eastAsia="宋体" w:cs="Arial"/>
          <w:b w:val="0"/>
          <w:bCs/>
          <w:i w:val="0"/>
          <w:iCs w:val="0"/>
          <w:color w:val="auto"/>
          <w:sz w:val="24"/>
          <w:szCs w:val="24"/>
          <w:highlight w:val="none"/>
          <w:lang w:val="en-US" w:eastAsia="zh-CN"/>
        </w:rPr>
        <w:t>Baolin Tang</w:t>
      </w:r>
      <w:r>
        <w:rPr>
          <w:rFonts w:hint="eastAsia" w:ascii="Arial" w:hAnsi="Arial" w:eastAsia="宋体" w:cs="Arial"/>
          <w:b w:val="0"/>
          <w:bCs/>
          <w:i w:val="0"/>
          <w:iCs w:val="0"/>
          <w:color w:val="auto"/>
          <w:sz w:val="24"/>
          <w:szCs w:val="24"/>
          <w:highlight w:val="none"/>
          <w:vertAlign w:val="superscript"/>
          <w:lang w:val="en-US" w:eastAsia="zh-CN"/>
        </w:rPr>
        <w:t>1,2</w:t>
      </w:r>
      <w:r>
        <w:rPr>
          <w:rFonts w:hint="default" w:ascii="Arial" w:hAnsi="Arial" w:eastAsia="宋体" w:cs="Arial"/>
          <w:b w:val="0"/>
          <w:bCs/>
          <w:i w:val="0"/>
          <w:iCs w:val="0"/>
          <w:color w:val="auto"/>
          <w:sz w:val="24"/>
          <w:szCs w:val="24"/>
          <w:highlight w:val="none"/>
          <w:lang w:val="en-US" w:eastAsia="zh-CN"/>
        </w:rPr>
        <w:t>*, Xiaoyu Zhu</w:t>
      </w:r>
      <w:r>
        <w:rPr>
          <w:rFonts w:hint="eastAsia" w:ascii="Arial" w:hAnsi="Arial" w:eastAsia="宋体" w:cs="Arial"/>
          <w:b w:val="0"/>
          <w:bCs/>
          <w:i w:val="0"/>
          <w:iCs w:val="0"/>
          <w:color w:val="auto"/>
          <w:sz w:val="24"/>
          <w:szCs w:val="24"/>
          <w:highlight w:val="none"/>
          <w:vertAlign w:val="superscript"/>
          <w:lang w:val="en-US" w:eastAsia="zh-CN"/>
        </w:rPr>
        <w:t>2</w:t>
      </w:r>
      <w:r>
        <w:rPr>
          <w:rFonts w:hint="default" w:ascii="Arial" w:hAnsi="Arial" w:eastAsia="宋体" w:cs="Arial"/>
          <w:b w:val="0"/>
          <w:bCs/>
          <w:color w:val="auto"/>
          <w:sz w:val="24"/>
          <w:szCs w:val="24"/>
          <w:lang w:val="en-US" w:eastAsia="zh-CN"/>
        </w:rPr>
        <w:t>*</w:t>
      </w:r>
      <w:r>
        <w:rPr>
          <w:rFonts w:hint="default" w:ascii="Arial" w:hAnsi="Arial" w:eastAsia="宋体" w:cs="Arial"/>
          <w:b w:val="0"/>
          <w:bCs/>
          <w:i w:val="0"/>
          <w:iCs w:val="0"/>
          <w:color w:val="auto"/>
          <w:sz w:val="24"/>
          <w:szCs w:val="24"/>
          <w:highlight w:val="none"/>
          <w:lang w:val="en-US" w:eastAsia="zh-CN"/>
        </w:rPr>
        <w:t>, Changcheng Zheng</w:t>
      </w:r>
      <w:r>
        <w:rPr>
          <w:rFonts w:hint="eastAsia" w:ascii="Arial" w:hAnsi="Arial" w:eastAsia="宋体" w:cs="Arial"/>
          <w:b w:val="0"/>
          <w:bCs/>
          <w:i w:val="0"/>
          <w:iCs w:val="0"/>
          <w:color w:val="auto"/>
          <w:sz w:val="24"/>
          <w:szCs w:val="24"/>
          <w:highlight w:val="none"/>
          <w:vertAlign w:val="superscript"/>
          <w:lang w:val="en-US" w:eastAsia="zh-CN"/>
        </w:rPr>
        <w:t>2</w:t>
      </w:r>
      <w:r>
        <w:rPr>
          <w:rFonts w:hint="default" w:ascii="Arial" w:hAnsi="Arial" w:eastAsia="宋体" w:cs="Arial"/>
          <w:b w:val="0"/>
          <w:bCs/>
          <w:i w:val="0"/>
          <w:iCs w:val="0"/>
          <w:color w:val="auto"/>
          <w:sz w:val="24"/>
          <w:szCs w:val="24"/>
          <w:highlight w:val="none"/>
          <w:lang w:val="en-US" w:eastAsia="zh-CN"/>
        </w:rPr>
        <w:t>, Huilan Liu</w:t>
      </w:r>
      <w:r>
        <w:rPr>
          <w:rFonts w:hint="eastAsia" w:ascii="Arial" w:hAnsi="Arial" w:eastAsia="宋体" w:cs="Arial"/>
          <w:b w:val="0"/>
          <w:bCs/>
          <w:i w:val="0"/>
          <w:iCs w:val="0"/>
          <w:color w:val="auto"/>
          <w:sz w:val="24"/>
          <w:szCs w:val="24"/>
          <w:highlight w:val="none"/>
          <w:vertAlign w:val="superscript"/>
          <w:lang w:val="en-US" w:eastAsia="zh-CN"/>
        </w:rPr>
        <w:t>2</w:t>
      </w:r>
      <w:r>
        <w:rPr>
          <w:rFonts w:hint="default" w:ascii="Arial" w:hAnsi="Arial" w:eastAsia="宋体" w:cs="Arial"/>
          <w:b w:val="0"/>
          <w:bCs/>
          <w:i w:val="0"/>
          <w:iCs w:val="0"/>
          <w:color w:val="auto"/>
          <w:sz w:val="24"/>
          <w:szCs w:val="24"/>
          <w:highlight w:val="none"/>
          <w:lang w:val="en-US" w:eastAsia="zh-CN"/>
        </w:rPr>
        <w:t>, Siguo Hao</w:t>
      </w:r>
      <w:r>
        <w:rPr>
          <w:rFonts w:hint="eastAsia" w:ascii="Arial" w:hAnsi="Arial" w:eastAsia="宋体" w:cs="Arial"/>
          <w:b w:val="0"/>
          <w:bCs/>
          <w:i w:val="0"/>
          <w:iCs w:val="0"/>
          <w:color w:val="auto"/>
          <w:sz w:val="24"/>
          <w:szCs w:val="24"/>
          <w:highlight w:val="none"/>
          <w:vertAlign w:val="superscript"/>
          <w:lang w:val="en-US" w:eastAsia="zh-CN"/>
        </w:rPr>
        <w:t>3</w:t>
      </w:r>
      <w:r>
        <w:rPr>
          <w:rFonts w:hint="default" w:ascii="Arial" w:hAnsi="Arial" w:eastAsia="宋体" w:cs="Arial"/>
          <w:b w:val="0"/>
          <w:bCs/>
          <w:i w:val="0"/>
          <w:iCs w:val="0"/>
          <w:color w:val="auto"/>
          <w:sz w:val="24"/>
          <w:szCs w:val="24"/>
          <w:highlight w:val="none"/>
          <w:lang w:val="en-US" w:eastAsia="zh-CN"/>
        </w:rPr>
        <w:t>, Dongping Huang</w:t>
      </w:r>
      <w:r>
        <w:rPr>
          <w:rFonts w:hint="eastAsia" w:ascii="Arial" w:hAnsi="Arial" w:eastAsia="宋体" w:cs="Arial"/>
          <w:b w:val="0"/>
          <w:bCs/>
          <w:i w:val="0"/>
          <w:iCs w:val="0"/>
          <w:color w:val="auto"/>
          <w:sz w:val="24"/>
          <w:szCs w:val="24"/>
          <w:highlight w:val="none"/>
          <w:vertAlign w:val="superscript"/>
          <w:lang w:val="en-US" w:eastAsia="zh-CN"/>
        </w:rPr>
        <w:t>4</w:t>
      </w:r>
      <w:r>
        <w:rPr>
          <w:rFonts w:hint="default" w:ascii="Arial" w:hAnsi="Arial" w:eastAsia="宋体" w:cs="Arial"/>
          <w:b w:val="0"/>
          <w:bCs/>
          <w:i w:val="0"/>
          <w:iCs w:val="0"/>
          <w:color w:val="auto"/>
          <w:sz w:val="24"/>
          <w:szCs w:val="24"/>
          <w:highlight w:val="none"/>
          <w:lang w:val="en-US" w:eastAsia="zh-CN"/>
        </w:rPr>
        <w:t>, Dongjun Lin</w:t>
      </w:r>
      <w:r>
        <w:rPr>
          <w:rFonts w:hint="eastAsia" w:ascii="Arial" w:hAnsi="Arial" w:eastAsia="宋体" w:cs="Arial"/>
          <w:b w:val="0"/>
          <w:bCs/>
          <w:i w:val="0"/>
          <w:iCs w:val="0"/>
          <w:color w:val="auto"/>
          <w:sz w:val="24"/>
          <w:szCs w:val="24"/>
          <w:highlight w:val="none"/>
          <w:vertAlign w:val="superscript"/>
          <w:lang w:val="en-US" w:eastAsia="zh-CN"/>
        </w:rPr>
        <w:t>5</w:t>
      </w:r>
      <w:r>
        <w:rPr>
          <w:rFonts w:hint="default" w:ascii="Arial" w:hAnsi="Arial" w:eastAsia="宋体" w:cs="Arial"/>
          <w:b w:val="0"/>
          <w:bCs/>
          <w:i w:val="0"/>
          <w:iCs w:val="0"/>
          <w:color w:val="auto"/>
          <w:sz w:val="24"/>
          <w:szCs w:val="24"/>
          <w:highlight w:val="none"/>
          <w:lang w:val="en-US" w:eastAsia="zh-CN"/>
        </w:rPr>
        <w:t>, Nainong Li</w:t>
      </w:r>
      <w:r>
        <w:rPr>
          <w:rFonts w:hint="eastAsia" w:ascii="Arial" w:hAnsi="Arial" w:eastAsia="宋体" w:cs="Arial"/>
          <w:b w:val="0"/>
          <w:bCs/>
          <w:i w:val="0"/>
          <w:iCs w:val="0"/>
          <w:color w:val="auto"/>
          <w:sz w:val="24"/>
          <w:szCs w:val="24"/>
          <w:highlight w:val="none"/>
          <w:vertAlign w:val="superscript"/>
          <w:lang w:val="en-US" w:eastAsia="zh-CN"/>
        </w:rPr>
        <w:t>6</w:t>
      </w:r>
      <w:r>
        <w:rPr>
          <w:rFonts w:hint="default" w:ascii="Arial" w:hAnsi="Arial" w:eastAsia="宋体" w:cs="Arial"/>
          <w:b w:val="0"/>
          <w:bCs/>
          <w:i w:val="0"/>
          <w:iCs w:val="0"/>
          <w:color w:val="auto"/>
          <w:sz w:val="24"/>
          <w:szCs w:val="24"/>
          <w:highlight w:val="none"/>
          <w:lang w:val="en-US" w:eastAsia="zh-CN"/>
        </w:rPr>
        <w:t>, Sujun Gao</w:t>
      </w:r>
      <w:r>
        <w:rPr>
          <w:rFonts w:hint="eastAsia" w:ascii="Arial" w:hAnsi="Arial" w:eastAsia="宋体" w:cs="Arial"/>
          <w:b w:val="0"/>
          <w:bCs/>
          <w:i w:val="0"/>
          <w:iCs w:val="0"/>
          <w:color w:val="auto"/>
          <w:sz w:val="24"/>
          <w:szCs w:val="24"/>
          <w:highlight w:val="none"/>
          <w:vertAlign w:val="superscript"/>
          <w:lang w:val="en-US" w:eastAsia="zh-CN"/>
        </w:rPr>
        <w:t>7</w:t>
      </w:r>
      <w:r>
        <w:rPr>
          <w:rFonts w:hint="default" w:ascii="Arial" w:hAnsi="Arial" w:eastAsia="宋体" w:cs="Arial"/>
          <w:b w:val="0"/>
          <w:bCs/>
          <w:i w:val="0"/>
          <w:iCs w:val="0"/>
          <w:color w:val="auto"/>
          <w:sz w:val="24"/>
          <w:szCs w:val="24"/>
          <w:highlight w:val="none"/>
          <w:lang w:val="en-US" w:eastAsia="zh-CN"/>
        </w:rPr>
        <w:t>, Xinquan Liang</w:t>
      </w:r>
      <w:r>
        <w:rPr>
          <w:rFonts w:hint="eastAsia" w:ascii="Arial" w:hAnsi="Arial" w:eastAsia="宋体" w:cs="Arial"/>
          <w:b w:val="0"/>
          <w:bCs/>
          <w:i w:val="0"/>
          <w:iCs w:val="0"/>
          <w:color w:val="auto"/>
          <w:sz w:val="24"/>
          <w:szCs w:val="24"/>
          <w:highlight w:val="none"/>
          <w:vertAlign w:val="superscript"/>
          <w:lang w:val="en-US" w:eastAsia="zh-CN"/>
        </w:rPr>
        <w:t>8</w:t>
      </w:r>
      <w:r>
        <w:rPr>
          <w:rFonts w:hint="default" w:ascii="Arial" w:hAnsi="Arial" w:eastAsia="宋体" w:cs="Arial"/>
          <w:b w:val="0"/>
          <w:bCs/>
          <w:i w:val="0"/>
          <w:iCs w:val="0"/>
          <w:color w:val="auto"/>
          <w:sz w:val="24"/>
          <w:szCs w:val="24"/>
          <w:highlight w:val="none"/>
          <w:lang w:val="en-US" w:eastAsia="zh-CN"/>
        </w:rPr>
        <w:t>, Jianjun Li</w:t>
      </w:r>
      <w:r>
        <w:rPr>
          <w:rFonts w:hint="eastAsia" w:ascii="Arial" w:hAnsi="Arial" w:eastAsia="宋体" w:cs="Arial"/>
          <w:b w:val="0"/>
          <w:bCs/>
          <w:i w:val="0"/>
          <w:iCs w:val="0"/>
          <w:color w:val="auto"/>
          <w:sz w:val="24"/>
          <w:szCs w:val="24"/>
          <w:highlight w:val="none"/>
          <w:vertAlign w:val="superscript"/>
          <w:lang w:val="en-US" w:eastAsia="zh-CN"/>
        </w:rPr>
        <w:t>9</w:t>
      </w:r>
      <w:r>
        <w:rPr>
          <w:rFonts w:hint="default" w:ascii="Arial" w:hAnsi="Arial" w:eastAsia="宋体" w:cs="Arial"/>
          <w:b w:val="0"/>
          <w:bCs/>
          <w:i w:val="0"/>
          <w:iCs w:val="0"/>
          <w:color w:val="auto"/>
          <w:sz w:val="24"/>
          <w:szCs w:val="24"/>
          <w:highlight w:val="none"/>
          <w:lang w:val="en-US" w:eastAsia="zh-CN"/>
        </w:rPr>
        <w:t>, Lulu Huang</w:t>
      </w:r>
      <w:r>
        <w:rPr>
          <w:rFonts w:hint="eastAsia" w:ascii="Arial" w:hAnsi="Arial" w:eastAsia="宋体" w:cs="Arial"/>
          <w:b w:val="0"/>
          <w:bCs/>
          <w:i w:val="0"/>
          <w:iCs w:val="0"/>
          <w:color w:val="auto"/>
          <w:sz w:val="24"/>
          <w:szCs w:val="24"/>
          <w:highlight w:val="none"/>
          <w:vertAlign w:val="superscript"/>
          <w:lang w:val="en-US" w:eastAsia="zh-CN"/>
        </w:rPr>
        <w:t>9</w:t>
      </w:r>
      <w:r>
        <w:rPr>
          <w:rFonts w:hint="default" w:ascii="Arial" w:hAnsi="Arial" w:eastAsia="宋体" w:cs="Arial"/>
          <w:b w:val="0"/>
          <w:bCs/>
          <w:i w:val="0"/>
          <w:iCs w:val="0"/>
          <w:color w:val="auto"/>
          <w:sz w:val="24"/>
          <w:szCs w:val="24"/>
          <w:highlight w:val="none"/>
          <w:lang w:val="en-US" w:eastAsia="zh-CN"/>
        </w:rPr>
        <w:t>, Liangquan Geng</w:t>
      </w:r>
      <w:r>
        <w:rPr>
          <w:rFonts w:hint="eastAsia" w:ascii="Arial" w:hAnsi="Arial" w:eastAsia="宋体" w:cs="Arial"/>
          <w:b w:val="0"/>
          <w:bCs/>
          <w:i w:val="0"/>
          <w:iCs w:val="0"/>
          <w:color w:val="auto"/>
          <w:sz w:val="24"/>
          <w:szCs w:val="24"/>
          <w:highlight w:val="none"/>
          <w:vertAlign w:val="superscript"/>
          <w:lang w:val="en-US" w:eastAsia="zh-CN"/>
        </w:rPr>
        <w:t>2</w:t>
      </w:r>
      <w:r>
        <w:rPr>
          <w:rFonts w:hint="default" w:ascii="Arial" w:hAnsi="Arial" w:eastAsia="宋体" w:cs="Arial"/>
          <w:b w:val="0"/>
          <w:bCs/>
          <w:i w:val="0"/>
          <w:iCs w:val="0"/>
          <w:color w:val="auto"/>
          <w:sz w:val="24"/>
          <w:szCs w:val="24"/>
          <w:highlight w:val="none"/>
          <w:lang w:val="en-US" w:eastAsia="zh-CN"/>
        </w:rPr>
        <w:t>, Kaiyang Ding</w:t>
      </w:r>
      <w:r>
        <w:rPr>
          <w:rFonts w:hint="eastAsia" w:ascii="Arial" w:hAnsi="Arial" w:eastAsia="宋体" w:cs="Arial"/>
          <w:b w:val="0"/>
          <w:bCs/>
          <w:i w:val="0"/>
          <w:iCs w:val="0"/>
          <w:color w:val="auto"/>
          <w:sz w:val="24"/>
          <w:szCs w:val="24"/>
          <w:highlight w:val="none"/>
          <w:vertAlign w:val="superscript"/>
          <w:lang w:val="en-US" w:eastAsia="zh-CN"/>
        </w:rPr>
        <w:t>2</w:t>
      </w:r>
      <w:r>
        <w:rPr>
          <w:rFonts w:hint="default" w:ascii="Arial" w:hAnsi="Arial" w:eastAsia="宋体" w:cs="Arial"/>
          <w:b w:val="0"/>
          <w:bCs/>
          <w:i w:val="0"/>
          <w:iCs w:val="0"/>
          <w:color w:val="auto"/>
          <w:sz w:val="24"/>
          <w:szCs w:val="24"/>
          <w:highlight w:val="none"/>
          <w:lang w:val="en-US" w:eastAsia="zh-CN"/>
        </w:rPr>
        <w:t>, Xingbing Wang</w:t>
      </w:r>
      <w:r>
        <w:rPr>
          <w:rFonts w:hint="eastAsia" w:ascii="Arial" w:hAnsi="Arial" w:eastAsia="宋体" w:cs="Arial"/>
          <w:b w:val="0"/>
          <w:bCs/>
          <w:i w:val="0"/>
          <w:iCs w:val="0"/>
          <w:color w:val="auto"/>
          <w:sz w:val="24"/>
          <w:szCs w:val="24"/>
          <w:highlight w:val="none"/>
          <w:vertAlign w:val="superscript"/>
          <w:lang w:val="en-US" w:eastAsia="zh-CN"/>
        </w:rPr>
        <w:t>2</w:t>
      </w:r>
      <w:r>
        <w:rPr>
          <w:rFonts w:hint="default" w:ascii="Arial" w:hAnsi="Arial" w:eastAsia="宋体" w:cs="Arial"/>
          <w:b w:val="0"/>
          <w:bCs/>
          <w:i w:val="0"/>
          <w:iCs w:val="0"/>
          <w:color w:val="auto"/>
          <w:sz w:val="24"/>
          <w:szCs w:val="24"/>
          <w:highlight w:val="none"/>
          <w:lang w:val="en-US" w:eastAsia="zh-CN"/>
        </w:rPr>
        <w:t>, Wen Yao</w:t>
      </w:r>
      <w:r>
        <w:rPr>
          <w:rFonts w:hint="eastAsia" w:ascii="Arial" w:hAnsi="Arial" w:eastAsia="宋体" w:cs="Arial"/>
          <w:b w:val="0"/>
          <w:bCs/>
          <w:i w:val="0"/>
          <w:iCs w:val="0"/>
          <w:color w:val="auto"/>
          <w:sz w:val="24"/>
          <w:szCs w:val="24"/>
          <w:highlight w:val="none"/>
          <w:vertAlign w:val="superscript"/>
          <w:lang w:val="en-US" w:eastAsia="zh-CN"/>
        </w:rPr>
        <w:t>1,2</w:t>
      </w:r>
      <w:r>
        <w:rPr>
          <w:rFonts w:hint="default" w:ascii="Arial" w:hAnsi="Arial" w:eastAsia="宋体" w:cs="Arial"/>
          <w:b w:val="0"/>
          <w:bCs/>
          <w:i w:val="0"/>
          <w:iCs w:val="0"/>
          <w:color w:val="auto"/>
          <w:sz w:val="24"/>
          <w:szCs w:val="24"/>
          <w:lang w:val="en-US" w:eastAsia="zh-CN"/>
        </w:rPr>
        <w:t>, Ka</w:t>
      </w:r>
      <w:r>
        <w:rPr>
          <w:rFonts w:hint="default" w:ascii="Arial" w:hAnsi="Arial" w:eastAsia="宋体" w:cs="Arial"/>
          <w:b w:val="0"/>
          <w:bCs/>
          <w:i w:val="0"/>
          <w:iCs w:val="0"/>
          <w:color w:val="auto"/>
          <w:sz w:val="24"/>
          <w:szCs w:val="24"/>
          <w:highlight w:val="none"/>
          <w:lang w:val="en-US" w:eastAsia="zh-CN"/>
        </w:rPr>
        <w:t>idi Song</w:t>
      </w:r>
      <w:r>
        <w:rPr>
          <w:rFonts w:hint="eastAsia" w:ascii="Arial" w:hAnsi="Arial" w:eastAsia="宋体" w:cs="Arial"/>
          <w:b w:val="0"/>
          <w:bCs/>
          <w:i w:val="0"/>
          <w:iCs w:val="0"/>
          <w:color w:val="auto"/>
          <w:sz w:val="24"/>
          <w:szCs w:val="24"/>
          <w:highlight w:val="none"/>
          <w:vertAlign w:val="superscript"/>
          <w:lang w:val="en-US" w:eastAsia="zh-CN"/>
        </w:rPr>
        <w:t>1</w:t>
      </w:r>
      <w:r>
        <w:rPr>
          <w:rFonts w:hint="default" w:ascii="Arial" w:hAnsi="Arial" w:eastAsia="宋体" w:cs="Arial"/>
          <w:b w:val="0"/>
          <w:bCs/>
          <w:i w:val="0"/>
          <w:iCs w:val="0"/>
          <w:color w:val="auto"/>
          <w:sz w:val="24"/>
          <w:szCs w:val="24"/>
          <w:highlight w:val="none"/>
          <w:lang w:val="en-US" w:eastAsia="zh-CN"/>
        </w:rPr>
        <w:t>, Xuhan Zhang</w:t>
      </w:r>
      <w:r>
        <w:rPr>
          <w:rFonts w:hint="eastAsia" w:ascii="Arial" w:hAnsi="Arial" w:eastAsia="宋体" w:cs="Arial"/>
          <w:b w:val="0"/>
          <w:bCs/>
          <w:i w:val="0"/>
          <w:iCs w:val="0"/>
          <w:color w:val="auto"/>
          <w:sz w:val="24"/>
          <w:szCs w:val="24"/>
          <w:highlight w:val="none"/>
          <w:vertAlign w:val="superscript"/>
          <w:lang w:val="en-US" w:eastAsia="zh-CN"/>
        </w:rPr>
        <w:t>1,2</w:t>
      </w:r>
      <w:r>
        <w:rPr>
          <w:rFonts w:hint="default" w:ascii="Arial" w:hAnsi="Arial" w:eastAsia="宋体" w:cs="Arial"/>
          <w:b w:val="0"/>
          <w:bCs/>
          <w:i w:val="0"/>
          <w:iCs w:val="0"/>
          <w:color w:val="auto"/>
          <w:sz w:val="24"/>
          <w:szCs w:val="24"/>
          <w:highlight w:val="none"/>
          <w:lang w:val="en-US" w:eastAsia="zh-CN"/>
        </w:rPr>
        <w:t>, Xiang Wan</w:t>
      </w:r>
      <w:r>
        <w:rPr>
          <w:rFonts w:hint="eastAsia" w:ascii="Arial" w:hAnsi="Arial" w:eastAsia="宋体" w:cs="Arial"/>
          <w:b w:val="0"/>
          <w:bCs/>
          <w:i w:val="0"/>
          <w:iCs w:val="0"/>
          <w:color w:val="auto"/>
          <w:sz w:val="24"/>
          <w:szCs w:val="24"/>
          <w:highlight w:val="none"/>
          <w:vertAlign w:val="superscript"/>
          <w:lang w:val="en-US" w:eastAsia="zh-CN"/>
        </w:rPr>
        <w:t>1,2</w:t>
      </w:r>
      <w:r>
        <w:rPr>
          <w:rFonts w:hint="default" w:ascii="Arial" w:hAnsi="Arial" w:eastAsia="宋体" w:cs="Arial"/>
          <w:b w:val="0"/>
          <w:bCs/>
          <w:i w:val="0"/>
          <w:iCs w:val="0"/>
          <w:color w:val="auto"/>
          <w:sz w:val="24"/>
          <w:szCs w:val="24"/>
          <w:highlight w:val="none"/>
          <w:lang w:val="en-US" w:eastAsia="zh-CN"/>
        </w:rPr>
        <w:t>, Lei Zhang</w:t>
      </w:r>
      <w:r>
        <w:rPr>
          <w:rFonts w:hint="eastAsia" w:ascii="Arial" w:hAnsi="Arial" w:eastAsia="宋体" w:cs="Arial"/>
          <w:b w:val="0"/>
          <w:bCs/>
          <w:i w:val="0"/>
          <w:iCs w:val="0"/>
          <w:color w:val="auto"/>
          <w:sz w:val="24"/>
          <w:szCs w:val="24"/>
          <w:highlight w:val="none"/>
          <w:vertAlign w:val="superscript"/>
          <w:lang w:val="en-US" w:eastAsia="zh-CN"/>
        </w:rPr>
        <w:t>2</w:t>
      </w:r>
      <w:r>
        <w:rPr>
          <w:rFonts w:hint="default" w:ascii="Arial" w:hAnsi="Arial" w:eastAsia="宋体" w:cs="Arial"/>
          <w:b w:val="0"/>
          <w:bCs/>
          <w:i w:val="0"/>
          <w:iCs w:val="0"/>
          <w:color w:val="auto"/>
          <w:sz w:val="24"/>
          <w:szCs w:val="24"/>
          <w:highlight w:val="none"/>
          <w:lang w:val="en-US" w:eastAsia="zh-CN"/>
        </w:rPr>
        <w:t>,</w:t>
      </w:r>
      <w:r>
        <w:rPr>
          <w:rFonts w:hint="eastAsia" w:ascii="Arial" w:hAnsi="Arial" w:eastAsia="宋体" w:cs="Arial"/>
          <w:b w:val="0"/>
          <w:bCs/>
          <w:i w:val="0"/>
          <w:iCs w:val="0"/>
          <w:color w:val="auto"/>
          <w:sz w:val="24"/>
          <w:szCs w:val="24"/>
          <w:highlight w:val="none"/>
          <w:lang w:val="en-US" w:eastAsia="zh-CN"/>
        </w:rPr>
        <w:t xml:space="preserve"> Juan tong</w:t>
      </w:r>
      <w:r>
        <w:rPr>
          <w:rFonts w:hint="eastAsia" w:ascii="Arial" w:hAnsi="Arial" w:eastAsia="宋体" w:cs="Arial"/>
          <w:b w:val="0"/>
          <w:bCs/>
          <w:i w:val="0"/>
          <w:iCs w:val="0"/>
          <w:color w:val="auto"/>
          <w:sz w:val="24"/>
          <w:szCs w:val="24"/>
          <w:highlight w:val="none"/>
          <w:vertAlign w:val="superscript"/>
          <w:lang w:val="en-US" w:eastAsia="zh-CN"/>
        </w:rPr>
        <w:t>2</w:t>
      </w:r>
      <w:r>
        <w:rPr>
          <w:rFonts w:hint="eastAsia" w:ascii="Arial" w:hAnsi="Arial" w:eastAsia="宋体" w:cs="Arial"/>
          <w:b w:val="0"/>
          <w:bCs/>
          <w:i w:val="0"/>
          <w:iCs w:val="0"/>
          <w:color w:val="auto"/>
          <w:sz w:val="24"/>
          <w:szCs w:val="24"/>
          <w:highlight w:val="none"/>
          <w:lang w:val="en-US" w:eastAsia="zh-CN"/>
        </w:rPr>
        <w:t>,</w:t>
      </w:r>
      <w:r>
        <w:rPr>
          <w:rFonts w:hint="default" w:ascii="Arial" w:hAnsi="Arial" w:eastAsia="宋体" w:cs="Arial"/>
          <w:b w:val="0"/>
          <w:bCs/>
          <w:i w:val="0"/>
          <w:iCs w:val="0"/>
          <w:color w:val="auto"/>
          <w:sz w:val="24"/>
          <w:szCs w:val="24"/>
          <w:highlight w:val="none"/>
          <w:lang w:val="en-US" w:eastAsia="zh-CN"/>
        </w:rPr>
        <w:t xml:space="preserve"> Guangyu Sun</w:t>
      </w:r>
      <w:r>
        <w:rPr>
          <w:rFonts w:hint="eastAsia" w:ascii="Arial" w:hAnsi="Arial" w:eastAsia="宋体" w:cs="Arial"/>
          <w:b w:val="0"/>
          <w:bCs/>
          <w:i w:val="0"/>
          <w:iCs w:val="0"/>
          <w:color w:val="auto"/>
          <w:sz w:val="24"/>
          <w:szCs w:val="24"/>
          <w:highlight w:val="none"/>
          <w:vertAlign w:val="superscript"/>
          <w:lang w:val="en-US" w:eastAsia="zh-CN"/>
        </w:rPr>
        <w:t>2</w:t>
      </w:r>
      <w:r>
        <w:rPr>
          <w:rFonts w:hint="default" w:ascii="Arial" w:hAnsi="Arial" w:eastAsia="宋体" w:cs="Arial"/>
          <w:b w:val="0"/>
          <w:bCs/>
          <w:i w:val="0"/>
          <w:iCs w:val="0"/>
          <w:color w:val="auto"/>
          <w:sz w:val="24"/>
          <w:szCs w:val="24"/>
          <w:highlight w:val="none"/>
          <w:lang w:val="en-US" w:eastAsia="zh-CN"/>
        </w:rPr>
        <w:t>,</w:t>
      </w:r>
      <w:r>
        <w:rPr>
          <w:rFonts w:hint="eastAsia" w:ascii="Arial" w:hAnsi="Arial" w:eastAsia="宋体" w:cs="Arial"/>
          <w:b w:val="0"/>
          <w:bCs/>
          <w:i w:val="0"/>
          <w:iCs w:val="0"/>
          <w:color w:val="auto"/>
          <w:sz w:val="24"/>
          <w:szCs w:val="24"/>
          <w:highlight w:val="none"/>
          <w:lang w:val="en-US" w:eastAsia="zh-CN"/>
        </w:rPr>
        <w:t xml:space="preserve"> </w:t>
      </w:r>
      <w:r>
        <w:rPr>
          <w:rFonts w:hint="default" w:ascii="Arial" w:hAnsi="Arial" w:eastAsia="宋体" w:cs="Arial"/>
          <w:b w:val="0"/>
          <w:bCs/>
          <w:i w:val="0"/>
          <w:iCs w:val="0"/>
          <w:color w:val="auto"/>
          <w:sz w:val="24"/>
          <w:szCs w:val="24"/>
          <w:highlight w:val="none"/>
          <w:lang w:val="en-US" w:eastAsia="zh-CN"/>
        </w:rPr>
        <w:t>Zhonglin Wei</w:t>
      </w:r>
      <w:r>
        <w:rPr>
          <w:rFonts w:hint="eastAsia" w:ascii="Arial" w:hAnsi="Arial" w:eastAsia="宋体" w:cs="Arial"/>
          <w:b w:val="0"/>
          <w:bCs/>
          <w:i w:val="0"/>
          <w:iCs w:val="0"/>
          <w:color w:val="auto"/>
          <w:sz w:val="24"/>
          <w:szCs w:val="24"/>
          <w:highlight w:val="none"/>
          <w:vertAlign w:val="superscript"/>
          <w:lang w:val="en-US" w:eastAsia="zh-CN"/>
        </w:rPr>
        <w:t>4</w:t>
      </w:r>
      <w:r>
        <w:rPr>
          <w:rFonts w:hint="default" w:ascii="Arial" w:hAnsi="Arial" w:eastAsia="宋体" w:cs="Arial"/>
          <w:b w:val="0"/>
          <w:bCs/>
          <w:i w:val="0"/>
          <w:iCs w:val="0"/>
          <w:color w:val="auto"/>
          <w:sz w:val="24"/>
          <w:szCs w:val="24"/>
          <w:highlight w:val="none"/>
          <w:lang w:val="en-US" w:eastAsia="zh-CN"/>
        </w:rPr>
        <w:t>, Xiaoliang Liu</w:t>
      </w:r>
      <w:r>
        <w:rPr>
          <w:rFonts w:hint="eastAsia" w:ascii="Arial" w:hAnsi="Arial" w:eastAsia="宋体" w:cs="Arial"/>
          <w:b w:val="0"/>
          <w:bCs/>
          <w:i w:val="0"/>
          <w:iCs w:val="0"/>
          <w:color w:val="auto"/>
          <w:sz w:val="24"/>
          <w:szCs w:val="24"/>
          <w:highlight w:val="none"/>
          <w:vertAlign w:val="superscript"/>
          <w:lang w:val="en-US" w:eastAsia="zh-CN"/>
        </w:rPr>
        <w:t>7</w:t>
      </w:r>
      <w:r>
        <w:rPr>
          <w:rFonts w:hint="default" w:ascii="Arial" w:hAnsi="Arial" w:eastAsia="宋体" w:cs="Arial"/>
          <w:b w:val="0"/>
          <w:bCs/>
          <w:i w:val="0"/>
          <w:iCs w:val="0"/>
          <w:color w:val="auto"/>
          <w:sz w:val="24"/>
          <w:szCs w:val="24"/>
          <w:highlight w:val="none"/>
          <w:lang w:val="en-US" w:eastAsia="zh-CN"/>
        </w:rPr>
        <w:t>, Yun Wu</w:t>
      </w:r>
      <w:r>
        <w:rPr>
          <w:rFonts w:hint="eastAsia" w:ascii="Arial" w:hAnsi="Arial" w:eastAsia="宋体" w:cs="Arial"/>
          <w:b w:val="0"/>
          <w:bCs/>
          <w:i w:val="0"/>
          <w:iCs w:val="0"/>
          <w:color w:val="auto"/>
          <w:sz w:val="24"/>
          <w:szCs w:val="24"/>
          <w:highlight w:val="none"/>
          <w:vertAlign w:val="superscript"/>
          <w:lang w:val="en-US" w:eastAsia="zh-CN"/>
        </w:rPr>
        <w:t>2</w:t>
      </w:r>
      <w:r>
        <w:rPr>
          <w:rFonts w:hint="default" w:ascii="Arial" w:hAnsi="Arial" w:eastAsia="宋体" w:cs="Arial"/>
          <w:b w:val="0"/>
          <w:bCs/>
          <w:i w:val="0"/>
          <w:iCs w:val="0"/>
          <w:color w:val="auto"/>
          <w:sz w:val="24"/>
          <w:szCs w:val="24"/>
          <w:highlight w:val="none"/>
          <w:lang w:val="en-US" w:eastAsia="zh-CN"/>
        </w:rPr>
        <w:t>, Zimin Sun</w:t>
      </w:r>
      <w:r>
        <w:rPr>
          <w:rFonts w:hint="eastAsia" w:ascii="Arial" w:hAnsi="Arial" w:eastAsia="宋体" w:cs="Arial"/>
          <w:b w:val="0"/>
          <w:bCs/>
          <w:i w:val="0"/>
          <w:iCs w:val="0"/>
          <w:color w:val="auto"/>
          <w:sz w:val="24"/>
          <w:szCs w:val="24"/>
          <w:highlight w:val="none"/>
          <w:vertAlign w:val="superscript"/>
          <w:lang w:val="en-US" w:eastAsia="zh-CN"/>
        </w:rPr>
        <w:t>1,2</w:t>
      </w:r>
      <w:r>
        <w:rPr>
          <w:rFonts w:hint="default" w:ascii="Arial" w:hAnsi="Arial" w:eastAsia="宋体" w:cs="Arial"/>
          <w:b w:val="0"/>
          <w:bCs/>
          <w:i w:val="0"/>
          <w:iCs w:val="0"/>
          <w:color w:val="auto"/>
          <w:sz w:val="24"/>
          <w:szCs w:val="24"/>
          <w:highlight w:val="none"/>
          <w:vertAlign w:val="superscript"/>
          <w:lang w:val="en-US" w:eastAsia="zh-CN"/>
        </w:rPr>
        <w:t>+</w:t>
      </w:r>
    </w:p>
    <w:p>
      <w:pPr>
        <w:spacing w:beforeLines="0" w:afterLines="0" w:line="480" w:lineRule="auto"/>
        <w:jc w:val="left"/>
        <w:rPr>
          <w:rFonts w:hint="default" w:ascii="Arial" w:hAnsi="Arial" w:eastAsia="宋体" w:cs="Arial"/>
          <w:b w:val="0"/>
          <w:bCs/>
          <w:i w:val="0"/>
          <w:iCs w:val="0"/>
          <w:color w:val="auto"/>
          <w:sz w:val="24"/>
          <w:szCs w:val="24"/>
          <w:highlight w:val="none"/>
          <w:vertAlign w:val="superscript"/>
          <w:lang w:val="en-US" w:eastAsia="zh-CN"/>
        </w:rPr>
      </w:pPr>
    </w:p>
    <w:p>
      <w:pPr>
        <w:spacing w:beforeLines="0" w:afterLines="0" w:line="480" w:lineRule="auto"/>
        <w:jc w:val="left"/>
        <w:rPr>
          <w:rFonts w:hint="default" w:ascii="Arial" w:hAnsi="Arial" w:eastAsia="宋体" w:cs="Arial"/>
          <w:b w:val="0"/>
          <w:bCs/>
          <w:color w:val="auto"/>
          <w:sz w:val="24"/>
          <w:szCs w:val="24"/>
          <w:lang w:val="en-US" w:eastAsia="zh-CN"/>
        </w:rPr>
      </w:pPr>
      <w:r>
        <w:rPr>
          <w:rFonts w:hint="eastAsia" w:ascii="Arial" w:hAnsi="Arial" w:eastAsia="宋体" w:cs="Arial"/>
          <w:b w:val="0"/>
          <w:bCs/>
          <w:i w:val="0"/>
          <w:iCs w:val="0"/>
          <w:color w:val="auto"/>
          <w:sz w:val="24"/>
          <w:szCs w:val="24"/>
          <w:highlight w:val="none"/>
          <w:vertAlign w:val="superscript"/>
          <w:lang w:val="en-US" w:eastAsia="zh-CN"/>
        </w:rPr>
        <w:t>1</w:t>
      </w:r>
      <w:r>
        <w:rPr>
          <w:rFonts w:hint="default" w:ascii="Arial" w:hAnsi="Arial" w:eastAsia="宋体" w:cs="Arial"/>
          <w:b w:val="0"/>
          <w:bCs/>
          <w:color w:val="auto"/>
          <w:sz w:val="24"/>
          <w:szCs w:val="24"/>
          <w:lang w:val="en-US" w:eastAsia="zh-CN"/>
        </w:rPr>
        <w:t>Shandong University School of Medicine, Jinan, China</w:t>
      </w:r>
    </w:p>
    <w:p>
      <w:pPr>
        <w:spacing w:beforeLines="0" w:afterLines="0" w:line="480" w:lineRule="auto"/>
        <w:jc w:val="left"/>
        <w:rPr>
          <w:rFonts w:hint="default" w:ascii="Arial" w:hAnsi="Arial" w:eastAsia="宋体" w:cs="Arial"/>
          <w:b w:val="0"/>
          <w:bCs/>
          <w:color w:val="auto"/>
          <w:sz w:val="24"/>
          <w:szCs w:val="24"/>
          <w:lang w:val="en-US" w:eastAsia="zh-CN"/>
        </w:rPr>
      </w:pPr>
      <w:r>
        <w:rPr>
          <w:rFonts w:hint="eastAsia" w:ascii="Arial" w:hAnsi="Arial" w:eastAsia="宋体" w:cs="Arial"/>
          <w:b w:val="0"/>
          <w:bCs/>
          <w:color w:val="auto"/>
          <w:sz w:val="24"/>
          <w:szCs w:val="24"/>
          <w:vertAlign w:val="superscript"/>
          <w:lang w:val="en-US" w:eastAsia="zh-CN"/>
        </w:rPr>
        <w:t>2</w:t>
      </w:r>
      <w:r>
        <w:rPr>
          <w:rFonts w:hint="default" w:ascii="Arial" w:hAnsi="Arial" w:eastAsia="宋体" w:cs="Arial"/>
          <w:b w:val="0"/>
          <w:bCs/>
          <w:color w:val="auto"/>
          <w:sz w:val="24"/>
          <w:szCs w:val="24"/>
          <w:lang w:val="en-US" w:eastAsia="zh-CN"/>
        </w:rPr>
        <w:t xml:space="preserve">Department of Hematology, The First Affiliated Hospital of </w:t>
      </w:r>
      <w:r>
        <w:rPr>
          <w:rFonts w:hint="eastAsia" w:ascii="Arial" w:hAnsi="Arial" w:cs="Arial"/>
          <w:b w:val="0"/>
          <w:bCs/>
          <w:color w:val="auto"/>
          <w:sz w:val="24"/>
          <w:szCs w:val="24"/>
          <w:lang w:val="en-US" w:eastAsia="zh-CN"/>
        </w:rPr>
        <w:t xml:space="preserve">USTC,Division of Life Sciences and Medcine, </w:t>
      </w:r>
      <w:r>
        <w:rPr>
          <w:rFonts w:hint="default" w:ascii="Arial" w:hAnsi="Arial" w:eastAsia="宋体" w:cs="Arial"/>
          <w:b w:val="0"/>
          <w:bCs/>
          <w:color w:val="auto"/>
          <w:sz w:val="24"/>
          <w:szCs w:val="24"/>
          <w:lang w:val="en-US" w:eastAsia="zh-CN"/>
        </w:rPr>
        <w:t>University of Science and Technology of China</w:t>
      </w:r>
      <w:r>
        <w:rPr>
          <w:rFonts w:hint="eastAsia" w:ascii="Arial" w:hAnsi="Arial" w:eastAsia="宋体" w:cs="Arial"/>
          <w:b w:val="0"/>
          <w:bCs/>
          <w:color w:val="auto"/>
          <w:sz w:val="24"/>
          <w:szCs w:val="24"/>
          <w:lang w:val="en-US" w:eastAsia="zh-CN"/>
        </w:rPr>
        <w:t xml:space="preserve">, </w:t>
      </w:r>
      <w:r>
        <w:rPr>
          <w:rFonts w:hint="default" w:ascii="Arial" w:hAnsi="Arial" w:eastAsia="宋体" w:cs="Arial"/>
          <w:b w:val="0"/>
          <w:bCs/>
          <w:color w:val="auto"/>
          <w:sz w:val="24"/>
          <w:szCs w:val="24"/>
          <w:lang w:val="en-US" w:eastAsia="zh-CN"/>
        </w:rPr>
        <w:t>Hefei,</w:t>
      </w:r>
      <w:r>
        <w:rPr>
          <w:rFonts w:hint="eastAsia" w:ascii="Arial" w:hAnsi="Arial" w:cs="Arial"/>
          <w:b w:val="0"/>
          <w:bCs/>
          <w:color w:val="auto"/>
          <w:sz w:val="24"/>
          <w:szCs w:val="24"/>
          <w:lang w:val="en-US" w:eastAsia="zh-CN"/>
        </w:rPr>
        <w:t xml:space="preserve"> </w:t>
      </w:r>
      <w:r>
        <w:rPr>
          <w:rFonts w:hint="default" w:ascii="Arial" w:hAnsi="Arial" w:eastAsia="宋体" w:cs="Arial"/>
          <w:b w:val="0"/>
          <w:bCs/>
          <w:color w:val="auto"/>
          <w:sz w:val="24"/>
          <w:szCs w:val="24"/>
          <w:lang w:val="en-US" w:eastAsia="zh-CN"/>
        </w:rPr>
        <w:t>China</w:t>
      </w:r>
      <w:r>
        <w:rPr>
          <w:rFonts w:hint="eastAsia" w:ascii="Arial" w:hAnsi="Arial" w:eastAsia="宋体" w:cs="Arial"/>
          <w:b w:val="0"/>
          <w:bCs/>
          <w:color w:val="auto"/>
          <w:sz w:val="24"/>
          <w:szCs w:val="24"/>
          <w:lang w:val="en-US" w:eastAsia="zh-CN"/>
        </w:rPr>
        <w:t>;</w:t>
      </w:r>
    </w:p>
    <w:p>
      <w:pPr>
        <w:spacing w:beforeLines="0" w:afterLines="0" w:line="480" w:lineRule="auto"/>
        <w:jc w:val="left"/>
        <w:rPr>
          <w:rFonts w:hint="default" w:ascii="Arial" w:hAnsi="Arial" w:eastAsia="宋体" w:cs="Arial"/>
          <w:b w:val="0"/>
          <w:bCs/>
          <w:color w:val="auto"/>
          <w:sz w:val="24"/>
          <w:szCs w:val="24"/>
          <w:highlight w:val="none"/>
          <w:lang w:val="en-US" w:eastAsia="zh-CN"/>
        </w:rPr>
      </w:pPr>
      <w:r>
        <w:rPr>
          <w:rFonts w:hint="eastAsia" w:ascii="Arial" w:hAnsi="Arial" w:eastAsia="宋体" w:cs="Arial"/>
          <w:b w:val="0"/>
          <w:bCs/>
          <w:i w:val="0"/>
          <w:iCs w:val="0"/>
          <w:color w:val="auto"/>
          <w:sz w:val="24"/>
          <w:szCs w:val="24"/>
          <w:highlight w:val="none"/>
          <w:vertAlign w:val="superscript"/>
          <w:lang w:val="en-US" w:eastAsia="zh-CN"/>
        </w:rPr>
        <w:t>3</w:t>
      </w:r>
      <w:r>
        <w:rPr>
          <w:rFonts w:hint="default" w:ascii="Arial" w:hAnsi="Arial" w:eastAsia="宋体" w:cs="Arial"/>
          <w:b w:val="0"/>
          <w:bCs/>
          <w:color w:val="auto"/>
          <w:sz w:val="24"/>
          <w:szCs w:val="24"/>
          <w:lang w:val="en-US" w:eastAsia="zh-CN"/>
        </w:rPr>
        <w:t>Department of Hematology, Xinhua Hospital Affiliated to Shanghai Jiao Tong University School of Medicine, Shanghai, China</w:t>
      </w:r>
      <w:r>
        <w:rPr>
          <w:rFonts w:hint="eastAsia" w:ascii="Arial" w:hAnsi="Arial" w:eastAsia="宋体" w:cs="Arial"/>
          <w:b w:val="0"/>
          <w:bCs/>
          <w:color w:val="auto"/>
          <w:sz w:val="24"/>
          <w:szCs w:val="24"/>
          <w:lang w:val="en-US" w:eastAsia="zh-CN"/>
        </w:rPr>
        <w:t>;</w:t>
      </w:r>
    </w:p>
    <w:p>
      <w:pPr>
        <w:spacing w:beforeLines="0" w:afterLines="0" w:line="480" w:lineRule="auto"/>
        <w:jc w:val="left"/>
        <w:rPr>
          <w:rFonts w:hint="default" w:ascii="Arial" w:hAnsi="Arial" w:eastAsia="宋体" w:cs="Arial"/>
          <w:b w:val="0"/>
          <w:bCs/>
          <w:color w:val="auto"/>
          <w:sz w:val="24"/>
          <w:szCs w:val="24"/>
          <w:highlight w:val="none"/>
          <w:lang w:val="en-US" w:eastAsia="zh-CN"/>
        </w:rPr>
      </w:pPr>
      <w:r>
        <w:rPr>
          <w:rFonts w:hint="eastAsia" w:ascii="Arial" w:hAnsi="Arial" w:eastAsia="宋体" w:cs="Arial"/>
          <w:b w:val="0"/>
          <w:bCs/>
          <w:i w:val="0"/>
          <w:iCs w:val="0"/>
          <w:color w:val="auto"/>
          <w:sz w:val="24"/>
          <w:szCs w:val="24"/>
          <w:highlight w:val="none"/>
          <w:vertAlign w:val="superscript"/>
          <w:lang w:val="en-US" w:eastAsia="zh-CN"/>
        </w:rPr>
        <w:t>4</w:t>
      </w:r>
      <w:r>
        <w:rPr>
          <w:rFonts w:hint="default" w:ascii="Arial" w:hAnsi="Arial" w:eastAsia="宋体" w:cs="Arial"/>
          <w:b w:val="0"/>
          <w:bCs/>
          <w:color w:val="auto"/>
          <w:sz w:val="24"/>
          <w:szCs w:val="24"/>
          <w:lang w:val="en-US" w:eastAsia="zh-CN"/>
        </w:rPr>
        <w:t>Department of Hematology, The First Affiliated Hospital of Wannan Medical College, Wuhu, China</w:t>
      </w:r>
      <w:r>
        <w:rPr>
          <w:rFonts w:hint="eastAsia" w:ascii="Arial" w:hAnsi="Arial" w:eastAsia="宋体" w:cs="Arial"/>
          <w:b w:val="0"/>
          <w:bCs/>
          <w:color w:val="auto"/>
          <w:sz w:val="24"/>
          <w:szCs w:val="24"/>
          <w:lang w:val="en-US" w:eastAsia="zh-CN"/>
        </w:rPr>
        <w:t>;</w:t>
      </w:r>
    </w:p>
    <w:p>
      <w:pPr>
        <w:spacing w:beforeLines="0" w:afterLines="0" w:line="480" w:lineRule="auto"/>
        <w:jc w:val="left"/>
        <w:rPr>
          <w:rFonts w:hint="default" w:ascii="Arial" w:hAnsi="Arial" w:eastAsia="宋体" w:cs="Arial"/>
          <w:b w:val="0"/>
          <w:bCs/>
          <w:color w:val="auto"/>
          <w:sz w:val="24"/>
          <w:szCs w:val="24"/>
          <w:highlight w:val="none"/>
          <w:lang w:val="en-US" w:eastAsia="zh-CN"/>
        </w:rPr>
      </w:pPr>
      <w:r>
        <w:rPr>
          <w:rFonts w:hint="eastAsia" w:ascii="Arial" w:hAnsi="Arial" w:eastAsia="宋体" w:cs="Arial"/>
          <w:b w:val="0"/>
          <w:bCs/>
          <w:i w:val="0"/>
          <w:iCs w:val="0"/>
          <w:color w:val="auto"/>
          <w:sz w:val="24"/>
          <w:szCs w:val="24"/>
          <w:highlight w:val="none"/>
          <w:vertAlign w:val="superscript"/>
          <w:lang w:val="en-US" w:eastAsia="zh-CN"/>
        </w:rPr>
        <w:t>5</w:t>
      </w:r>
      <w:r>
        <w:rPr>
          <w:rFonts w:hint="default" w:ascii="Arial" w:hAnsi="Arial" w:eastAsia="宋体" w:cs="Arial"/>
          <w:b w:val="0"/>
          <w:bCs/>
          <w:color w:val="auto"/>
          <w:sz w:val="24"/>
          <w:szCs w:val="24"/>
          <w:lang w:val="en-US" w:eastAsia="zh-CN"/>
        </w:rPr>
        <w:t>Department of Hematology, Hospital of Sun Yat-sen University, Sun Yat-sen University, Guangzhou, China</w:t>
      </w:r>
      <w:r>
        <w:rPr>
          <w:rFonts w:hint="eastAsia" w:ascii="Arial" w:hAnsi="Arial" w:eastAsia="宋体" w:cs="Arial"/>
          <w:b w:val="0"/>
          <w:bCs/>
          <w:color w:val="auto"/>
          <w:sz w:val="24"/>
          <w:szCs w:val="24"/>
          <w:lang w:val="en-US" w:eastAsia="zh-CN"/>
        </w:rPr>
        <w:t>;</w:t>
      </w:r>
    </w:p>
    <w:p>
      <w:pPr>
        <w:spacing w:beforeLines="0" w:afterLines="0" w:line="480" w:lineRule="auto"/>
        <w:jc w:val="left"/>
        <w:rPr>
          <w:rFonts w:hint="default" w:ascii="Arial" w:hAnsi="Arial" w:eastAsia="宋体" w:cs="Arial"/>
          <w:b w:val="0"/>
          <w:bCs/>
          <w:color w:val="auto"/>
          <w:sz w:val="24"/>
          <w:szCs w:val="24"/>
          <w:highlight w:val="none"/>
          <w:lang w:val="en-US" w:eastAsia="zh-CN"/>
        </w:rPr>
      </w:pPr>
      <w:r>
        <w:rPr>
          <w:rFonts w:hint="eastAsia" w:ascii="Arial" w:hAnsi="Arial" w:eastAsia="宋体" w:cs="Arial"/>
          <w:b w:val="0"/>
          <w:bCs/>
          <w:i w:val="0"/>
          <w:iCs w:val="0"/>
          <w:color w:val="auto"/>
          <w:sz w:val="24"/>
          <w:szCs w:val="24"/>
          <w:highlight w:val="none"/>
          <w:vertAlign w:val="superscript"/>
          <w:lang w:val="en-US" w:eastAsia="zh-CN"/>
        </w:rPr>
        <w:t>6</w:t>
      </w:r>
      <w:r>
        <w:rPr>
          <w:rFonts w:hint="default" w:ascii="Arial" w:hAnsi="Arial" w:eastAsia="宋体" w:cs="Arial"/>
          <w:b w:val="0"/>
          <w:bCs/>
          <w:color w:val="auto"/>
          <w:sz w:val="24"/>
          <w:szCs w:val="24"/>
          <w:lang w:val="en-US" w:eastAsia="zh-CN"/>
        </w:rPr>
        <w:t>Department of Hematology, Fujian Medical University Union Hospital, Fuzhou, China</w:t>
      </w:r>
      <w:r>
        <w:rPr>
          <w:rFonts w:hint="eastAsia" w:ascii="Arial" w:hAnsi="Arial" w:eastAsia="宋体" w:cs="Arial"/>
          <w:b w:val="0"/>
          <w:bCs/>
          <w:color w:val="auto"/>
          <w:sz w:val="24"/>
          <w:szCs w:val="24"/>
          <w:lang w:val="en-US" w:eastAsia="zh-CN"/>
        </w:rPr>
        <w:t>;</w:t>
      </w:r>
    </w:p>
    <w:p>
      <w:pPr>
        <w:spacing w:beforeLines="0" w:afterLines="0" w:line="480" w:lineRule="auto"/>
        <w:jc w:val="left"/>
        <w:rPr>
          <w:rFonts w:hint="default" w:ascii="Arial" w:hAnsi="Arial" w:eastAsia="宋体" w:cs="Arial"/>
          <w:b w:val="0"/>
          <w:bCs/>
          <w:color w:val="auto"/>
          <w:sz w:val="24"/>
          <w:szCs w:val="24"/>
          <w:highlight w:val="none"/>
          <w:lang w:val="en-US" w:eastAsia="zh-CN"/>
        </w:rPr>
      </w:pPr>
      <w:r>
        <w:rPr>
          <w:rFonts w:hint="eastAsia" w:ascii="Arial" w:hAnsi="Arial" w:eastAsia="宋体" w:cs="Arial"/>
          <w:b w:val="0"/>
          <w:bCs/>
          <w:i w:val="0"/>
          <w:iCs w:val="0"/>
          <w:color w:val="auto"/>
          <w:sz w:val="24"/>
          <w:szCs w:val="24"/>
          <w:highlight w:val="none"/>
          <w:vertAlign w:val="superscript"/>
          <w:lang w:val="en-US" w:eastAsia="zh-CN"/>
        </w:rPr>
        <w:t>7</w:t>
      </w:r>
      <w:r>
        <w:rPr>
          <w:rFonts w:hint="default" w:ascii="Arial" w:hAnsi="Arial" w:eastAsia="宋体" w:cs="Arial"/>
          <w:b w:val="0"/>
          <w:bCs/>
          <w:color w:val="auto"/>
          <w:sz w:val="24"/>
          <w:szCs w:val="24"/>
          <w:lang w:val="en-US" w:eastAsia="zh-CN"/>
        </w:rPr>
        <w:t>Department of Hematology, the First Hospital of Jilin</w:t>
      </w:r>
      <w:r>
        <w:rPr>
          <w:rFonts w:hint="eastAsia" w:ascii="Arial" w:hAnsi="Arial" w:eastAsia="宋体" w:cs="Arial"/>
          <w:b w:val="0"/>
          <w:bCs/>
          <w:color w:val="auto"/>
          <w:sz w:val="24"/>
          <w:szCs w:val="24"/>
          <w:lang w:val="en-US" w:eastAsia="zh-CN"/>
        </w:rPr>
        <w:t xml:space="preserve"> </w:t>
      </w:r>
      <w:r>
        <w:rPr>
          <w:rFonts w:hint="default" w:ascii="Arial" w:hAnsi="Arial" w:eastAsia="宋体" w:cs="Arial"/>
          <w:b w:val="0"/>
          <w:bCs/>
          <w:color w:val="auto"/>
          <w:sz w:val="24"/>
          <w:szCs w:val="24"/>
          <w:lang w:val="en-US" w:eastAsia="zh-CN"/>
        </w:rPr>
        <w:t>University,</w:t>
      </w:r>
      <w:r>
        <w:rPr>
          <w:rFonts w:hint="eastAsia" w:ascii="Arial" w:hAnsi="Arial" w:eastAsia="宋体" w:cs="Arial"/>
          <w:b w:val="0"/>
          <w:bCs/>
          <w:color w:val="auto"/>
          <w:sz w:val="24"/>
          <w:szCs w:val="24"/>
          <w:lang w:val="en-US" w:eastAsia="zh-CN"/>
        </w:rPr>
        <w:t xml:space="preserve"> </w:t>
      </w:r>
      <w:r>
        <w:rPr>
          <w:rFonts w:hint="default" w:ascii="Arial" w:hAnsi="Arial" w:eastAsia="宋体" w:cs="Arial"/>
          <w:b w:val="0"/>
          <w:bCs/>
          <w:color w:val="auto"/>
          <w:sz w:val="24"/>
          <w:szCs w:val="24"/>
          <w:lang w:val="en-US" w:eastAsia="zh-CN"/>
        </w:rPr>
        <w:t>Changchun, China</w:t>
      </w:r>
      <w:r>
        <w:rPr>
          <w:rFonts w:hint="eastAsia" w:ascii="Arial" w:hAnsi="Arial" w:eastAsia="宋体" w:cs="Arial"/>
          <w:b w:val="0"/>
          <w:bCs/>
          <w:color w:val="auto"/>
          <w:sz w:val="24"/>
          <w:szCs w:val="24"/>
          <w:lang w:val="en-US" w:eastAsia="zh-CN"/>
        </w:rPr>
        <w:t>;</w:t>
      </w:r>
    </w:p>
    <w:p>
      <w:pPr>
        <w:spacing w:beforeLines="0" w:afterLines="0" w:line="480" w:lineRule="auto"/>
        <w:jc w:val="left"/>
        <w:rPr>
          <w:rFonts w:hint="default" w:ascii="Arial" w:hAnsi="Arial" w:eastAsia="宋体" w:cs="Arial"/>
          <w:b w:val="0"/>
          <w:bCs/>
          <w:color w:val="auto"/>
          <w:sz w:val="24"/>
          <w:szCs w:val="24"/>
          <w:lang w:val="en-US" w:eastAsia="zh-CN"/>
        </w:rPr>
      </w:pPr>
      <w:r>
        <w:rPr>
          <w:rFonts w:hint="eastAsia" w:ascii="Arial" w:hAnsi="Arial" w:eastAsia="宋体" w:cs="Arial"/>
          <w:b w:val="0"/>
          <w:bCs/>
          <w:i w:val="0"/>
          <w:iCs w:val="0"/>
          <w:color w:val="auto"/>
          <w:sz w:val="24"/>
          <w:szCs w:val="24"/>
          <w:highlight w:val="none"/>
          <w:vertAlign w:val="superscript"/>
          <w:lang w:val="en-US" w:eastAsia="zh-CN"/>
        </w:rPr>
        <w:t>8</w:t>
      </w:r>
      <w:r>
        <w:rPr>
          <w:rFonts w:hint="default" w:ascii="Arial" w:hAnsi="Arial" w:eastAsia="宋体" w:cs="Arial"/>
          <w:b w:val="0"/>
          <w:bCs/>
          <w:color w:val="auto"/>
          <w:sz w:val="24"/>
          <w:szCs w:val="24"/>
          <w:lang w:val="en-US" w:eastAsia="zh-CN"/>
        </w:rPr>
        <w:t>Department of Hematology, Chenzhou N</w:t>
      </w:r>
      <w:r>
        <w:rPr>
          <w:rFonts w:hint="eastAsia" w:ascii="Arial" w:hAnsi="Arial" w:eastAsia="宋体" w:cs="Arial"/>
          <w:b w:val="0"/>
          <w:bCs/>
          <w:color w:val="auto"/>
          <w:sz w:val="24"/>
          <w:szCs w:val="24"/>
          <w:lang w:val="en-US" w:eastAsia="zh-CN"/>
        </w:rPr>
        <w:t>o</w:t>
      </w:r>
      <w:r>
        <w:rPr>
          <w:rFonts w:hint="default" w:ascii="Arial" w:hAnsi="Arial" w:eastAsia="宋体" w:cs="Arial"/>
          <w:b w:val="0"/>
          <w:bCs/>
          <w:color w:val="auto"/>
          <w:sz w:val="24"/>
          <w:szCs w:val="24"/>
          <w:lang w:val="en-US" w:eastAsia="zh-CN"/>
        </w:rPr>
        <w:t>.1 People's Hospital, Chenzhou, China</w:t>
      </w:r>
      <w:r>
        <w:rPr>
          <w:rFonts w:hint="eastAsia" w:ascii="Arial" w:hAnsi="Arial" w:eastAsia="宋体" w:cs="Arial"/>
          <w:b w:val="0"/>
          <w:bCs/>
          <w:color w:val="auto"/>
          <w:sz w:val="24"/>
          <w:szCs w:val="24"/>
          <w:lang w:val="en-US" w:eastAsia="zh-CN"/>
        </w:rPr>
        <w:t>;</w:t>
      </w:r>
    </w:p>
    <w:p>
      <w:pPr>
        <w:spacing w:beforeLines="0" w:afterLines="0" w:line="480" w:lineRule="auto"/>
        <w:jc w:val="left"/>
        <w:rPr>
          <w:rFonts w:hint="default" w:ascii="Arial" w:hAnsi="Arial" w:eastAsia="宋体" w:cs="Arial"/>
          <w:b w:val="0"/>
          <w:bCs/>
          <w:color w:val="auto"/>
          <w:sz w:val="24"/>
          <w:szCs w:val="24"/>
          <w:lang w:val="en-US" w:eastAsia="zh-CN"/>
        </w:rPr>
      </w:pPr>
      <w:r>
        <w:rPr>
          <w:rFonts w:hint="eastAsia" w:ascii="Arial" w:hAnsi="Arial" w:eastAsia="宋体" w:cs="Arial"/>
          <w:b w:val="0"/>
          <w:bCs/>
          <w:color w:val="auto"/>
          <w:sz w:val="24"/>
          <w:szCs w:val="24"/>
          <w:vertAlign w:val="superscript"/>
          <w:lang w:val="en-US" w:eastAsia="zh-CN"/>
        </w:rPr>
        <w:t>9</w:t>
      </w:r>
      <w:r>
        <w:rPr>
          <w:rFonts w:hint="eastAsia" w:ascii="Arial" w:hAnsi="Arial" w:eastAsia="宋体" w:cs="Arial"/>
          <w:b w:val="0"/>
          <w:bCs/>
          <w:color w:val="auto"/>
          <w:sz w:val="24"/>
          <w:szCs w:val="24"/>
          <w:lang w:val="en-US" w:eastAsia="zh-CN"/>
        </w:rPr>
        <w:t>Institute of Hematology</w:t>
      </w:r>
      <w:r>
        <w:rPr>
          <w:rFonts w:hint="default" w:ascii="Arial" w:hAnsi="Arial" w:eastAsia="宋体" w:cs="Arial"/>
          <w:b w:val="0"/>
          <w:bCs/>
          <w:color w:val="auto"/>
          <w:sz w:val="24"/>
          <w:szCs w:val="24"/>
          <w:lang w:val="en-US" w:eastAsia="zh-CN"/>
        </w:rPr>
        <w:t>, Anhui Medical University, Hefei, China</w:t>
      </w:r>
      <w:r>
        <w:rPr>
          <w:rFonts w:hint="eastAsia" w:ascii="Arial" w:hAnsi="Arial" w:eastAsia="宋体" w:cs="Arial"/>
          <w:b w:val="0"/>
          <w:bCs/>
          <w:color w:val="auto"/>
          <w:sz w:val="24"/>
          <w:szCs w:val="24"/>
          <w:lang w:val="en-US" w:eastAsia="zh-CN"/>
        </w:rPr>
        <w:t>.</w:t>
      </w:r>
    </w:p>
    <w:p>
      <w:pPr>
        <w:spacing w:beforeLines="0" w:afterLines="0" w:line="480" w:lineRule="auto"/>
        <w:jc w:val="left"/>
        <w:rPr>
          <w:rFonts w:hint="default" w:ascii="Arial" w:hAnsi="Arial" w:eastAsia="宋体" w:cs="Arial"/>
          <w:b w:val="0"/>
          <w:bCs/>
          <w:color w:val="auto"/>
          <w:sz w:val="24"/>
          <w:szCs w:val="24"/>
          <w:lang w:val="en-US" w:eastAsia="zh-CN"/>
        </w:rPr>
      </w:pPr>
      <w:r>
        <w:rPr>
          <w:rFonts w:hint="default" w:ascii="Arial" w:hAnsi="Arial" w:eastAsia="宋体" w:cs="Arial"/>
          <w:b w:val="0"/>
          <w:bCs/>
          <w:color w:val="auto"/>
          <w:sz w:val="24"/>
          <w:szCs w:val="24"/>
          <w:lang w:val="en-US" w:eastAsia="zh-CN"/>
        </w:rPr>
        <w:t>*These authors contributed equally to this work</w:t>
      </w:r>
    </w:p>
    <w:p>
      <w:pPr>
        <w:spacing w:beforeLines="0" w:afterLines="0" w:line="480" w:lineRule="auto"/>
        <w:jc w:val="left"/>
        <w:rPr>
          <w:rFonts w:hint="default" w:ascii="Arial" w:hAnsi="Arial" w:eastAsia="宋体" w:cs="Arial"/>
          <w:b w:val="0"/>
          <w:bCs/>
          <w:color w:val="auto"/>
          <w:sz w:val="24"/>
          <w:szCs w:val="24"/>
          <w:lang w:val="en-US" w:eastAsia="zh-CN"/>
        </w:rPr>
      </w:pPr>
    </w:p>
    <w:p>
      <w:pPr>
        <w:spacing w:beforeLines="0" w:afterLines="0" w:line="480" w:lineRule="auto"/>
        <w:jc w:val="left"/>
        <w:rPr>
          <w:rFonts w:hint="eastAsia" w:ascii="Arial" w:hAnsi="Arial" w:eastAsia="宋体" w:cs="Arial"/>
          <w:b w:val="0"/>
          <w:bCs/>
          <w:color w:val="auto"/>
          <w:sz w:val="24"/>
          <w:szCs w:val="24"/>
          <w:lang w:val="en-US" w:eastAsia="zh-CN"/>
        </w:rPr>
      </w:pPr>
      <w:r>
        <w:rPr>
          <w:rFonts w:hint="default" w:ascii="Arial" w:hAnsi="Arial" w:eastAsia="宋体" w:cs="Arial"/>
          <w:b w:val="0"/>
          <w:bCs/>
          <w:i w:val="0"/>
          <w:iCs w:val="0"/>
          <w:color w:val="auto"/>
          <w:sz w:val="24"/>
          <w:szCs w:val="24"/>
          <w:highlight w:val="none"/>
          <w:vertAlign w:val="superscript"/>
          <w:lang w:val="en-US" w:eastAsia="zh-CN"/>
        </w:rPr>
        <w:t>+</w:t>
      </w:r>
      <w:r>
        <w:rPr>
          <w:rFonts w:hint="eastAsia" w:ascii="Arial" w:hAnsi="Arial" w:eastAsia="宋体" w:cs="Arial"/>
          <w:b/>
          <w:bCs w:val="0"/>
          <w:color w:val="auto"/>
          <w:sz w:val="24"/>
          <w:szCs w:val="24"/>
          <w:lang w:val="en-US" w:eastAsia="zh-CN"/>
        </w:rPr>
        <w:t>C</w:t>
      </w:r>
      <w:r>
        <w:rPr>
          <w:rFonts w:hint="default" w:ascii="Arial" w:hAnsi="Arial" w:eastAsia="宋体" w:cs="Arial"/>
          <w:b/>
          <w:bCs w:val="0"/>
          <w:color w:val="auto"/>
          <w:sz w:val="24"/>
          <w:szCs w:val="24"/>
          <w:lang w:val="en-US" w:eastAsia="zh-CN"/>
        </w:rPr>
        <w:t>orrespond</w:t>
      </w:r>
      <w:r>
        <w:rPr>
          <w:rFonts w:hint="eastAsia" w:ascii="Arial" w:hAnsi="Arial" w:eastAsia="宋体" w:cs="Arial"/>
          <w:b/>
          <w:bCs w:val="0"/>
          <w:color w:val="auto"/>
          <w:sz w:val="24"/>
          <w:szCs w:val="24"/>
          <w:lang w:val="en-US" w:eastAsia="zh-CN"/>
        </w:rPr>
        <w:t xml:space="preserve">ence: </w:t>
      </w:r>
      <w:r>
        <w:rPr>
          <w:rFonts w:hint="eastAsia" w:ascii="Arial" w:hAnsi="Arial" w:cs="Arial"/>
          <w:b/>
          <w:bCs w:val="0"/>
          <w:color w:val="auto"/>
          <w:sz w:val="24"/>
          <w:szCs w:val="24"/>
          <w:lang w:val="en-US" w:eastAsia="zh-CN"/>
        </w:rPr>
        <w:t xml:space="preserve"> </w:t>
      </w:r>
      <w:r>
        <w:rPr>
          <w:rFonts w:hint="default" w:ascii="Arial" w:hAnsi="Arial" w:eastAsia="宋体" w:cs="Arial"/>
          <w:b w:val="0"/>
          <w:bCs/>
          <w:color w:val="auto"/>
          <w:sz w:val="24"/>
          <w:szCs w:val="24"/>
          <w:lang w:val="en-US" w:eastAsia="zh-CN"/>
        </w:rPr>
        <w:t>Zimin Sun</w:t>
      </w:r>
      <w:r>
        <w:rPr>
          <w:rFonts w:hint="eastAsia" w:ascii="Arial" w:hAnsi="Arial" w:cs="Arial"/>
          <w:b w:val="0"/>
          <w:bCs/>
          <w:color w:val="auto"/>
          <w:sz w:val="24"/>
          <w:szCs w:val="24"/>
          <w:lang w:val="en-US" w:eastAsia="zh-CN"/>
        </w:rPr>
        <w:t xml:space="preserve">, Ph.D., </w:t>
      </w:r>
      <w:r>
        <w:rPr>
          <w:rFonts w:hint="default" w:ascii="Arial" w:hAnsi="Arial" w:eastAsia="宋体" w:cs="Arial"/>
          <w:b w:val="0"/>
          <w:bCs/>
          <w:color w:val="auto"/>
          <w:sz w:val="24"/>
          <w:szCs w:val="24"/>
          <w:lang w:val="en-US" w:eastAsia="zh-CN"/>
        </w:rPr>
        <w:t>Department of Hematology,</w:t>
      </w:r>
      <w:r>
        <w:rPr>
          <w:rFonts w:hint="eastAsia" w:ascii="Arial" w:hAnsi="Arial" w:eastAsia="宋体" w:cs="Arial"/>
          <w:b w:val="0"/>
          <w:bCs/>
          <w:color w:val="auto"/>
          <w:sz w:val="24"/>
          <w:szCs w:val="24"/>
          <w:lang w:val="en-US" w:eastAsia="zh-CN"/>
        </w:rPr>
        <w:t xml:space="preserve"> No.17, Lujiang Road, Hefei, Anhui, China, 230001.</w:t>
      </w:r>
      <w:r>
        <w:rPr>
          <w:rFonts w:hint="eastAsia" w:ascii="Arial" w:hAnsi="Arial" w:cs="Arial"/>
          <w:b w:val="0"/>
          <w:bCs/>
          <w:color w:val="auto"/>
          <w:sz w:val="24"/>
          <w:szCs w:val="24"/>
          <w:lang w:val="en-US" w:eastAsia="zh-CN"/>
        </w:rPr>
        <w:t xml:space="preserve"> </w:t>
      </w:r>
      <w:r>
        <w:rPr>
          <w:rFonts w:hint="eastAsia" w:ascii="Arial" w:hAnsi="Arial" w:eastAsia="宋体" w:cs="Arial"/>
          <w:b w:val="0"/>
          <w:bCs/>
          <w:color w:val="auto"/>
          <w:sz w:val="24"/>
          <w:szCs w:val="24"/>
          <w:lang w:val="en-US" w:eastAsia="zh-CN"/>
        </w:rPr>
        <w:t>Telephone: +86 551 62282992</w:t>
      </w:r>
      <w:r>
        <w:rPr>
          <w:rFonts w:hint="eastAsia" w:ascii="Arial" w:hAnsi="Arial" w:cs="Arial"/>
          <w:b w:val="0"/>
          <w:bCs/>
          <w:color w:val="auto"/>
          <w:sz w:val="24"/>
          <w:szCs w:val="24"/>
          <w:lang w:val="en-US" w:eastAsia="zh-CN"/>
        </w:rPr>
        <w:t xml:space="preserve">, </w:t>
      </w:r>
    </w:p>
    <w:p>
      <w:pPr>
        <w:spacing w:beforeLines="0" w:afterLines="0" w:line="480" w:lineRule="auto"/>
        <w:jc w:val="left"/>
        <w:rPr>
          <w:rFonts w:hint="eastAsia" w:ascii="Times New Roman" w:hAnsi="Times New Roman" w:eastAsia="苹方-简" w:cs="Times New Roman"/>
          <w:b w:val="0"/>
          <w:i w:val="0"/>
          <w:caps w:val="0"/>
          <w:color w:val="0000FF"/>
          <w:spacing w:val="0"/>
          <w:kern w:val="2"/>
          <w:sz w:val="20"/>
          <w:szCs w:val="20"/>
          <w:u w:val="single"/>
          <w:shd w:val="clear" w:color="auto" w:fill="FFFFFF"/>
          <w:lang w:val="en-US" w:eastAsia="zh-CN" w:bidi="ar-SA"/>
        </w:rPr>
      </w:pPr>
      <w:r>
        <w:rPr>
          <w:rFonts w:hint="eastAsia" w:ascii="Arial" w:hAnsi="Arial" w:eastAsia="宋体" w:cs="Arial"/>
          <w:b w:val="0"/>
          <w:bCs/>
          <w:color w:val="auto"/>
          <w:sz w:val="24"/>
          <w:szCs w:val="24"/>
          <w:lang w:val="en-US" w:eastAsia="zh-CN"/>
        </w:rPr>
        <w:t>Fax: +86 551 62282121</w:t>
      </w:r>
      <w:r>
        <w:rPr>
          <w:rFonts w:hint="eastAsia" w:ascii="Arial" w:hAnsi="Arial" w:cs="Arial"/>
          <w:b w:val="0"/>
          <w:bCs/>
          <w:color w:val="auto"/>
          <w:sz w:val="24"/>
          <w:szCs w:val="24"/>
          <w:lang w:val="en-US" w:eastAsia="zh-CN"/>
        </w:rPr>
        <w:t xml:space="preserve">, </w:t>
      </w:r>
      <w:r>
        <w:rPr>
          <w:rFonts w:hint="eastAsia" w:ascii="Arial" w:hAnsi="Arial" w:eastAsia="宋体" w:cs="Arial"/>
          <w:b w:val="0"/>
          <w:bCs/>
          <w:color w:val="auto"/>
          <w:sz w:val="24"/>
          <w:szCs w:val="24"/>
          <w:lang w:val="en-US" w:eastAsia="zh-CN"/>
        </w:rPr>
        <w:t>E-m</w:t>
      </w:r>
      <w:r>
        <w:rPr>
          <w:rFonts w:hint="eastAsia" w:ascii="Arial" w:hAnsi="Arial" w:eastAsia="宋体" w:cs="Arial"/>
          <w:b w:val="0"/>
          <w:bCs/>
          <w:color w:val="auto"/>
          <w:kern w:val="2"/>
          <w:sz w:val="24"/>
          <w:szCs w:val="24"/>
          <w:lang w:val="en-US" w:eastAsia="zh-CN" w:bidi="ar-SA"/>
        </w:rPr>
        <w:t xml:space="preserve">ail: </w:t>
      </w:r>
      <w:r>
        <w:rPr>
          <w:rFonts w:hint="default" w:ascii="Arial" w:hAnsi="Arial" w:eastAsia="宋体" w:cs="Arial"/>
          <w:b w:val="0"/>
          <w:bCs/>
          <w:color w:val="0000FF"/>
          <w:kern w:val="2"/>
          <w:sz w:val="24"/>
          <w:szCs w:val="24"/>
          <w:u w:val="single"/>
          <w:lang w:val="en-US" w:eastAsia="zh-CN" w:bidi="ar-SA"/>
        </w:rPr>
        <w:t>zmsun_vip@163.com</w:t>
      </w:r>
    </w:p>
    <w:p>
      <w:pPr>
        <w:spacing w:beforeLines="0" w:afterLines="0" w:line="480" w:lineRule="auto"/>
        <w:jc w:val="left"/>
        <w:rPr>
          <w:rFonts w:hint="default" w:ascii="Arial" w:hAnsi="Arial" w:cs="Arial"/>
          <w:b w:val="0"/>
          <w:bCs w:val="0"/>
          <w:color w:val="auto"/>
          <w:sz w:val="24"/>
          <w:szCs w:val="24"/>
          <w:lang w:val="en-US" w:eastAsia="zh-CN"/>
        </w:rPr>
      </w:pPr>
    </w:p>
    <w:p>
      <w:pPr>
        <w:spacing w:beforeLines="0" w:afterLines="0" w:line="480" w:lineRule="auto"/>
        <w:jc w:val="left"/>
        <w:rPr>
          <w:rFonts w:hint="default" w:ascii="Arial" w:hAnsi="Arial" w:cs="Arial"/>
          <w:color w:val="auto"/>
          <w:sz w:val="24"/>
          <w:szCs w:val="24"/>
          <w:highlight w:val="none"/>
          <w:lang w:val="en-US" w:eastAsia="zh-CN"/>
        </w:rPr>
      </w:pPr>
      <w:r>
        <w:rPr>
          <w:rFonts w:hint="default" w:ascii="Arial" w:hAnsi="Arial" w:eastAsia="宋体" w:cs="Arial"/>
          <w:b/>
          <w:bCs w:val="0"/>
          <w:color w:val="auto"/>
          <w:sz w:val="24"/>
          <w:szCs w:val="24"/>
          <w:lang w:val="en-US" w:eastAsia="zh-CN"/>
        </w:rPr>
        <w:t>Key Words:</w:t>
      </w:r>
      <w:r>
        <w:rPr>
          <w:rFonts w:hint="default" w:ascii="Arial" w:hAnsi="Arial" w:cs="Arial"/>
          <w:color w:val="auto"/>
          <w:sz w:val="24"/>
          <w:szCs w:val="24"/>
          <w:highlight w:val="none"/>
          <w:lang w:val="en-US" w:eastAsia="zh-CN"/>
        </w:rPr>
        <w:t>cord blood transplantation</w:t>
      </w:r>
      <w:r>
        <w:rPr>
          <w:rFonts w:hint="eastAsia" w:ascii="Arial" w:hAnsi="Arial" w:cs="Arial"/>
          <w:color w:val="auto"/>
          <w:sz w:val="24"/>
          <w:szCs w:val="24"/>
          <w:highlight w:val="none"/>
          <w:lang w:val="en-US" w:eastAsia="zh-CN"/>
        </w:rPr>
        <w:t xml:space="preserve">; myeloablative conditioning regimen; </w:t>
      </w:r>
      <w:r>
        <w:rPr>
          <w:rFonts w:hint="default" w:ascii="Arial" w:hAnsi="Arial" w:cs="Arial"/>
          <w:color w:val="auto"/>
          <w:sz w:val="24"/>
          <w:szCs w:val="24"/>
          <w:highlight w:val="none"/>
          <w:lang w:val="en-US" w:eastAsia="zh-CN"/>
        </w:rPr>
        <w:t>hematologic malignancies</w:t>
      </w:r>
    </w:p>
    <w:p>
      <w:pPr>
        <w:spacing w:beforeLines="0" w:afterLines="0" w:line="480" w:lineRule="auto"/>
        <w:jc w:val="left"/>
        <w:rPr>
          <w:rFonts w:hint="default" w:ascii="T3" w:hAnsi="T3" w:eastAsia="T3"/>
          <w:sz w:val="21"/>
          <w:lang w:val="en-US" w:eastAsia="zh-CN"/>
        </w:rPr>
      </w:pPr>
    </w:p>
    <w:p>
      <w:pPr>
        <w:widowControl w:val="0"/>
        <w:numPr>
          <w:ilvl w:val="0"/>
          <w:numId w:val="0"/>
        </w:numPr>
        <w:tabs>
          <w:tab w:val="left" w:pos="312"/>
        </w:tabs>
        <w:spacing w:line="480" w:lineRule="auto"/>
        <w:jc w:val="both"/>
        <w:rPr>
          <w:rFonts w:hint="default" w:ascii="Arial" w:hAnsi="Arial" w:cs="Arial"/>
          <w:b/>
          <w:bCs/>
          <w:color w:val="auto"/>
          <w:sz w:val="24"/>
          <w:szCs w:val="24"/>
          <w:highlight w:val="none"/>
          <w:lang w:val="en-US" w:eastAsia="zh-CN"/>
        </w:rPr>
      </w:pPr>
      <w:r>
        <w:rPr>
          <w:rFonts w:hint="default" w:ascii="Arial" w:hAnsi="Arial" w:cs="Arial"/>
          <w:b/>
          <w:bCs/>
          <w:color w:val="auto"/>
          <w:sz w:val="24"/>
          <w:szCs w:val="24"/>
          <w:highlight w:val="none"/>
          <w:lang w:val="en-US" w:eastAsia="zh-CN"/>
        </w:rPr>
        <w:t>A</w:t>
      </w:r>
      <w:r>
        <w:rPr>
          <w:rFonts w:hint="eastAsia" w:ascii="Arial" w:hAnsi="Arial" w:cs="Arial"/>
          <w:b/>
          <w:bCs/>
          <w:color w:val="auto"/>
          <w:sz w:val="24"/>
          <w:szCs w:val="24"/>
          <w:highlight w:val="none"/>
          <w:lang w:val="en-US" w:eastAsia="zh-CN"/>
        </w:rPr>
        <w:t>bstract:</w:t>
      </w:r>
    </w:p>
    <w:p>
      <w:pPr>
        <w:spacing w:beforeLines="0" w:afterLines="0" w:line="480" w:lineRule="auto"/>
        <w:ind w:firstLine="240" w:firstLineChars="100"/>
        <w:jc w:val="both"/>
        <w:rPr>
          <w:rFonts w:hint="eastAsia" w:ascii="Arial" w:hAnsi="Arial" w:cs="Arial"/>
          <w:b/>
          <w:bCs/>
          <w:color w:val="auto"/>
          <w:sz w:val="24"/>
          <w:szCs w:val="24"/>
          <w:lang w:val="en-US" w:eastAsia="zh-CN"/>
        </w:rPr>
      </w:pPr>
      <w:r>
        <w:rPr>
          <w:rFonts w:hint="eastAsia" w:ascii="Arial" w:hAnsi="Arial" w:cs="Arial"/>
          <w:color w:val="auto"/>
          <w:sz w:val="24"/>
          <w:szCs w:val="24"/>
          <w:highlight w:val="none"/>
          <w:lang w:val="en-US" w:eastAsia="zh-CN"/>
        </w:rPr>
        <w:t xml:space="preserve">Limited to </w:t>
      </w:r>
      <w:r>
        <w:rPr>
          <w:rFonts w:hint="default" w:ascii="Arial" w:hAnsi="Arial" w:cs="Arial"/>
          <w:color w:val="auto"/>
          <w:sz w:val="24"/>
          <w:szCs w:val="24"/>
          <w:highlight w:val="none"/>
          <w:lang w:val="en-US" w:eastAsia="zh-CN"/>
        </w:rPr>
        <w:t>inadequate stem</w:t>
      </w:r>
      <w:r>
        <w:rPr>
          <w:rFonts w:hint="eastAsia" w:ascii="Arial" w:hAnsi="Arial" w:cs="Arial"/>
          <w:color w:val="auto"/>
          <w:sz w:val="24"/>
          <w:szCs w:val="24"/>
          <w:highlight w:val="none"/>
          <w:lang w:val="en-US" w:eastAsia="zh-CN"/>
        </w:rPr>
        <w:t xml:space="preserve"> </w:t>
      </w:r>
      <w:r>
        <w:rPr>
          <w:rFonts w:hint="default" w:ascii="Arial" w:hAnsi="Arial" w:cs="Arial"/>
          <w:color w:val="auto"/>
          <w:sz w:val="24"/>
          <w:szCs w:val="24"/>
          <w:highlight w:val="none"/>
          <w:lang w:val="en-US" w:eastAsia="zh-CN"/>
        </w:rPr>
        <w:t>cell doses</w:t>
      </w:r>
      <w:r>
        <w:rPr>
          <w:rFonts w:hint="eastAsia" w:ascii="Arial" w:hAnsi="Arial" w:cs="Arial"/>
          <w:color w:val="auto"/>
          <w:sz w:val="24"/>
          <w:szCs w:val="24"/>
          <w:highlight w:val="none"/>
          <w:lang w:val="en-US" w:eastAsia="zh-CN"/>
        </w:rPr>
        <w:t xml:space="preserve">, </w:t>
      </w:r>
      <w:r>
        <w:rPr>
          <w:rFonts w:hint="default" w:ascii="Arial" w:hAnsi="Arial" w:cs="Arial"/>
          <w:color w:val="auto"/>
          <w:sz w:val="24"/>
          <w:szCs w:val="24"/>
          <w:highlight w:val="none"/>
          <w:lang w:val="en-US" w:eastAsia="zh-CN"/>
        </w:rPr>
        <w:t>cord blood transplantation(CBT)</w:t>
      </w:r>
      <w:r>
        <w:rPr>
          <w:rFonts w:hint="eastAsia" w:ascii="Arial" w:hAnsi="Arial" w:cs="Arial"/>
          <w:color w:val="auto"/>
          <w:sz w:val="24"/>
          <w:szCs w:val="24"/>
          <w:highlight w:val="none"/>
          <w:lang w:val="en-US" w:eastAsia="zh-CN"/>
        </w:rPr>
        <w:t xml:space="preserve"> is accompanied by increased </w:t>
      </w:r>
      <w:r>
        <w:rPr>
          <w:rFonts w:hint="default" w:ascii="Arial" w:hAnsi="Arial" w:cs="Arial"/>
          <w:color w:val="auto"/>
          <w:sz w:val="24"/>
          <w:szCs w:val="24"/>
          <w:highlight w:val="none"/>
          <w:lang w:val="en-US" w:eastAsia="zh-CN"/>
        </w:rPr>
        <w:t>graft failure</w:t>
      </w:r>
      <w:r>
        <w:rPr>
          <w:rFonts w:hint="eastAsia" w:ascii="Arial" w:hAnsi="Arial" w:cs="Arial"/>
          <w:color w:val="auto"/>
          <w:sz w:val="24"/>
          <w:szCs w:val="24"/>
          <w:highlight w:val="none"/>
          <w:lang w:val="en-US" w:eastAsia="zh-CN"/>
        </w:rPr>
        <w:t xml:space="preserve"> and delayed hematopoietic recovery. T</w:t>
      </w:r>
      <w:r>
        <w:rPr>
          <w:rFonts w:hint="default" w:ascii="Arial" w:hAnsi="Arial" w:cs="Arial"/>
          <w:color w:val="auto"/>
          <w:sz w:val="24"/>
          <w:szCs w:val="24"/>
          <w:highlight w:val="none"/>
          <w:lang w:val="en-US" w:eastAsia="zh-CN"/>
        </w:rPr>
        <w:t>he conditioning regimen</w:t>
      </w:r>
      <w:r>
        <w:rPr>
          <w:rFonts w:hint="eastAsia" w:ascii="Arial" w:hAnsi="Arial" w:cs="Arial"/>
          <w:color w:val="auto"/>
          <w:sz w:val="24"/>
          <w:szCs w:val="24"/>
          <w:highlight w:val="none"/>
          <w:lang w:val="en-US" w:eastAsia="zh-CN"/>
        </w:rPr>
        <w:t xml:space="preserve"> </w:t>
      </w:r>
      <w:r>
        <w:rPr>
          <w:rFonts w:hint="default" w:ascii="Arial" w:hAnsi="Arial" w:cs="Arial"/>
          <w:color w:val="auto"/>
          <w:sz w:val="24"/>
          <w:szCs w:val="24"/>
          <w:highlight w:val="none"/>
          <w:lang w:val="en-US" w:eastAsia="zh-CN"/>
        </w:rPr>
        <w:t>is critically important</w:t>
      </w:r>
      <w:r>
        <w:rPr>
          <w:rFonts w:hint="eastAsia" w:ascii="Arial" w:hAnsi="Arial" w:cs="Arial"/>
          <w:color w:val="auto"/>
          <w:sz w:val="24"/>
          <w:szCs w:val="24"/>
          <w:highlight w:val="none"/>
          <w:lang w:val="en-US" w:eastAsia="zh-CN"/>
        </w:rPr>
        <w:t xml:space="preserve"> for engfratment, but </w:t>
      </w:r>
      <w:r>
        <w:rPr>
          <w:rFonts w:hint="default" w:ascii="Arial" w:hAnsi="Arial" w:cs="Arial"/>
          <w:color w:val="auto"/>
          <w:sz w:val="24"/>
          <w:szCs w:val="24"/>
          <w:highlight w:val="none"/>
          <w:lang w:val="en-US" w:eastAsia="zh-CN"/>
        </w:rPr>
        <w:t>there’s still no consensus</w:t>
      </w:r>
      <w:r>
        <w:rPr>
          <w:rFonts w:hint="eastAsia" w:ascii="Arial" w:hAnsi="Arial" w:cs="Arial"/>
          <w:color w:val="auto"/>
          <w:sz w:val="24"/>
          <w:szCs w:val="24"/>
          <w:highlight w:val="none"/>
          <w:lang w:val="en-US" w:eastAsia="zh-CN"/>
        </w:rPr>
        <w:t xml:space="preserve"> for </w:t>
      </w:r>
      <w:r>
        <w:rPr>
          <w:rFonts w:hint="default" w:ascii="Arial" w:hAnsi="Arial" w:cs="Arial"/>
          <w:color w:val="auto"/>
          <w:sz w:val="24"/>
          <w:szCs w:val="24"/>
          <w:highlight w:val="none"/>
          <w:lang w:val="en-US" w:eastAsia="zh-CN"/>
        </w:rPr>
        <w:t>CBT</w:t>
      </w:r>
      <w:r>
        <w:rPr>
          <w:rFonts w:hint="eastAsia" w:ascii="Arial" w:hAnsi="Arial" w:cs="Arial"/>
          <w:color w:val="auto"/>
          <w:sz w:val="24"/>
          <w:szCs w:val="24"/>
          <w:highlight w:val="none"/>
          <w:lang w:val="en-US" w:eastAsia="zh-CN"/>
        </w:rPr>
        <w:t>. N</w:t>
      </w:r>
      <w:r>
        <w:rPr>
          <w:rFonts w:hint="default" w:ascii="Arial" w:hAnsi="Arial" w:cs="Arial"/>
          <w:color w:val="auto"/>
          <w:sz w:val="24"/>
          <w:szCs w:val="24"/>
          <w:highlight w:val="none"/>
          <w:lang w:val="en-US" w:eastAsia="zh-CN"/>
        </w:rPr>
        <w:t>umerous trials have been undertaken on the</w:t>
      </w:r>
      <w:r>
        <w:rPr>
          <w:rFonts w:hint="eastAsia" w:ascii="Arial" w:hAnsi="Arial" w:cs="Arial"/>
          <w:color w:val="auto"/>
          <w:sz w:val="24"/>
          <w:szCs w:val="24"/>
          <w:highlight w:val="none"/>
          <w:lang w:val="en-US" w:eastAsia="zh-CN"/>
        </w:rPr>
        <w:t xml:space="preserve"> </w:t>
      </w:r>
      <w:r>
        <w:rPr>
          <w:rFonts w:hint="default" w:ascii="Arial" w:hAnsi="Arial" w:cs="Arial"/>
          <w:color w:val="auto"/>
          <w:sz w:val="24"/>
          <w:szCs w:val="24"/>
          <w:highlight w:val="none"/>
          <w:lang w:val="en-US" w:eastAsia="zh-CN"/>
        </w:rPr>
        <w:t xml:space="preserve">outcomes between IV Bu and TBI, but there are no comparative data for </w:t>
      </w:r>
      <w:r>
        <w:rPr>
          <w:rFonts w:hint="eastAsia" w:ascii="Arial" w:hAnsi="Arial" w:cs="Arial"/>
          <w:color w:val="auto"/>
          <w:sz w:val="24"/>
          <w:szCs w:val="24"/>
          <w:highlight w:val="none"/>
          <w:lang w:val="en-US" w:eastAsia="zh-CN"/>
        </w:rPr>
        <w:t>CBT</w:t>
      </w:r>
      <w:r>
        <w:rPr>
          <w:rFonts w:hint="default" w:ascii="Arial" w:hAnsi="Arial" w:cs="Arial"/>
          <w:color w:val="auto"/>
          <w:sz w:val="24"/>
          <w:szCs w:val="24"/>
          <w:highlight w:val="none"/>
          <w:lang w:val="en-US" w:eastAsia="zh-CN"/>
        </w:rPr>
        <w:t>.</w:t>
      </w:r>
      <w:r>
        <w:rPr>
          <w:rFonts w:hint="eastAsia" w:ascii="Arial" w:hAnsi="Arial" w:cs="Arial"/>
          <w:color w:val="auto"/>
          <w:sz w:val="24"/>
          <w:szCs w:val="24"/>
          <w:highlight w:val="none"/>
          <w:lang w:val="en-US" w:eastAsia="zh-CN"/>
        </w:rPr>
        <w:t xml:space="preserve"> </w:t>
      </w:r>
      <w:r>
        <w:rPr>
          <w:rFonts w:hint="default" w:ascii="Arial" w:hAnsi="Arial" w:cs="Arial"/>
          <w:color w:val="auto"/>
          <w:sz w:val="24"/>
          <w:szCs w:val="24"/>
          <w:highlight w:val="none"/>
          <w:lang w:val="en-US" w:eastAsia="zh-CN"/>
        </w:rPr>
        <w:t xml:space="preserve">We conducted a </w:t>
      </w:r>
      <w:r>
        <w:rPr>
          <w:rFonts w:hint="eastAsia" w:ascii="Arial" w:hAnsi="Arial" w:cs="Arial"/>
          <w:color w:val="auto"/>
          <w:sz w:val="24"/>
          <w:szCs w:val="24"/>
          <w:highlight w:val="yellow"/>
          <w:lang w:val="en-US" w:eastAsia="zh-CN"/>
        </w:rPr>
        <w:t>ret</w:t>
      </w:r>
      <w:r>
        <w:rPr>
          <w:rFonts w:hint="default" w:ascii="Arial" w:hAnsi="Arial" w:cs="Arial"/>
          <w:color w:val="auto"/>
          <w:sz w:val="24"/>
          <w:szCs w:val="24"/>
          <w:highlight w:val="yellow"/>
          <w:lang w:val="en-US" w:eastAsia="zh-CN"/>
        </w:rPr>
        <w:t>rospective</w:t>
      </w:r>
      <w:r>
        <w:rPr>
          <w:rFonts w:hint="default" w:ascii="Arial" w:hAnsi="Arial" w:cs="Arial"/>
          <w:color w:val="auto"/>
          <w:sz w:val="24"/>
          <w:szCs w:val="24"/>
          <w:highlight w:val="none"/>
          <w:lang w:val="en-US" w:eastAsia="zh-CN"/>
        </w:rPr>
        <w:t xml:space="preserve"> multicentre study to </w:t>
      </w:r>
      <w:r>
        <w:rPr>
          <w:rFonts w:hint="default" w:ascii="Arial" w:hAnsi="Arial" w:cs="Arial"/>
          <w:color w:val="auto"/>
          <w:sz w:val="24"/>
          <w:szCs w:val="24"/>
          <w:highlight w:val="yellow"/>
          <w:lang w:val="en-US" w:eastAsia="zh-CN"/>
        </w:rPr>
        <w:t>ana</w:t>
      </w:r>
      <w:r>
        <w:rPr>
          <w:rFonts w:hint="default" w:ascii="Arial" w:hAnsi="Arial" w:cs="Arial"/>
          <w:color w:val="auto"/>
          <w:sz w:val="24"/>
          <w:szCs w:val="24"/>
          <w:highlight w:val="yellow"/>
          <w:lang w:eastAsia="zh-CN"/>
        </w:rPr>
        <w:t>lyze</w:t>
      </w:r>
      <w:r>
        <w:rPr>
          <w:rFonts w:hint="default" w:ascii="Arial" w:hAnsi="Arial" w:cs="Arial"/>
          <w:color w:val="auto"/>
          <w:sz w:val="24"/>
          <w:szCs w:val="24"/>
          <w:highlight w:val="none"/>
          <w:lang w:val="en-US" w:eastAsia="zh-CN"/>
        </w:rPr>
        <w:t xml:space="preserve"> the outcomes of IV Bu and TBI in CBT patients with hematologic malignancies. From May 1, 2008 to Mar 31, 2018, a total of 331 patients from the China Umbilical Cord Blood Transplantation Cooperation (IV Bu, N=131; TBI, N=200) were involved.</w:t>
      </w:r>
      <w:r>
        <w:rPr>
          <w:rFonts w:hint="eastAsia" w:ascii="Arial" w:hAnsi="Arial" w:cs="Arial"/>
          <w:color w:val="auto"/>
          <w:sz w:val="24"/>
          <w:szCs w:val="24"/>
          <w:highlight w:val="none"/>
          <w:lang w:val="en-US" w:eastAsia="zh-CN"/>
        </w:rPr>
        <w:t xml:space="preserve"> </w:t>
      </w:r>
      <w:r>
        <w:rPr>
          <w:rFonts w:hint="default" w:ascii="Arial" w:hAnsi="Arial" w:cs="Arial"/>
          <w:color w:val="auto"/>
          <w:sz w:val="24"/>
          <w:szCs w:val="24"/>
          <w:highlight w:val="none"/>
          <w:lang w:val="en-US" w:eastAsia="zh-CN"/>
        </w:rPr>
        <w:t xml:space="preserve">The cumulative incidence of neutrophil </w:t>
      </w:r>
      <w:r>
        <w:rPr>
          <w:rFonts w:hint="eastAsia" w:ascii="Arial" w:hAnsi="Arial" w:cs="Arial"/>
          <w:color w:val="auto"/>
          <w:sz w:val="24"/>
          <w:szCs w:val="24"/>
          <w:highlight w:val="none"/>
          <w:lang w:val="en-US" w:eastAsia="zh-CN"/>
        </w:rPr>
        <w:t>engraftment</w:t>
      </w:r>
      <w:r>
        <w:rPr>
          <w:rFonts w:hint="default" w:ascii="Arial" w:hAnsi="Arial" w:cs="Arial"/>
          <w:color w:val="auto"/>
          <w:sz w:val="24"/>
          <w:szCs w:val="24"/>
          <w:highlight w:val="none"/>
          <w:lang w:val="en-US" w:eastAsia="zh-CN"/>
        </w:rPr>
        <w:t xml:space="preserve"> were </w:t>
      </w:r>
      <w:r>
        <w:rPr>
          <w:rFonts w:hint="default" w:ascii="Arial" w:hAnsi="Arial" w:cs="Arial"/>
          <w:color w:val="auto"/>
          <w:sz w:val="24"/>
          <w:szCs w:val="24"/>
          <w:highlight w:val="none"/>
        </w:rPr>
        <w:t>91.6</w:t>
      </w:r>
      <w:r>
        <w:rPr>
          <w:rFonts w:hint="default" w:ascii="Arial" w:hAnsi="Arial" w:cs="Arial"/>
          <w:color w:val="auto"/>
          <w:sz w:val="24"/>
          <w:szCs w:val="24"/>
          <w:highlight w:val="none"/>
          <w:lang w:val="en-US" w:eastAsia="zh-CN"/>
        </w:rPr>
        <w:t xml:space="preserve">% in </w:t>
      </w:r>
      <w:r>
        <w:rPr>
          <w:rFonts w:hint="default" w:ascii="Arial" w:hAnsi="Arial" w:cs="Arial"/>
          <w:color w:val="auto"/>
          <w:sz w:val="24"/>
          <w:szCs w:val="24"/>
          <w:highlight w:val="none"/>
        </w:rPr>
        <w:t>IV Bu/C</w:t>
      </w:r>
      <w:r>
        <w:rPr>
          <w:rFonts w:hint="default" w:ascii="Arial" w:hAnsi="Arial" w:cs="Arial"/>
          <w:color w:val="auto"/>
          <w:sz w:val="24"/>
          <w:szCs w:val="24"/>
          <w:highlight w:val="none"/>
          <w:lang w:val="en-US" w:eastAsia="zh-CN"/>
        </w:rPr>
        <w:t xml:space="preserve">y cohort and </w:t>
      </w:r>
      <w:r>
        <w:rPr>
          <w:rFonts w:hint="default" w:ascii="Arial" w:hAnsi="Arial" w:cs="Arial"/>
          <w:color w:val="auto"/>
          <w:sz w:val="24"/>
          <w:szCs w:val="24"/>
          <w:highlight w:val="none"/>
        </w:rPr>
        <w:t>98.0</w:t>
      </w:r>
      <w:r>
        <w:rPr>
          <w:rFonts w:hint="default" w:ascii="Arial" w:hAnsi="Arial" w:cs="Arial"/>
          <w:color w:val="auto"/>
          <w:sz w:val="24"/>
          <w:szCs w:val="24"/>
          <w:highlight w:val="none"/>
          <w:lang w:val="en-US" w:eastAsia="zh-CN"/>
        </w:rPr>
        <w:t xml:space="preserve">% in </w:t>
      </w:r>
      <w:r>
        <w:rPr>
          <w:rFonts w:hint="eastAsia" w:ascii="Arial" w:hAnsi="Arial" w:cs="Arial"/>
          <w:color w:val="auto"/>
          <w:sz w:val="24"/>
          <w:szCs w:val="24"/>
          <w:highlight w:val="none"/>
          <w:lang w:val="en-US" w:eastAsia="zh-CN"/>
        </w:rPr>
        <w:t>Cy/TBI</w:t>
      </w:r>
      <w:r>
        <w:rPr>
          <w:rFonts w:hint="default" w:ascii="Arial" w:hAnsi="Arial" w:cs="Arial"/>
          <w:color w:val="auto"/>
          <w:sz w:val="24"/>
          <w:szCs w:val="24"/>
          <w:highlight w:val="none"/>
          <w:lang w:val="en-US" w:eastAsia="zh-CN"/>
        </w:rPr>
        <w:t xml:space="preserve"> cohort(P&lt;</w:t>
      </w:r>
      <w:r>
        <w:rPr>
          <w:rFonts w:hint="eastAsia" w:ascii="Arial" w:hAnsi="Arial" w:cs="Arial"/>
          <w:color w:val="auto"/>
          <w:sz w:val="24"/>
          <w:szCs w:val="24"/>
          <w:highlight w:val="none"/>
          <w:lang w:val="en-US" w:eastAsia="zh-CN"/>
        </w:rPr>
        <w:t>0</w:t>
      </w:r>
      <w:r>
        <w:rPr>
          <w:rFonts w:hint="default" w:ascii="Arial" w:hAnsi="Arial" w:cs="Arial"/>
          <w:color w:val="auto"/>
          <w:sz w:val="24"/>
          <w:szCs w:val="24"/>
          <w:highlight w:val="none"/>
          <w:lang w:val="en-US" w:eastAsia="zh-CN"/>
        </w:rPr>
        <w:t xml:space="preserve">.001), respectively. The median times to neutrophil </w:t>
      </w:r>
      <w:r>
        <w:rPr>
          <w:rFonts w:hint="eastAsia" w:ascii="Arial" w:hAnsi="Arial" w:cs="Arial"/>
          <w:color w:val="auto"/>
          <w:sz w:val="24"/>
          <w:szCs w:val="24"/>
          <w:highlight w:val="none"/>
          <w:lang w:val="en-US" w:eastAsia="zh-CN"/>
        </w:rPr>
        <w:t>engraftment</w:t>
      </w:r>
      <w:r>
        <w:rPr>
          <w:rFonts w:hint="default" w:ascii="Arial" w:hAnsi="Arial" w:cs="Arial"/>
          <w:color w:val="auto"/>
          <w:sz w:val="24"/>
          <w:szCs w:val="24"/>
          <w:highlight w:val="none"/>
          <w:lang w:val="en-US" w:eastAsia="zh-CN"/>
        </w:rPr>
        <w:t xml:space="preserve"> were 16 and 19 days(P&lt;</w:t>
      </w:r>
      <w:r>
        <w:rPr>
          <w:rFonts w:hint="eastAsia" w:ascii="Arial" w:hAnsi="Arial" w:cs="Arial"/>
          <w:color w:val="auto"/>
          <w:sz w:val="24"/>
          <w:szCs w:val="24"/>
          <w:highlight w:val="none"/>
          <w:lang w:val="en-US" w:eastAsia="zh-CN"/>
        </w:rPr>
        <w:t>0</w:t>
      </w:r>
      <w:r>
        <w:rPr>
          <w:rFonts w:hint="default" w:ascii="Arial" w:hAnsi="Arial" w:cs="Arial"/>
          <w:color w:val="auto"/>
          <w:sz w:val="24"/>
          <w:szCs w:val="24"/>
          <w:highlight w:val="none"/>
          <w:lang w:val="en-US" w:eastAsia="zh-CN"/>
        </w:rPr>
        <w:t xml:space="preserve">.001). Multivariate analysis showed there was not statistically different for nonrelapse mortality(hazard ratio [HR], </w:t>
      </w:r>
      <w:r>
        <w:rPr>
          <w:rFonts w:hint="default" w:ascii="Arial" w:hAnsi="Arial" w:cs="Arial"/>
          <w:color w:val="auto"/>
          <w:sz w:val="24"/>
          <w:szCs w:val="24"/>
          <w:highlight w:val="yellow"/>
          <w:lang w:val="en-US" w:eastAsia="zh-CN"/>
        </w:rPr>
        <w:t>1.</w:t>
      </w:r>
      <w:r>
        <w:rPr>
          <w:rFonts w:hint="eastAsia" w:ascii="Arial" w:hAnsi="Arial" w:cs="Arial"/>
          <w:color w:val="auto"/>
          <w:sz w:val="24"/>
          <w:szCs w:val="24"/>
          <w:highlight w:val="yellow"/>
          <w:lang w:val="en-US" w:eastAsia="zh-CN"/>
        </w:rPr>
        <w:t>11</w:t>
      </w:r>
      <w:r>
        <w:rPr>
          <w:rFonts w:hint="default" w:ascii="Arial" w:hAnsi="Arial" w:cs="Arial"/>
          <w:color w:val="auto"/>
          <w:sz w:val="24"/>
          <w:szCs w:val="24"/>
          <w:highlight w:val="none"/>
          <w:lang w:val="en-US" w:eastAsia="zh-CN"/>
        </w:rPr>
        <w:t xml:space="preserve">; 95% confidence interval [CI], </w:t>
      </w:r>
      <w:r>
        <w:rPr>
          <w:rFonts w:hint="default" w:ascii="Arial" w:hAnsi="Arial" w:cs="Arial"/>
          <w:color w:val="auto"/>
          <w:sz w:val="24"/>
          <w:szCs w:val="24"/>
          <w:highlight w:val="yellow"/>
          <w:lang w:val="en-US" w:eastAsia="zh-CN"/>
        </w:rPr>
        <w:t>0.</w:t>
      </w:r>
      <w:r>
        <w:rPr>
          <w:rFonts w:hint="default" w:ascii="Arial" w:hAnsi="Arial" w:cs="Arial"/>
          <w:color w:val="auto"/>
          <w:sz w:val="24"/>
          <w:szCs w:val="24"/>
          <w:highlight w:val="yellow"/>
          <w:lang w:eastAsia="zh-CN"/>
        </w:rPr>
        <w:t>66</w:t>
      </w:r>
      <w:r>
        <w:rPr>
          <w:rFonts w:hint="default" w:ascii="Arial" w:hAnsi="Arial" w:cs="Arial"/>
          <w:color w:val="auto"/>
          <w:sz w:val="24"/>
          <w:szCs w:val="24"/>
          <w:highlight w:val="yellow"/>
          <w:lang w:val="en-US" w:eastAsia="zh-CN"/>
        </w:rPr>
        <w:t xml:space="preserve"> to </w:t>
      </w:r>
      <w:r>
        <w:rPr>
          <w:rFonts w:hint="default" w:ascii="Arial" w:hAnsi="Arial" w:cs="Arial"/>
          <w:color w:val="auto"/>
          <w:sz w:val="24"/>
          <w:szCs w:val="24"/>
          <w:highlight w:val="yellow"/>
          <w:lang w:eastAsia="zh-CN"/>
        </w:rPr>
        <w:t>1.86</w:t>
      </w:r>
      <w:r>
        <w:rPr>
          <w:rFonts w:hint="default" w:ascii="Arial" w:hAnsi="Arial" w:cs="Arial"/>
          <w:color w:val="auto"/>
          <w:sz w:val="24"/>
          <w:szCs w:val="24"/>
          <w:highlight w:val="none"/>
          <w:lang w:val="en-US" w:eastAsia="zh-CN"/>
        </w:rPr>
        <w:t>; P=</w:t>
      </w:r>
      <w:r>
        <w:rPr>
          <w:rFonts w:hint="eastAsia" w:ascii="Arial" w:hAnsi="Arial" w:cs="Arial"/>
          <w:color w:val="auto"/>
          <w:sz w:val="24"/>
          <w:szCs w:val="24"/>
          <w:highlight w:val="yellow"/>
          <w:lang w:val="en-US" w:eastAsia="zh-CN"/>
        </w:rPr>
        <w:t>0</w:t>
      </w:r>
      <w:r>
        <w:rPr>
          <w:rFonts w:hint="default" w:ascii="Arial" w:hAnsi="Arial" w:cs="Arial"/>
          <w:color w:val="auto"/>
          <w:sz w:val="24"/>
          <w:szCs w:val="24"/>
          <w:highlight w:val="yellow"/>
          <w:lang w:val="en-US" w:eastAsia="zh-CN"/>
        </w:rPr>
        <w:t>.</w:t>
      </w:r>
      <w:r>
        <w:rPr>
          <w:rFonts w:hint="default" w:ascii="Arial" w:hAnsi="Arial" w:cs="Arial"/>
          <w:color w:val="auto"/>
          <w:sz w:val="24"/>
          <w:szCs w:val="24"/>
          <w:highlight w:val="yellow"/>
          <w:lang w:eastAsia="zh-CN"/>
        </w:rPr>
        <w:t>695</w:t>
      </w:r>
      <w:r>
        <w:rPr>
          <w:rFonts w:hint="default" w:ascii="Arial" w:hAnsi="Arial" w:cs="Arial"/>
          <w:color w:val="auto"/>
          <w:sz w:val="24"/>
          <w:szCs w:val="24"/>
          <w:highlight w:val="none"/>
          <w:lang w:val="en-US" w:eastAsia="zh-CN"/>
        </w:rPr>
        <w:t xml:space="preserve">), relapse(HR, </w:t>
      </w:r>
      <w:r>
        <w:rPr>
          <w:rFonts w:hint="default" w:ascii="Arial" w:hAnsi="Arial" w:cs="Arial"/>
          <w:color w:val="auto"/>
          <w:sz w:val="24"/>
          <w:szCs w:val="24"/>
          <w:highlight w:val="yellow"/>
          <w:lang w:val="en-US" w:eastAsia="zh-CN"/>
        </w:rPr>
        <w:t>0.</w:t>
      </w:r>
      <w:r>
        <w:rPr>
          <w:rFonts w:hint="default" w:ascii="Arial" w:hAnsi="Arial" w:cs="Arial"/>
          <w:color w:val="auto"/>
          <w:sz w:val="24"/>
          <w:szCs w:val="24"/>
          <w:highlight w:val="yellow"/>
          <w:lang w:eastAsia="zh-CN"/>
        </w:rPr>
        <w:t>90</w:t>
      </w:r>
      <w:r>
        <w:rPr>
          <w:rFonts w:hint="default" w:ascii="Arial" w:hAnsi="Arial" w:cs="Arial"/>
          <w:color w:val="auto"/>
          <w:sz w:val="24"/>
          <w:szCs w:val="24"/>
          <w:highlight w:val="none"/>
          <w:lang w:val="en-US" w:eastAsia="zh-CN"/>
        </w:rPr>
        <w:t xml:space="preserve">; 95% CI, 0.50 to </w:t>
      </w:r>
      <w:r>
        <w:rPr>
          <w:rFonts w:hint="default" w:ascii="Arial" w:hAnsi="Arial" w:cs="Arial"/>
          <w:color w:val="auto"/>
          <w:sz w:val="24"/>
          <w:szCs w:val="24"/>
          <w:highlight w:val="yellow"/>
          <w:lang w:val="en-US" w:eastAsia="zh-CN"/>
        </w:rPr>
        <w:t>1.</w:t>
      </w:r>
      <w:r>
        <w:rPr>
          <w:rFonts w:hint="default" w:ascii="Arial" w:hAnsi="Arial" w:cs="Arial"/>
          <w:color w:val="auto"/>
          <w:sz w:val="24"/>
          <w:szCs w:val="24"/>
          <w:highlight w:val="yellow"/>
          <w:lang w:eastAsia="zh-CN"/>
        </w:rPr>
        <w:t>60</w:t>
      </w:r>
      <w:r>
        <w:rPr>
          <w:rFonts w:hint="default" w:ascii="Arial" w:hAnsi="Arial" w:cs="Arial"/>
          <w:color w:val="auto"/>
          <w:sz w:val="24"/>
          <w:szCs w:val="24"/>
          <w:highlight w:val="none"/>
          <w:lang w:val="en-US" w:eastAsia="zh-CN"/>
        </w:rPr>
        <w:t xml:space="preserve">; </w:t>
      </w:r>
      <w:r>
        <w:rPr>
          <w:rFonts w:hint="default" w:ascii="Arial" w:hAnsi="Arial" w:cs="Arial"/>
          <w:color w:val="auto"/>
          <w:sz w:val="24"/>
          <w:szCs w:val="24"/>
          <w:highlight w:val="yellow"/>
          <w:lang w:val="en-US" w:eastAsia="zh-CN"/>
        </w:rPr>
        <w:t>P=</w:t>
      </w:r>
      <w:r>
        <w:rPr>
          <w:rFonts w:hint="eastAsia" w:ascii="Arial" w:hAnsi="Arial" w:cs="Arial"/>
          <w:color w:val="auto"/>
          <w:sz w:val="24"/>
          <w:szCs w:val="24"/>
          <w:highlight w:val="yellow"/>
          <w:lang w:val="en-US" w:eastAsia="zh-CN"/>
        </w:rPr>
        <w:t>0</w:t>
      </w:r>
      <w:r>
        <w:rPr>
          <w:rFonts w:hint="default" w:ascii="Arial" w:hAnsi="Arial" w:cs="Arial"/>
          <w:color w:val="auto"/>
          <w:sz w:val="24"/>
          <w:szCs w:val="24"/>
          <w:highlight w:val="yellow"/>
          <w:lang w:val="en-US" w:eastAsia="zh-CN"/>
        </w:rPr>
        <w:t>.7</w:t>
      </w:r>
      <w:r>
        <w:rPr>
          <w:rFonts w:hint="default" w:ascii="Arial" w:hAnsi="Arial" w:cs="Arial"/>
          <w:color w:val="auto"/>
          <w:sz w:val="24"/>
          <w:szCs w:val="24"/>
          <w:highlight w:val="yellow"/>
          <w:lang w:eastAsia="zh-CN"/>
        </w:rPr>
        <w:t>13</w:t>
      </w:r>
      <w:r>
        <w:rPr>
          <w:rFonts w:hint="default" w:ascii="Arial" w:hAnsi="Arial" w:cs="Arial"/>
          <w:color w:val="auto"/>
          <w:sz w:val="24"/>
          <w:szCs w:val="24"/>
          <w:highlight w:val="none"/>
          <w:lang w:val="en-US" w:eastAsia="zh-CN"/>
        </w:rPr>
        <w:t>)</w:t>
      </w:r>
      <w:r>
        <w:rPr>
          <w:rFonts w:hint="default" w:ascii="Arial" w:hAnsi="Arial" w:cs="Arial"/>
          <w:color w:val="auto"/>
          <w:sz w:val="24"/>
          <w:szCs w:val="24"/>
          <w:highlight w:val="none"/>
          <w:lang w:eastAsia="zh-CN"/>
        </w:rPr>
        <w:t>,</w:t>
      </w:r>
      <w:r>
        <w:rPr>
          <w:rFonts w:hint="default" w:ascii="Arial" w:hAnsi="Arial" w:cs="Arial"/>
          <w:color w:val="auto"/>
          <w:sz w:val="24"/>
          <w:szCs w:val="24"/>
          <w:highlight w:val="yellow"/>
          <w:lang w:eastAsia="zh-CN"/>
        </w:rPr>
        <w:t xml:space="preserve"> overall</w:t>
      </w:r>
      <w:r>
        <w:rPr>
          <w:rFonts w:hint="default" w:ascii="Arial" w:hAnsi="Arial" w:cs="Arial"/>
          <w:color w:val="auto"/>
          <w:sz w:val="24"/>
          <w:szCs w:val="24"/>
          <w:highlight w:val="none"/>
          <w:lang w:eastAsia="zh-CN"/>
        </w:rPr>
        <w:t xml:space="preserve"> </w:t>
      </w:r>
      <w:r>
        <w:rPr>
          <w:rFonts w:hint="default" w:ascii="Arial" w:hAnsi="Arial" w:cs="Arial"/>
          <w:color w:val="auto"/>
          <w:sz w:val="24"/>
          <w:szCs w:val="24"/>
          <w:highlight w:val="none"/>
          <w:lang w:val="en-US" w:eastAsia="zh-CN"/>
        </w:rPr>
        <w:t xml:space="preserve">survival(HR, </w:t>
      </w:r>
      <w:r>
        <w:rPr>
          <w:rFonts w:hint="default" w:ascii="Arial" w:hAnsi="Arial" w:cs="Arial"/>
          <w:color w:val="auto"/>
          <w:sz w:val="24"/>
          <w:szCs w:val="24"/>
          <w:highlight w:val="yellow"/>
          <w:lang w:eastAsia="zh-CN"/>
        </w:rPr>
        <w:t>0.94</w:t>
      </w:r>
      <w:r>
        <w:rPr>
          <w:rFonts w:hint="default" w:ascii="Arial" w:hAnsi="Arial" w:cs="Arial"/>
          <w:color w:val="auto"/>
          <w:sz w:val="24"/>
          <w:szCs w:val="24"/>
          <w:highlight w:val="none"/>
          <w:lang w:val="en-US" w:eastAsia="zh-CN"/>
        </w:rPr>
        <w:t xml:space="preserve">; 95% CI, </w:t>
      </w:r>
      <w:r>
        <w:rPr>
          <w:rFonts w:hint="default" w:ascii="Arial" w:hAnsi="Arial" w:cs="Arial"/>
          <w:color w:val="auto"/>
          <w:sz w:val="24"/>
          <w:szCs w:val="24"/>
          <w:highlight w:val="yellow"/>
          <w:lang w:val="en-US" w:eastAsia="zh-CN"/>
        </w:rPr>
        <w:t>0.6</w:t>
      </w:r>
      <w:r>
        <w:rPr>
          <w:rFonts w:hint="default" w:ascii="Arial" w:hAnsi="Arial" w:cs="Arial"/>
          <w:color w:val="auto"/>
          <w:sz w:val="24"/>
          <w:szCs w:val="24"/>
          <w:highlight w:val="yellow"/>
          <w:lang w:eastAsia="zh-CN"/>
        </w:rPr>
        <w:t>1</w:t>
      </w:r>
      <w:r>
        <w:rPr>
          <w:rFonts w:hint="default" w:ascii="Arial" w:hAnsi="Arial" w:cs="Arial"/>
          <w:color w:val="auto"/>
          <w:sz w:val="24"/>
          <w:szCs w:val="24"/>
          <w:highlight w:val="yellow"/>
          <w:lang w:val="en-US" w:eastAsia="zh-CN"/>
        </w:rPr>
        <w:t xml:space="preserve"> </w:t>
      </w:r>
      <w:r>
        <w:rPr>
          <w:rFonts w:hint="default" w:ascii="Arial" w:hAnsi="Arial" w:cs="Arial"/>
          <w:color w:val="auto"/>
          <w:sz w:val="24"/>
          <w:szCs w:val="24"/>
          <w:highlight w:val="none"/>
          <w:lang w:val="en-US" w:eastAsia="zh-CN"/>
        </w:rPr>
        <w:t xml:space="preserve">to </w:t>
      </w:r>
      <w:r>
        <w:rPr>
          <w:rFonts w:hint="default" w:ascii="Arial" w:hAnsi="Arial" w:cs="Arial"/>
          <w:color w:val="auto"/>
          <w:sz w:val="24"/>
          <w:szCs w:val="24"/>
          <w:highlight w:val="yellow"/>
          <w:lang w:val="en-US" w:eastAsia="zh-CN"/>
        </w:rPr>
        <w:t>1.</w:t>
      </w:r>
      <w:r>
        <w:rPr>
          <w:rFonts w:hint="default" w:ascii="Arial" w:hAnsi="Arial" w:cs="Arial"/>
          <w:color w:val="auto"/>
          <w:sz w:val="24"/>
          <w:szCs w:val="24"/>
          <w:highlight w:val="yellow"/>
          <w:lang w:eastAsia="zh-CN"/>
        </w:rPr>
        <w:t>4</w:t>
      </w:r>
      <w:r>
        <w:rPr>
          <w:rFonts w:hint="default" w:ascii="Arial" w:hAnsi="Arial" w:cs="Arial"/>
          <w:color w:val="auto"/>
          <w:sz w:val="24"/>
          <w:szCs w:val="24"/>
          <w:highlight w:val="yellow"/>
          <w:lang w:val="en-US" w:eastAsia="zh-CN"/>
        </w:rPr>
        <w:t>4</w:t>
      </w:r>
      <w:r>
        <w:rPr>
          <w:rFonts w:hint="default" w:ascii="Arial" w:hAnsi="Arial" w:cs="Arial"/>
          <w:color w:val="auto"/>
          <w:sz w:val="24"/>
          <w:szCs w:val="24"/>
          <w:highlight w:val="none"/>
          <w:lang w:val="en-US" w:eastAsia="zh-CN"/>
        </w:rPr>
        <w:t>; P=</w:t>
      </w:r>
      <w:r>
        <w:rPr>
          <w:rFonts w:hint="eastAsia" w:ascii="Arial" w:hAnsi="Arial" w:cs="Arial"/>
          <w:color w:val="auto"/>
          <w:sz w:val="24"/>
          <w:szCs w:val="24"/>
          <w:highlight w:val="yellow"/>
          <w:lang w:val="en-US" w:eastAsia="zh-CN"/>
        </w:rPr>
        <w:t>0</w:t>
      </w:r>
      <w:r>
        <w:rPr>
          <w:rFonts w:hint="default" w:ascii="Arial" w:hAnsi="Arial" w:cs="Arial"/>
          <w:color w:val="auto"/>
          <w:sz w:val="24"/>
          <w:szCs w:val="24"/>
          <w:highlight w:val="yellow"/>
          <w:lang w:val="en-US" w:eastAsia="zh-CN"/>
        </w:rPr>
        <w:t>.</w:t>
      </w:r>
      <w:r>
        <w:rPr>
          <w:rFonts w:hint="default" w:ascii="Arial" w:hAnsi="Arial" w:cs="Arial"/>
          <w:color w:val="auto"/>
          <w:sz w:val="24"/>
          <w:szCs w:val="24"/>
          <w:highlight w:val="yellow"/>
          <w:lang w:eastAsia="zh-CN"/>
        </w:rPr>
        <w:t>763</w:t>
      </w:r>
      <w:r>
        <w:rPr>
          <w:rFonts w:hint="default" w:ascii="Arial" w:hAnsi="Arial" w:cs="Arial"/>
          <w:color w:val="auto"/>
          <w:sz w:val="24"/>
          <w:szCs w:val="24"/>
          <w:highlight w:val="none"/>
          <w:lang w:val="en-US" w:eastAsia="zh-CN"/>
        </w:rPr>
        <w:t>)</w:t>
      </w:r>
      <w:r>
        <w:rPr>
          <w:rFonts w:hint="default" w:ascii="Arial" w:hAnsi="Arial" w:cs="Arial"/>
          <w:color w:val="auto"/>
          <w:sz w:val="24"/>
          <w:szCs w:val="24"/>
          <w:highlight w:val="none"/>
          <w:lang w:eastAsia="zh-CN"/>
        </w:rPr>
        <w:t>,</w:t>
      </w:r>
      <w:r>
        <w:rPr>
          <w:rFonts w:hint="default" w:ascii="Arial" w:hAnsi="Arial" w:cs="Arial"/>
          <w:color w:val="auto"/>
          <w:sz w:val="24"/>
          <w:szCs w:val="24"/>
          <w:highlight w:val="yellow"/>
          <w:lang w:eastAsia="zh-CN"/>
        </w:rPr>
        <w:t xml:space="preserve"> disease-free survival</w:t>
      </w:r>
      <w:r>
        <w:rPr>
          <w:rFonts w:hint="default" w:ascii="Arial" w:hAnsi="Arial" w:cs="Arial"/>
          <w:color w:val="auto"/>
          <w:sz w:val="24"/>
          <w:szCs w:val="24"/>
          <w:highlight w:val="yellow"/>
          <w:lang w:val="en-US" w:eastAsia="zh-CN"/>
        </w:rPr>
        <w:t xml:space="preserve">(HR, </w:t>
      </w:r>
      <w:r>
        <w:rPr>
          <w:rFonts w:hint="default" w:ascii="Arial" w:hAnsi="Arial" w:cs="Arial"/>
          <w:color w:val="auto"/>
          <w:sz w:val="24"/>
          <w:szCs w:val="24"/>
          <w:highlight w:val="yellow"/>
          <w:lang w:eastAsia="zh-CN"/>
        </w:rPr>
        <w:t>1.08</w:t>
      </w:r>
      <w:r>
        <w:rPr>
          <w:rFonts w:hint="default" w:ascii="Arial" w:hAnsi="Arial" w:cs="Arial"/>
          <w:color w:val="auto"/>
          <w:sz w:val="24"/>
          <w:szCs w:val="24"/>
          <w:highlight w:val="yellow"/>
          <w:lang w:val="en-US" w:eastAsia="zh-CN"/>
        </w:rPr>
        <w:t>; 95% CI, 0.</w:t>
      </w:r>
      <w:r>
        <w:rPr>
          <w:rFonts w:hint="default" w:ascii="Arial" w:hAnsi="Arial" w:cs="Arial"/>
          <w:color w:val="auto"/>
          <w:sz w:val="24"/>
          <w:szCs w:val="24"/>
          <w:highlight w:val="yellow"/>
          <w:lang w:eastAsia="zh-CN"/>
        </w:rPr>
        <w:t>73</w:t>
      </w:r>
      <w:r>
        <w:rPr>
          <w:rFonts w:hint="default" w:ascii="Arial" w:hAnsi="Arial" w:cs="Arial"/>
          <w:color w:val="auto"/>
          <w:sz w:val="24"/>
          <w:szCs w:val="24"/>
          <w:highlight w:val="yellow"/>
          <w:lang w:val="en-US" w:eastAsia="zh-CN"/>
        </w:rPr>
        <w:t xml:space="preserve"> to 1.</w:t>
      </w:r>
      <w:r>
        <w:rPr>
          <w:rFonts w:hint="default" w:ascii="Arial" w:hAnsi="Arial" w:cs="Arial"/>
          <w:color w:val="auto"/>
          <w:sz w:val="24"/>
          <w:szCs w:val="24"/>
          <w:highlight w:val="yellow"/>
          <w:lang w:eastAsia="zh-CN"/>
        </w:rPr>
        <w:t>59</w:t>
      </w:r>
      <w:r>
        <w:rPr>
          <w:rFonts w:hint="default" w:ascii="Arial" w:hAnsi="Arial" w:cs="Arial"/>
          <w:color w:val="auto"/>
          <w:sz w:val="24"/>
          <w:szCs w:val="24"/>
          <w:highlight w:val="yellow"/>
          <w:lang w:val="en-US" w:eastAsia="zh-CN"/>
        </w:rPr>
        <w:t>; P=</w:t>
      </w:r>
      <w:r>
        <w:rPr>
          <w:rFonts w:hint="eastAsia" w:ascii="Arial" w:hAnsi="Arial" w:cs="Arial"/>
          <w:color w:val="auto"/>
          <w:sz w:val="24"/>
          <w:szCs w:val="24"/>
          <w:highlight w:val="yellow"/>
          <w:lang w:val="en-US" w:eastAsia="zh-CN"/>
        </w:rPr>
        <w:t>0</w:t>
      </w:r>
      <w:r>
        <w:rPr>
          <w:rFonts w:hint="default" w:ascii="Arial" w:hAnsi="Arial" w:cs="Arial"/>
          <w:color w:val="auto"/>
          <w:sz w:val="24"/>
          <w:szCs w:val="24"/>
          <w:highlight w:val="yellow"/>
          <w:lang w:val="en-US" w:eastAsia="zh-CN"/>
        </w:rPr>
        <w:t>.</w:t>
      </w:r>
      <w:r>
        <w:rPr>
          <w:rFonts w:hint="default" w:ascii="Arial" w:hAnsi="Arial" w:cs="Arial"/>
          <w:color w:val="auto"/>
          <w:sz w:val="24"/>
          <w:szCs w:val="24"/>
          <w:highlight w:val="yellow"/>
          <w:lang w:eastAsia="zh-CN"/>
        </w:rPr>
        <w:t>714</w:t>
      </w:r>
      <w:r>
        <w:rPr>
          <w:rFonts w:hint="default" w:ascii="Arial" w:hAnsi="Arial" w:cs="Arial"/>
          <w:color w:val="auto"/>
          <w:sz w:val="24"/>
          <w:szCs w:val="24"/>
          <w:highlight w:val="yellow"/>
          <w:lang w:val="en-US" w:eastAsia="zh-CN"/>
        </w:rPr>
        <w:t>)</w:t>
      </w:r>
      <w:r>
        <w:rPr>
          <w:rFonts w:hint="default" w:ascii="Arial" w:hAnsi="Arial" w:cs="Arial"/>
          <w:color w:val="auto"/>
          <w:sz w:val="24"/>
          <w:szCs w:val="24"/>
          <w:highlight w:val="yellow"/>
          <w:lang w:eastAsia="zh-CN"/>
        </w:rPr>
        <w:t xml:space="preserve"> and GVHD-free relapse-free survival</w:t>
      </w:r>
      <w:r>
        <w:rPr>
          <w:rFonts w:hint="default" w:ascii="Arial" w:hAnsi="Arial" w:cs="Arial"/>
          <w:color w:val="auto"/>
          <w:sz w:val="24"/>
          <w:szCs w:val="24"/>
          <w:highlight w:val="yellow"/>
          <w:lang w:val="en-US" w:eastAsia="zh-CN"/>
        </w:rPr>
        <w:t xml:space="preserve">(HR, </w:t>
      </w:r>
      <w:r>
        <w:rPr>
          <w:rFonts w:hint="default" w:ascii="Arial" w:hAnsi="Arial" w:cs="Arial"/>
          <w:color w:val="auto"/>
          <w:sz w:val="24"/>
          <w:szCs w:val="24"/>
          <w:highlight w:val="yellow"/>
          <w:lang w:eastAsia="zh-CN"/>
        </w:rPr>
        <w:t>0.77</w:t>
      </w:r>
      <w:r>
        <w:rPr>
          <w:rFonts w:hint="default" w:ascii="Arial" w:hAnsi="Arial" w:cs="Arial"/>
          <w:color w:val="auto"/>
          <w:sz w:val="24"/>
          <w:szCs w:val="24"/>
          <w:highlight w:val="yellow"/>
          <w:lang w:val="en-US" w:eastAsia="zh-CN"/>
        </w:rPr>
        <w:t>; 95% CI, 0.</w:t>
      </w:r>
      <w:r>
        <w:rPr>
          <w:rFonts w:hint="default" w:ascii="Arial" w:hAnsi="Arial" w:cs="Arial"/>
          <w:color w:val="auto"/>
          <w:sz w:val="24"/>
          <w:szCs w:val="24"/>
          <w:highlight w:val="yellow"/>
          <w:lang w:eastAsia="zh-CN"/>
        </w:rPr>
        <w:t>54</w:t>
      </w:r>
      <w:r>
        <w:rPr>
          <w:rFonts w:hint="default" w:ascii="Arial" w:hAnsi="Arial" w:cs="Arial"/>
          <w:color w:val="auto"/>
          <w:sz w:val="24"/>
          <w:szCs w:val="24"/>
          <w:highlight w:val="yellow"/>
          <w:lang w:val="en-US" w:eastAsia="zh-CN"/>
        </w:rPr>
        <w:t xml:space="preserve"> to 1.</w:t>
      </w:r>
      <w:r>
        <w:rPr>
          <w:rFonts w:hint="default" w:ascii="Arial" w:hAnsi="Arial" w:cs="Arial"/>
          <w:color w:val="auto"/>
          <w:sz w:val="24"/>
          <w:szCs w:val="24"/>
          <w:highlight w:val="yellow"/>
          <w:lang w:eastAsia="zh-CN"/>
        </w:rPr>
        <w:t>09</w:t>
      </w:r>
      <w:r>
        <w:rPr>
          <w:rFonts w:hint="default" w:ascii="Arial" w:hAnsi="Arial" w:cs="Arial"/>
          <w:color w:val="auto"/>
          <w:sz w:val="24"/>
          <w:szCs w:val="24"/>
          <w:highlight w:val="yellow"/>
          <w:lang w:val="en-US" w:eastAsia="zh-CN"/>
        </w:rPr>
        <w:t>; P=</w:t>
      </w:r>
      <w:r>
        <w:rPr>
          <w:rFonts w:hint="eastAsia" w:ascii="Arial" w:hAnsi="Arial" w:cs="Arial"/>
          <w:color w:val="auto"/>
          <w:sz w:val="24"/>
          <w:szCs w:val="24"/>
          <w:highlight w:val="yellow"/>
          <w:lang w:val="en-US" w:eastAsia="zh-CN"/>
        </w:rPr>
        <w:t>0</w:t>
      </w:r>
      <w:r>
        <w:rPr>
          <w:rFonts w:hint="default" w:ascii="Arial" w:hAnsi="Arial" w:cs="Arial"/>
          <w:color w:val="auto"/>
          <w:sz w:val="24"/>
          <w:szCs w:val="24"/>
          <w:highlight w:val="yellow"/>
          <w:lang w:val="en-US" w:eastAsia="zh-CN"/>
        </w:rPr>
        <w:t>.</w:t>
      </w:r>
      <w:r>
        <w:rPr>
          <w:rFonts w:hint="default" w:ascii="Arial" w:hAnsi="Arial" w:cs="Arial"/>
          <w:color w:val="auto"/>
          <w:sz w:val="24"/>
          <w:szCs w:val="24"/>
          <w:highlight w:val="yellow"/>
          <w:lang w:eastAsia="zh-CN"/>
        </w:rPr>
        <w:t>136</w:t>
      </w:r>
      <w:r>
        <w:rPr>
          <w:rFonts w:hint="default" w:ascii="Arial" w:hAnsi="Arial" w:cs="Arial"/>
          <w:color w:val="auto"/>
          <w:sz w:val="24"/>
          <w:szCs w:val="24"/>
          <w:highlight w:val="yellow"/>
          <w:lang w:val="en-US" w:eastAsia="zh-CN"/>
        </w:rPr>
        <w:t>)</w:t>
      </w:r>
      <w:r>
        <w:rPr>
          <w:rFonts w:hint="default" w:ascii="Arial" w:hAnsi="Arial" w:cs="Arial"/>
          <w:color w:val="auto"/>
          <w:sz w:val="24"/>
          <w:szCs w:val="24"/>
          <w:highlight w:val="none"/>
          <w:lang w:val="en-US" w:eastAsia="zh-CN"/>
        </w:rPr>
        <w:t>between the two conditioning regimens.</w:t>
      </w:r>
      <w:r>
        <w:rPr>
          <w:rFonts w:hint="eastAsia" w:ascii="Arial" w:hAnsi="Arial" w:cs="Arial"/>
          <w:color w:val="auto"/>
          <w:sz w:val="24"/>
          <w:szCs w:val="24"/>
          <w:highlight w:val="none"/>
          <w:lang w:val="en-US" w:eastAsia="zh-CN"/>
        </w:rPr>
        <w:t xml:space="preserve"> </w:t>
      </w:r>
      <w:r>
        <w:rPr>
          <w:rFonts w:hint="default" w:ascii="Arial" w:hAnsi="Arial" w:cs="Arial"/>
          <w:color w:val="auto"/>
          <w:sz w:val="24"/>
          <w:szCs w:val="24"/>
          <w:highlight w:val="none"/>
          <w:lang w:val="en-US" w:eastAsia="zh-CN"/>
        </w:rPr>
        <w:t xml:space="preserve">Our results show that both IV Bu and TBI are valid myeloablative conditioning regimens for hematologic malignancies patients treated with CBT. </w:t>
      </w:r>
    </w:p>
    <w:p>
      <w:pPr>
        <w:widowControl w:val="0"/>
        <w:numPr>
          <w:ilvl w:val="0"/>
          <w:numId w:val="0"/>
        </w:numPr>
        <w:tabs>
          <w:tab w:val="left" w:pos="312"/>
        </w:tabs>
        <w:spacing w:line="480" w:lineRule="auto"/>
        <w:jc w:val="both"/>
        <w:rPr>
          <w:rFonts w:hint="eastAsia" w:ascii="Arial" w:hAnsi="Arial" w:cs="Arial"/>
          <w:b/>
          <w:bCs/>
          <w:color w:val="auto"/>
          <w:sz w:val="24"/>
          <w:szCs w:val="24"/>
          <w:lang w:val="en-US" w:eastAsia="zh-CN"/>
        </w:rPr>
      </w:pPr>
    </w:p>
    <w:p>
      <w:pPr>
        <w:widowControl w:val="0"/>
        <w:numPr>
          <w:ilvl w:val="0"/>
          <w:numId w:val="0"/>
        </w:numPr>
        <w:tabs>
          <w:tab w:val="left" w:pos="312"/>
        </w:tabs>
        <w:spacing w:line="480" w:lineRule="auto"/>
        <w:jc w:val="left"/>
        <w:rPr>
          <w:rFonts w:hint="default" w:ascii="Arial" w:hAnsi="Arial" w:cs="Arial"/>
          <w:b/>
          <w:bCs/>
          <w:color w:val="auto"/>
          <w:sz w:val="28"/>
          <w:szCs w:val="28"/>
          <w:highlight w:val="none"/>
          <w:lang w:val="en-US" w:eastAsia="zh-CN"/>
        </w:rPr>
      </w:pPr>
      <w:r>
        <w:rPr>
          <w:rFonts w:hint="default" w:ascii="Arial" w:hAnsi="Arial" w:cs="Arial"/>
          <w:b/>
          <w:bCs/>
          <w:color w:val="auto"/>
          <w:sz w:val="28"/>
          <w:szCs w:val="28"/>
          <w:highlight w:val="none"/>
          <w:lang w:val="en-US" w:eastAsia="zh-CN"/>
        </w:rPr>
        <w:t>Introduction</w:t>
      </w:r>
    </w:p>
    <w:p>
      <w:pPr>
        <w:widowControl w:val="0"/>
        <w:numPr>
          <w:ilvl w:val="0"/>
          <w:numId w:val="0"/>
        </w:numPr>
        <w:tabs>
          <w:tab w:val="left" w:pos="312"/>
        </w:tabs>
        <w:spacing w:line="480" w:lineRule="auto"/>
        <w:jc w:val="left"/>
        <w:rPr>
          <w:rFonts w:hint="default" w:ascii="Arial" w:hAnsi="Arial" w:cs="Arial"/>
          <w:b/>
          <w:bCs/>
          <w:color w:val="auto"/>
          <w:sz w:val="28"/>
          <w:szCs w:val="28"/>
          <w:highlight w:val="none"/>
          <w:lang w:val="en-US" w:eastAsia="zh-CN"/>
        </w:rPr>
      </w:pPr>
    </w:p>
    <w:p>
      <w:pPr>
        <w:widowControl w:val="0"/>
        <w:numPr>
          <w:ilvl w:val="0"/>
          <w:numId w:val="0"/>
        </w:numPr>
        <w:tabs>
          <w:tab w:val="left" w:pos="312"/>
        </w:tabs>
        <w:spacing w:line="480" w:lineRule="auto"/>
        <w:ind w:firstLine="240" w:firstLineChars="100"/>
        <w:jc w:val="both"/>
        <w:rPr>
          <w:rFonts w:hint="default" w:ascii="Arial" w:hAnsi="Arial" w:cs="Arial"/>
          <w:color w:val="auto"/>
          <w:sz w:val="24"/>
          <w:szCs w:val="24"/>
          <w:highlight w:val="none"/>
          <w:lang w:val="en-US" w:eastAsia="zh-CN"/>
        </w:rPr>
      </w:pPr>
      <w:r>
        <w:rPr>
          <w:rFonts w:hint="default" w:ascii="Arial" w:hAnsi="Arial" w:cs="Arial"/>
          <w:color w:val="auto"/>
          <w:sz w:val="24"/>
          <w:szCs w:val="24"/>
          <w:highlight w:val="none"/>
          <w:lang w:val="en-US" w:eastAsia="zh-CN"/>
        </w:rPr>
        <w:t>Cyclophosphamide (Cy) combined with either busulfan (Bu) or total-body irradiation (TBI) have been widely used as standard myeloablative preparative regimens for allogeneic hematopoietic stem-cell transplantation(allo-SCT)</w:t>
      </w:r>
      <w:r>
        <w:rPr>
          <w:rFonts w:hint="default" w:ascii="Arial" w:hAnsi="Arial" w:cs="Arial" w:eastAsiaTheme="minorEastAsia"/>
          <w:color w:val="auto"/>
          <w:sz w:val="24"/>
          <w:szCs w:val="24"/>
          <w:highlight w:val="none"/>
          <w:vertAlign w:val="superscript"/>
          <w:lang w:val="en-US" w:eastAsia="zh-CN"/>
        </w:rPr>
        <w:t>[1-3]</w:t>
      </w:r>
      <w:r>
        <w:rPr>
          <w:rFonts w:hint="default" w:ascii="Arial" w:hAnsi="Arial" w:cs="Arial"/>
          <w:color w:val="auto"/>
          <w:sz w:val="24"/>
          <w:szCs w:val="24"/>
          <w:highlight w:val="none"/>
          <w:lang w:val="en-US" w:eastAsia="zh-CN"/>
        </w:rPr>
        <w:t>. Researches of two regimens ocurred largely in parallel. Those two regimens can effectively eradiate tumor and offer sufficient immunosuppress to facilitating allogeneic engraftment. In the oral Bu formulation era, because of variability in absorption and metabolism may lead to 3-fold or more differences in Bu plasma levels, many conflicting results and toxicity have been obtained with two regimens</w:t>
      </w:r>
      <w:r>
        <w:rPr>
          <w:rFonts w:hint="default" w:ascii="Arial" w:hAnsi="Arial" w:cs="Arial" w:eastAsiaTheme="minorEastAsia"/>
          <w:color w:val="auto"/>
          <w:sz w:val="24"/>
          <w:szCs w:val="24"/>
          <w:highlight w:val="none"/>
          <w:vertAlign w:val="superscript"/>
          <w:lang w:val="en-US" w:eastAsia="zh-CN"/>
        </w:rPr>
        <w:t>[4-9]</w:t>
      </w:r>
      <w:r>
        <w:rPr>
          <w:rFonts w:hint="default" w:ascii="Arial" w:hAnsi="Arial" w:cs="Arial"/>
          <w:color w:val="auto"/>
          <w:sz w:val="24"/>
          <w:szCs w:val="24"/>
          <w:highlight w:val="none"/>
          <w:lang w:val="en-US" w:eastAsia="zh-CN"/>
        </w:rPr>
        <w:t>. At that time, Cy plus TBI was usually regarded as a standard preparative regimen for eligible patients with acute lymphoblastic leukemia and advanced or refractory acute myeloid leukaemia</w:t>
      </w:r>
      <w:r>
        <w:rPr>
          <w:rFonts w:hint="default" w:ascii="Arial" w:hAnsi="Arial" w:cs="Arial" w:eastAsiaTheme="minorEastAsia"/>
          <w:color w:val="auto"/>
          <w:sz w:val="24"/>
          <w:szCs w:val="24"/>
          <w:highlight w:val="none"/>
          <w:vertAlign w:val="superscript"/>
          <w:lang w:val="en-US" w:eastAsia="zh-CN"/>
        </w:rPr>
        <w:t>[10,11]</w:t>
      </w:r>
      <w:r>
        <w:rPr>
          <w:rFonts w:hint="default" w:ascii="Arial" w:hAnsi="Arial" w:cs="Arial"/>
          <w:color w:val="auto"/>
          <w:sz w:val="24"/>
          <w:szCs w:val="24"/>
          <w:highlight w:val="none"/>
          <w:lang w:val="en-US" w:eastAsia="zh-CN"/>
        </w:rPr>
        <w:t xml:space="preserve">. TBI based regimens seem to show a little superior compare with oral Bu based regimens in specific types of diseases such as AML and ALL </w:t>
      </w:r>
      <w:r>
        <w:rPr>
          <w:rFonts w:hint="default" w:ascii="Arial" w:hAnsi="Arial" w:cs="Arial" w:eastAsiaTheme="minorEastAsia"/>
          <w:color w:val="auto"/>
          <w:sz w:val="24"/>
          <w:szCs w:val="24"/>
          <w:highlight w:val="none"/>
          <w:vertAlign w:val="superscript"/>
          <w:lang w:val="en-US" w:eastAsia="zh-CN"/>
        </w:rPr>
        <w:t>[8,10,12]</w:t>
      </w:r>
      <w:r>
        <w:rPr>
          <w:rFonts w:hint="default" w:ascii="Arial" w:hAnsi="Arial" w:cs="Arial"/>
          <w:color w:val="auto"/>
          <w:sz w:val="24"/>
          <w:szCs w:val="24"/>
          <w:highlight w:val="none"/>
          <w:lang w:val="en-US" w:eastAsia="zh-CN"/>
        </w:rPr>
        <w:t>.</w:t>
      </w:r>
    </w:p>
    <w:p>
      <w:pPr>
        <w:widowControl w:val="0"/>
        <w:numPr>
          <w:ilvl w:val="0"/>
          <w:numId w:val="0"/>
        </w:numPr>
        <w:tabs>
          <w:tab w:val="left" w:pos="312"/>
        </w:tabs>
        <w:spacing w:line="480" w:lineRule="auto"/>
        <w:jc w:val="both"/>
        <w:rPr>
          <w:rFonts w:hint="default" w:ascii="Arial" w:hAnsi="Arial" w:cs="Arial"/>
          <w:color w:val="auto"/>
          <w:sz w:val="24"/>
          <w:szCs w:val="24"/>
          <w:highlight w:val="none"/>
          <w:lang w:val="en-US" w:eastAsia="zh-CN"/>
        </w:rPr>
      </w:pPr>
    </w:p>
    <w:p>
      <w:pPr>
        <w:widowControl w:val="0"/>
        <w:numPr>
          <w:ilvl w:val="0"/>
          <w:numId w:val="0"/>
        </w:numPr>
        <w:tabs>
          <w:tab w:val="left" w:pos="312"/>
        </w:tabs>
        <w:spacing w:line="480" w:lineRule="auto"/>
        <w:ind w:firstLine="240" w:firstLineChars="100"/>
        <w:jc w:val="both"/>
        <w:rPr>
          <w:rFonts w:hint="default" w:ascii="Arial" w:hAnsi="Arial" w:cs="Arial"/>
          <w:color w:val="auto"/>
          <w:sz w:val="24"/>
          <w:szCs w:val="24"/>
          <w:highlight w:val="none"/>
          <w:lang w:val="en-US" w:eastAsia="zh-CN"/>
        </w:rPr>
      </w:pPr>
      <w:r>
        <w:rPr>
          <w:rFonts w:hint="default" w:ascii="Arial" w:hAnsi="Arial" w:cs="Arial"/>
          <w:color w:val="auto"/>
          <w:sz w:val="24"/>
          <w:szCs w:val="24"/>
          <w:highlight w:val="none"/>
          <w:lang w:val="en-US" w:eastAsia="zh-CN"/>
        </w:rPr>
        <w:t>Therefore, with the consistent pharmacokinetics and reliable dosing, improved clinical outcomes were achieved in patients transplanted with IV Bu regimens. A retrospective registry-based study comparing IV Bu and TBI in combination with Cy as preparative regimens was reported by Acute Leukemia Working Party of European Group for Blood and Marrow Transplantation, 1,659 AML patients received allo-SCT from sibling donors were involved</w:t>
      </w:r>
      <w:r>
        <w:rPr>
          <w:rFonts w:hint="default" w:ascii="Arial" w:hAnsi="Arial" w:cs="Arial" w:eastAsiaTheme="minorEastAsia"/>
          <w:color w:val="auto"/>
          <w:sz w:val="24"/>
          <w:szCs w:val="24"/>
          <w:highlight w:val="none"/>
          <w:vertAlign w:val="superscript"/>
          <w:lang w:val="en-US" w:eastAsia="zh-CN"/>
        </w:rPr>
        <w:t>[1]</w:t>
      </w:r>
      <w:r>
        <w:rPr>
          <w:rFonts w:hint="default" w:ascii="Arial" w:hAnsi="Arial" w:cs="Arial"/>
          <w:color w:val="auto"/>
          <w:sz w:val="24"/>
          <w:szCs w:val="24"/>
          <w:highlight w:val="none"/>
          <w:lang w:val="en-US" w:eastAsia="zh-CN"/>
        </w:rPr>
        <w:t>. Although multivariable analysis showed IV BU group had lower incidence of nonrelapse mortality(NRM), acute and chronic graft-versus-host disease (GVHD), there was no statistically different of leukemia free survival(LFS) was found between the two conditioning regimens(61%±2% for IV Bu and 64%±2% for TBI; P=</w:t>
      </w:r>
      <w:r>
        <w:rPr>
          <w:rFonts w:hint="eastAsia" w:ascii="Arial" w:hAnsi="Arial" w:cs="Arial"/>
          <w:color w:val="auto"/>
          <w:sz w:val="24"/>
          <w:szCs w:val="24"/>
          <w:highlight w:val="none"/>
          <w:lang w:val="en-US" w:eastAsia="zh-CN"/>
        </w:rPr>
        <w:t>0</w:t>
      </w:r>
      <w:r>
        <w:rPr>
          <w:rFonts w:hint="default" w:ascii="Arial" w:hAnsi="Arial" w:cs="Arial"/>
          <w:color w:val="auto"/>
          <w:sz w:val="24"/>
          <w:szCs w:val="24"/>
          <w:highlight w:val="none"/>
          <w:lang w:val="en-US" w:eastAsia="zh-CN"/>
        </w:rPr>
        <w:t>.27). Two consecutive studies from CIBMTR together indicated superior survival in patients with myeloid malignancies receiving IV Bu as preparative regimen compared with TBI</w:t>
      </w:r>
      <w:r>
        <w:rPr>
          <w:rFonts w:hint="default" w:ascii="Arial" w:hAnsi="Arial" w:cs="Arial" w:eastAsiaTheme="minorEastAsia"/>
          <w:color w:val="auto"/>
          <w:sz w:val="24"/>
          <w:szCs w:val="24"/>
          <w:highlight w:val="none"/>
          <w:vertAlign w:val="superscript"/>
          <w:lang w:val="en-US" w:eastAsia="zh-CN"/>
        </w:rPr>
        <w:t>[13,14]</w:t>
      </w:r>
      <w:r>
        <w:rPr>
          <w:rFonts w:hint="default" w:ascii="Arial" w:hAnsi="Arial" w:cs="Arial"/>
          <w:color w:val="auto"/>
          <w:sz w:val="24"/>
          <w:szCs w:val="24"/>
          <w:highlight w:val="none"/>
          <w:lang w:val="en-US" w:eastAsia="zh-CN"/>
        </w:rPr>
        <w:t>. In another recently retrospective study for adult ALL patients from CIBMTR, despite of higher risk of relapse, IV Bu confered equivalent survival with TBI-based preparative regimens due to decreased rates of NRM</w:t>
      </w:r>
      <w:r>
        <w:rPr>
          <w:rFonts w:hint="default" w:ascii="Arial" w:hAnsi="Arial" w:cs="Arial" w:eastAsiaTheme="minorEastAsia"/>
          <w:color w:val="auto"/>
          <w:sz w:val="24"/>
          <w:szCs w:val="24"/>
          <w:highlight w:val="none"/>
          <w:vertAlign w:val="superscript"/>
          <w:lang w:val="en-US" w:eastAsia="zh-CN"/>
        </w:rPr>
        <w:t>[15]</w:t>
      </w:r>
      <w:r>
        <w:rPr>
          <w:rFonts w:hint="default" w:ascii="Arial" w:hAnsi="Arial" w:cs="Arial"/>
          <w:color w:val="auto"/>
          <w:sz w:val="24"/>
          <w:szCs w:val="24"/>
          <w:highlight w:val="none"/>
          <w:lang w:val="en-US" w:eastAsia="zh-CN"/>
        </w:rPr>
        <w:t xml:space="preserve">. These results suggest that intronevous formulation of Bu has becoming an attactive alternitive of TBI with improved outcome. </w:t>
      </w:r>
    </w:p>
    <w:p>
      <w:pPr>
        <w:widowControl w:val="0"/>
        <w:numPr>
          <w:ilvl w:val="0"/>
          <w:numId w:val="0"/>
        </w:numPr>
        <w:tabs>
          <w:tab w:val="left" w:pos="312"/>
        </w:tabs>
        <w:spacing w:line="480" w:lineRule="auto"/>
        <w:jc w:val="both"/>
        <w:rPr>
          <w:rFonts w:hint="default" w:ascii="Arial" w:hAnsi="Arial" w:cs="Arial"/>
          <w:color w:val="auto"/>
          <w:sz w:val="24"/>
          <w:szCs w:val="24"/>
          <w:highlight w:val="none"/>
          <w:lang w:val="en-US" w:eastAsia="zh-CN"/>
        </w:rPr>
      </w:pPr>
    </w:p>
    <w:p>
      <w:pPr>
        <w:widowControl w:val="0"/>
        <w:numPr>
          <w:ilvl w:val="0"/>
          <w:numId w:val="0"/>
        </w:numPr>
        <w:tabs>
          <w:tab w:val="left" w:pos="312"/>
        </w:tabs>
        <w:spacing w:line="480" w:lineRule="auto"/>
        <w:ind w:firstLine="240" w:firstLineChars="100"/>
        <w:jc w:val="both"/>
        <w:rPr>
          <w:rFonts w:hint="default" w:ascii="Arial" w:hAnsi="Arial" w:cs="Arial"/>
          <w:color w:val="auto"/>
          <w:sz w:val="24"/>
          <w:szCs w:val="24"/>
          <w:highlight w:val="none"/>
          <w:lang w:val="en-US" w:eastAsia="zh-CN"/>
        </w:rPr>
      </w:pPr>
      <w:r>
        <w:rPr>
          <w:rFonts w:hint="default" w:ascii="Arial" w:hAnsi="Arial" w:cs="Arial"/>
          <w:color w:val="auto"/>
          <w:sz w:val="24"/>
          <w:szCs w:val="24"/>
          <w:highlight w:val="none"/>
          <w:lang w:val="en-US" w:eastAsia="zh-CN"/>
        </w:rPr>
        <w:t>Due to less restrictions of human leukocyte antigen (HLA), rapid graft availability, and low incidence of relapse and chronic GVHD, Unrelated donor umbilical cord blood has been widely accepted as an extension of allograft access for hematologic malignancies</w:t>
      </w:r>
      <w:r>
        <w:rPr>
          <w:rFonts w:hint="default" w:ascii="Arial" w:hAnsi="Arial" w:cs="Arial" w:eastAsiaTheme="minorEastAsia"/>
          <w:color w:val="auto"/>
          <w:sz w:val="24"/>
          <w:szCs w:val="24"/>
          <w:highlight w:val="none"/>
          <w:vertAlign w:val="superscript"/>
          <w:lang w:val="en-US" w:eastAsia="zh-CN"/>
        </w:rPr>
        <w:t>[16-20]</w:t>
      </w:r>
      <w:r>
        <w:rPr>
          <w:rFonts w:hint="default" w:ascii="Arial" w:hAnsi="Arial" w:cs="Arial"/>
          <w:color w:val="auto"/>
          <w:sz w:val="24"/>
          <w:szCs w:val="24"/>
          <w:highlight w:val="none"/>
          <w:lang w:val="en-US" w:eastAsia="zh-CN"/>
        </w:rPr>
        <w:t xml:space="preserve">. </w:t>
      </w:r>
      <w:r>
        <w:rPr>
          <w:rFonts w:hint="eastAsia" w:ascii="Arial" w:hAnsi="Arial" w:cs="Arial"/>
          <w:color w:val="auto"/>
          <w:sz w:val="24"/>
          <w:szCs w:val="24"/>
          <w:highlight w:val="none"/>
          <w:lang w:val="en-US" w:eastAsia="zh-CN"/>
        </w:rPr>
        <w:t xml:space="preserve">The clinical usefulness of </w:t>
      </w:r>
      <w:r>
        <w:rPr>
          <w:rFonts w:hint="default" w:ascii="Arial" w:hAnsi="Arial" w:cs="Arial"/>
          <w:color w:val="auto"/>
          <w:sz w:val="24"/>
          <w:szCs w:val="24"/>
          <w:highlight w:val="none"/>
          <w:lang w:val="en-US" w:eastAsia="zh-CN"/>
        </w:rPr>
        <w:t>umbilical cord blood transplantation(CBT)</w:t>
      </w:r>
      <w:r>
        <w:rPr>
          <w:rFonts w:hint="eastAsia" w:ascii="Arial" w:hAnsi="Arial" w:cs="Arial"/>
          <w:color w:val="auto"/>
          <w:sz w:val="24"/>
          <w:szCs w:val="24"/>
          <w:highlight w:val="none"/>
          <w:lang w:val="en-US" w:eastAsia="zh-CN"/>
        </w:rPr>
        <w:t xml:space="preserve"> has been restricted by the relatively low number of</w:t>
      </w:r>
      <w:r>
        <w:rPr>
          <w:rFonts w:hint="default" w:ascii="Arial" w:hAnsi="Arial" w:cs="Arial"/>
          <w:color w:val="auto"/>
          <w:sz w:val="24"/>
          <w:szCs w:val="24"/>
          <w:highlight w:val="none"/>
          <w:lang w:val="en-US" w:eastAsia="zh-CN"/>
        </w:rPr>
        <w:t xml:space="preserve"> stem</w:t>
      </w:r>
      <w:r>
        <w:rPr>
          <w:rFonts w:hint="eastAsia" w:ascii="Arial" w:hAnsi="Arial" w:cs="Arial"/>
          <w:color w:val="auto"/>
          <w:sz w:val="24"/>
          <w:szCs w:val="24"/>
          <w:highlight w:val="none"/>
          <w:lang w:val="en-US" w:eastAsia="zh-CN"/>
        </w:rPr>
        <w:t xml:space="preserve"> </w:t>
      </w:r>
      <w:r>
        <w:rPr>
          <w:rFonts w:hint="default" w:ascii="Arial" w:hAnsi="Arial" w:cs="Arial"/>
          <w:color w:val="auto"/>
          <w:sz w:val="24"/>
          <w:szCs w:val="24"/>
          <w:highlight w:val="none"/>
          <w:lang w:val="en-US" w:eastAsia="zh-CN"/>
        </w:rPr>
        <w:t>cell doses</w:t>
      </w:r>
      <w:r>
        <w:rPr>
          <w:rFonts w:hint="eastAsia" w:ascii="Arial" w:hAnsi="Arial" w:cs="Arial"/>
          <w:color w:val="auto"/>
          <w:sz w:val="24"/>
          <w:szCs w:val="24"/>
          <w:highlight w:val="none"/>
          <w:lang w:val="en-US" w:eastAsia="zh-CN"/>
        </w:rPr>
        <w:t>.</w:t>
      </w:r>
      <w:r>
        <w:rPr>
          <w:rFonts w:hint="default" w:ascii="Arial" w:hAnsi="Arial" w:cs="Arial"/>
          <w:color w:val="auto"/>
          <w:sz w:val="24"/>
          <w:szCs w:val="24"/>
          <w:highlight w:val="none"/>
          <w:lang w:val="en-US" w:eastAsia="zh-CN"/>
        </w:rPr>
        <w:t xml:space="preserve"> </w:t>
      </w:r>
      <w:r>
        <w:rPr>
          <w:rFonts w:hint="eastAsia" w:ascii="Arial" w:hAnsi="Arial" w:cs="Arial"/>
          <w:color w:val="auto"/>
          <w:sz w:val="24"/>
          <w:szCs w:val="24"/>
          <w:highlight w:val="none"/>
          <w:lang w:val="en-US" w:eastAsia="zh-CN"/>
        </w:rPr>
        <w:t xml:space="preserve">Delayed engraftment of neutrophils and platelets or </w:t>
      </w:r>
      <w:r>
        <w:rPr>
          <w:rFonts w:hint="default" w:ascii="Arial" w:hAnsi="Arial" w:cs="Arial"/>
          <w:color w:val="auto"/>
          <w:sz w:val="24"/>
          <w:szCs w:val="24"/>
          <w:highlight w:val="none"/>
          <w:lang w:val="en-US" w:eastAsia="zh-CN"/>
        </w:rPr>
        <w:t>graft failure</w:t>
      </w:r>
      <w:r>
        <w:rPr>
          <w:rFonts w:hint="eastAsia" w:ascii="Arial" w:hAnsi="Arial" w:cs="Arial"/>
          <w:color w:val="auto"/>
          <w:sz w:val="24"/>
          <w:szCs w:val="24"/>
          <w:highlight w:val="none"/>
          <w:lang w:val="en-US" w:eastAsia="zh-CN"/>
        </w:rPr>
        <w:t xml:space="preserve"> with CBT is always accompanied by increased risk of transplant-related complications or death. Besides of </w:t>
      </w:r>
      <w:r>
        <w:rPr>
          <w:rFonts w:hint="default" w:ascii="Arial" w:hAnsi="Arial" w:cs="Arial"/>
          <w:color w:val="auto"/>
          <w:sz w:val="24"/>
          <w:szCs w:val="24"/>
          <w:highlight w:val="none"/>
          <w:lang w:val="en-US" w:eastAsia="zh-CN"/>
        </w:rPr>
        <w:t>include cell dose, degree of</w:t>
      </w:r>
      <w:r>
        <w:rPr>
          <w:rFonts w:hint="eastAsia" w:ascii="Arial" w:hAnsi="Arial" w:cs="Arial"/>
          <w:color w:val="auto"/>
          <w:sz w:val="24"/>
          <w:szCs w:val="24"/>
          <w:highlight w:val="none"/>
          <w:lang w:val="en-US" w:eastAsia="zh-CN"/>
        </w:rPr>
        <w:t xml:space="preserve"> </w:t>
      </w:r>
      <w:r>
        <w:rPr>
          <w:rFonts w:hint="default" w:ascii="Arial" w:hAnsi="Arial" w:cs="Arial"/>
          <w:color w:val="auto"/>
          <w:sz w:val="24"/>
          <w:szCs w:val="24"/>
          <w:highlight w:val="none"/>
          <w:lang w:val="en-US" w:eastAsia="zh-CN"/>
        </w:rPr>
        <w:t>HLA matching</w:t>
      </w:r>
      <w:r>
        <w:rPr>
          <w:rFonts w:hint="eastAsia" w:ascii="Arial" w:hAnsi="Arial" w:cs="Arial"/>
          <w:color w:val="auto"/>
          <w:sz w:val="24"/>
          <w:szCs w:val="24"/>
          <w:highlight w:val="none"/>
          <w:lang w:val="en-US" w:eastAsia="zh-CN"/>
        </w:rPr>
        <w:t xml:space="preserve"> </w:t>
      </w:r>
      <w:r>
        <w:rPr>
          <w:rFonts w:hint="default" w:ascii="Arial" w:hAnsi="Arial" w:cs="Arial"/>
          <w:color w:val="auto"/>
          <w:sz w:val="24"/>
          <w:szCs w:val="24"/>
          <w:highlight w:val="none"/>
          <w:lang w:val="en-US" w:eastAsia="zh-CN"/>
        </w:rPr>
        <w:t xml:space="preserve">and post-grafting immunosuppression, </w:t>
      </w:r>
      <w:r>
        <w:rPr>
          <w:rFonts w:hint="eastAsia" w:ascii="Arial" w:hAnsi="Arial" w:cs="Arial"/>
          <w:color w:val="auto"/>
          <w:sz w:val="24"/>
          <w:szCs w:val="24"/>
          <w:highlight w:val="none"/>
          <w:lang w:val="en-US" w:eastAsia="zh-CN"/>
        </w:rPr>
        <w:t>t</w:t>
      </w:r>
      <w:r>
        <w:rPr>
          <w:rFonts w:hint="default" w:ascii="Arial" w:hAnsi="Arial" w:cs="Arial"/>
          <w:color w:val="auto"/>
          <w:sz w:val="24"/>
          <w:szCs w:val="24"/>
          <w:highlight w:val="none"/>
          <w:lang w:val="en-US" w:eastAsia="zh-CN"/>
        </w:rPr>
        <w:t>he conditioning regimen</w:t>
      </w:r>
      <w:r>
        <w:rPr>
          <w:rFonts w:hint="eastAsia" w:ascii="Arial" w:hAnsi="Arial" w:cs="Arial"/>
          <w:color w:val="auto"/>
          <w:sz w:val="24"/>
          <w:szCs w:val="24"/>
          <w:highlight w:val="none"/>
          <w:lang w:val="en-US" w:eastAsia="zh-CN"/>
        </w:rPr>
        <w:t xml:space="preserve"> </w:t>
      </w:r>
      <w:r>
        <w:rPr>
          <w:rFonts w:hint="default" w:ascii="Arial" w:hAnsi="Arial" w:cs="Arial"/>
          <w:color w:val="auto"/>
          <w:sz w:val="24"/>
          <w:szCs w:val="24"/>
          <w:highlight w:val="none"/>
          <w:lang w:val="en-US" w:eastAsia="zh-CN"/>
        </w:rPr>
        <w:t>is critically important</w:t>
      </w:r>
      <w:r>
        <w:rPr>
          <w:rFonts w:hint="eastAsia" w:ascii="Arial" w:hAnsi="Arial" w:cs="Arial"/>
          <w:color w:val="auto"/>
          <w:sz w:val="24"/>
          <w:szCs w:val="24"/>
          <w:highlight w:val="none"/>
          <w:lang w:val="en-US" w:eastAsia="zh-CN"/>
        </w:rPr>
        <w:t xml:space="preserve"> for engraftment in CBT. Currently t</w:t>
      </w:r>
      <w:r>
        <w:rPr>
          <w:rFonts w:hint="default" w:ascii="Arial" w:hAnsi="Arial" w:cs="Arial"/>
          <w:color w:val="auto"/>
          <w:sz w:val="24"/>
          <w:szCs w:val="24"/>
          <w:highlight w:val="none"/>
          <w:lang w:val="en-US" w:eastAsia="zh-CN"/>
        </w:rPr>
        <w:t xml:space="preserve">here are no specialized research aim to compare the outcome of </w:t>
      </w:r>
      <w:r>
        <w:rPr>
          <w:rFonts w:hint="eastAsia" w:ascii="Arial" w:hAnsi="Arial" w:cs="Arial"/>
          <w:color w:val="auto"/>
          <w:sz w:val="24"/>
          <w:szCs w:val="24"/>
          <w:highlight w:val="none"/>
          <w:lang w:val="en-US" w:eastAsia="zh-CN"/>
        </w:rPr>
        <w:t>IV Bu/Cy with CyTBI/</w:t>
      </w:r>
      <w:r>
        <w:rPr>
          <w:rFonts w:hint="default" w:ascii="Arial" w:hAnsi="Arial" w:cs="Arial"/>
          <w:color w:val="auto"/>
          <w:sz w:val="24"/>
          <w:szCs w:val="24"/>
          <w:highlight w:val="none"/>
          <w:lang w:val="en-US" w:eastAsia="zh-CN"/>
        </w:rPr>
        <w:t xml:space="preserve"> </w:t>
      </w:r>
      <w:r>
        <w:rPr>
          <w:rFonts w:hint="eastAsia" w:ascii="Arial" w:hAnsi="Arial" w:cs="Arial"/>
          <w:color w:val="auto"/>
          <w:sz w:val="24"/>
          <w:szCs w:val="24"/>
          <w:highlight w:val="none"/>
          <w:lang w:val="en-US" w:eastAsia="zh-CN"/>
        </w:rPr>
        <w:t>in</w:t>
      </w:r>
      <w:r>
        <w:rPr>
          <w:rFonts w:hint="default" w:ascii="Arial" w:hAnsi="Arial" w:cs="Arial"/>
          <w:color w:val="auto"/>
          <w:sz w:val="24"/>
          <w:szCs w:val="24"/>
          <w:highlight w:val="none"/>
          <w:lang w:val="en-US" w:eastAsia="zh-CN"/>
        </w:rPr>
        <w:t xml:space="preserve"> </w:t>
      </w:r>
      <w:r>
        <w:rPr>
          <w:rFonts w:hint="eastAsia" w:ascii="Arial" w:hAnsi="Arial" w:cs="Arial"/>
          <w:color w:val="auto"/>
          <w:sz w:val="24"/>
          <w:szCs w:val="24"/>
          <w:highlight w:val="none"/>
          <w:lang w:val="en-US" w:eastAsia="zh-CN"/>
        </w:rPr>
        <w:t>CBT</w:t>
      </w:r>
      <w:r>
        <w:rPr>
          <w:rFonts w:hint="default" w:ascii="Arial" w:hAnsi="Arial" w:cs="Arial"/>
          <w:color w:val="auto"/>
          <w:sz w:val="24"/>
          <w:szCs w:val="24"/>
          <w:highlight w:val="none"/>
          <w:lang w:val="en-US" w:eastAsia="zh-CN"/>
        </w:rPr>
        <w:t xml:space="preserve">. To evaluate the efficacy of </w:t>
      </w:r>
      <w:r>
        <w:rPr>
          <w:rFonts w:hint="eastAsia" w:ascii="Arial" w:hAnsi="Arial" w:cs="Arial"/>
          <w:color w:val="auto"/>
          <w:sz w:val="24"/>
          <w:szCs w:val="24"/>
          <w:highlight w:val="none"/>
          <w:lang w:val="en-US" w:eastAsia="zh-CN"/>
        </w:rPr>
        <w:t xml:space="preserve">these two </w:t>
      </w:r>
      <w:r>
        <w:rPr>
          <w:rFonts w:hint="default" w:ascii="Arial" w:hAnsi="Arial" w:cs="Arial"/>
          <w:color w:val="auto"/>
          <w:sz w:val="24"/>
          <w:szCs w:val="24"/>
          <w:highlight w:val="none"/>
          <w:lang w:val="en-US" w:eastAsia="zh-CN"/>
        </w:rPr>
        <w:t xml:space="preserve">myeloablative preparative regimens in CBT, we conduct a </w:t>
      </w:r>
      <w:r>
        <w:rPr>
          <w:rFonts w:hint="eastAsia" w:ascii="Arial" w:hAnsi="Arial" w:cs="Arial"/>
          <w:color w:val="auto"/>
          <w:sz w:val="24"/>
          <w:szCs w:val="24"/>
          <w:highlight w:val="none"/>
          <w:lang w:val="en-US" w:eastAsia="zh-CN"/>
        </w:rPr>
        <w:t>ret</w:t>
      </w:r>
      <w:r>
        <w:rPr>
          <w:rFonts w:hint="default" w:ascii="Arial" w:hAnsi="Arial" w:cs="Arial"/>
          <w:color w:val="auto"/>
          <w:sz w:val="24"/>
          <w:szCs w:val="24"/>
          <w:highlight w:val="none"/>
          <w:lang w:val="en-US" w:eastAsia="zh-CN"/>
        </w:rPr>
        <w:t>rospective cohort study in patients with hematologic malignancies undergoing unrelated single CBT in China.</w:t>
      </w:r>
    </w:p>
    <w:p>
      <w:pPr>
        <w:widowControl w:val="0"/>
        <w:numPr>
          <w:ilvl w:val="0"/>
          <w:numId w:val="0"/>
        </w:numPr>
        <w:tabs>
          <w:tab w:val="left" w:pos="312"/>
        </w:tabs>
        <w:spacing w:line="480" w:lineRule="auto"/>
        <w:jc w:val="center"/>
        <w:rPr>
          <w:rFonts w:hint="default" w:ascii="Arial" w:hAnsi="Arial" w:cs="Arial"/>
          <w:b/>
          <w:bCs/>
          <w:color w:val="auto"/>
          <w:sz w:val="24"/>
          <w:szCs w:val="24"/>
          <w:highlight w:val="none"/>
          <w:lang w:val="en-US" w:eastAsia="zh-CN"/>
        </w:rPr>
      </w:pPr>
    </w:p>
    <w:p>
      <w:pPr>
        <w:widowControl w:val="0"/>
        <w:numPr>
          <w:ilvl w:val="0"/>
          <w:numId w:val="0"/>
        </w:numPr>
        <w:tabs>
          <w:tab w:val="left" w:pos="312"/>
        </w:tabs>
        <w:spacing w:line="480" w:lineRule="auto"/>
        <w:jc w:val="left"/>
        <w:rPr>
          <w:rFonts w:hint="default" w:ascii="Arial" w:hAnsi="Arial" w:cs="Arial"/>
          <w:b/>
          <w:bCs/>
          <w:color w:val="auto"/>
          <w:sz w:val="28"/>
          <w:szCs w:val="28"/>
          <w:highlight w:val="none"/>
          <w:lang w:val="en-US" w:eastAsia="zh-CN"/>
        </w:rPr>
      </w:pPr>
      <w:r>
        <w:rPr>
          <w:rFonts w:hint="default" w:ascii="Arial" w:hAnsi="Arial" w:cs="Arial"/>
          <w:b/>
          <w:bCs/>
          <w:color w:val="auto"/>
          <w:sz w:val="28"/>
          <w:szCs w:val="28"/>
          <w:highlight w:val="none"/>
          <w:lang w:val="en-US" w:eastAsia="zh-CN"/>
        </w:rPr>
        <w:t>Patients and methods</w:t>
      </w:r>
    </w:p>
    <w:p>
      <w:pPr>
        <w:widowControl w:val="0"/>
        <w:numPr>
          <w:ilvl w:val="0"/>
          <w:numId w:val="0"/>
        </w:numPr>
        <w:tabs>
          <w:tab w:val="left" w:pos="312"/>
        </w:tabs>
        <w:spacing w:line="480" w:lineRule="auto"/>
        <w:jc w:val="center"/>
        <w:rPr>
          <w:rFonts w:hint="default" w:ascii="Arial" w:hAnsi="Arial" w:cs="Arial"/>
          <w:b/>
          <w:bCs/>
          <w:color w:val="auto"/>
          <w:sz w:val="28"/>
          <w:szCs w:val="28"/>
          <w:highlight w:val="none"/>
          <w:lang w:val="en-US" w:eastAsia="zh-CN"/>
        </w:rPr>
      </w:pPr>
    </w:p>
    <w:p>
      <w:pPr>
        <w:widowControl w:val="0"/>
        <w:numPr>
          <w:ilvl w:val="0"/>
          <w:numId w:val="0"/>
        </w:numPr>
        <w:tabs>
          <w:tab w:val="left" w:pos="312"/>
        </w:tabs>
        <w:spacing w:line="480" w:lineRule="auto"/>
        <w:jc w:val="both"/>
        <w:rPr>
          <w:rFonts w:hint="default" w:ascii="Arial" w:hAnsi="Arial" w:cs="Arial"/>
          <w:b/>
          <w:bCs/>
          <w:i w:val="0"/>
          <w:iCs w:val="0"/>
          <w:color w:val="auto"/>
          <w:sz w:val="24"/>
          <w:szCs w:val="24"/>
          <w:highlight w:val="none"/>
          <w:lang w:val="en-US" w:eastAsia="zh-CN"/>
        </w:rPr>
      </w:pPr>
      <w:r>
        <w:rPr>
          <w:rFonts w:hint="default" w:ascii="Arial" w:hAnsi="Arial" w:cs="Arial"/>
          <w:b/>
          <w:bCs/>
          <w:i w:val="0"/>
          <w:iCs w:val="0"/>
          <w:color w:val="auto"/>
          <w:sz w:val="24"/>
          <w:szCs w:val="24"/>
          <w:highlight w:val="none"/>
          <w:lang w:val="en-US" w:eastAsia="zh-CN"/>
        </w:rPr>
        <w:t>Study Design and Patients</w:t>
      </w:r>
    </w:p>
    <w:p>
      <w:pPr>
        <w:widowControl w:val="0"/>
        <w:numPr>
          <w:ilvl w:val="0"/>
          <w:numId w:val="0"/>
        </w:numPr>
        <w:tabs>
          <w:tab w:val="left" w:pos="312"/>
        </w:tabs>
        <w:spacing w:line="480" w:lineRule="auto"/>
        <w:ind w:firstLine="240" w:firstLineChars="100"/>
        <w:jc w:val="both"/>
        <w:rPr>
          <w:rFonts w:hint="default" w:ascii="Arial" w:hAnsi="Arial" w:cs="Arial"/>
          <w:color w:val="auto"/>
          <w:sz w:val="24"/>
          <w:szCs w:val="24"/>
          <w:highlight w:val="none"/>
          <w:lang w:val="en-US" w:eastAsia="zh-CN"/>
        </w:rPr>
      </w:pPr>
      <w:r>
        <w:rPr>
          <w:rFonts w:hint="default" w:ascii="Arial" w:hAnsi="Arial" w:cs="Arial"/>
          <w:color w:val="auto"/>
          <w:sz w:val="24"/>
          <w:szCs w:val="24"/>
          <w:highlight w:val="none"/>
          <w:lang w:val="en-US" w:eastAsia="zh-CN"/>
        </w:rPr>
        <w:t>This was a retrospective, multicentre, registry-based analysis. Data were provided by the China Umbilical Cord Blood Transplantation Cooperation. From May 1, 2008 to Mar 31, 201</w:t>
      </w:r>
      <w:r>
        <w:rPr>
          <w:rFonts w:hint="eastAsia" w:ascii="Arial" w:hAnsi="Arial" w:cs="Arial"/>
          <w:color w:val="auto"/>
          <w:sz w:val="24"/>
          <w:szCs w:val="24"/>
          <w:highlight w:val="none"/>
          <w:lang w:val="en-US" w:eastAsia="zh-CN"/>
        </w:rPr>
        <w:t>6</w:t>
      </w:r>
      <w:r>
        <w:rPr>
          <w:rFonts w:hint="default" w:ascii="Arial" w:hAnsi="Arial" w:cs="Arial"/>
          <w:color w:val="auto"/>
          <w:sz w:val="24"/>
          <w:szCs w:val="24"/>
          <w:highlight w:val="none"/>
          <w:lang w:val="en-US" w:eastAsia="zh-CN"/>
        </w:rPr>
        <w:t xml:space="preserve">, a total of 331 consecutive patients with hematologic malignancies </w:t>
      </w:r>
      <w:r>
        <w:rPr>
          <w:rFonts w:hint="default" w:ascii="Arial" w:hAnsi="Arial" w:cs="Arial"/>
          <w:color w:val="auto"/>
          <w:sz w:val="24"/>
          <w:szCs w:val="24"/>
          <w:highlight w:val="yellow"/>
          <w:lang w:val="en-US" w:eastAsia="zh-CN"/>
        </w:rPr>
        <w:t>rece</w:t>
      </w:r>
      <w:r>
        <w:rPr>
          <w:rFonts w:hint="default" w:ascii="Arial" w:hAnsi="Arial" w:cs="Arial"/>
          <w:color w:val="auto"/>
          <w:sz w:val="24"/>
          <w:szCs w:val="24"/>
          <w:highlight w:val="yellow"/>
          <w:lang w:eastAsia="zh-CN"/>
        </w:rPr>
        <w:t>i</w:t>
      </w:r>
      <w:r>
        <w:rPr>
          <w:rFonts w:hint="default" w:ascii="Arial" w:hAnsi="Arial" w:cs="Arial"/>
          <w:color w:val="auto"/>
          <w:sz w:val="24"/>
          <w:szCs w:val="24"/>
          <w:highlight w:val="yellow"/>
          <w:lang w:val="en-US" w:eastAsia="zh-CN"/>
        </w:rPr>
        <w:t>ved</w:t>
      </w:r>
      <w:r>
        <w:rPr>
          <w:rFonts w:hint="default" w:ascii="Arial" w:hAnsi="Arial" w:cs="Arial"/>
          <w:color w:val="auto"/>
          <w:sz w:val="24"/>
          <w:szCs w:val="24"/>
          <w:highlight w:val="none"/>
          <w:lang w:val="en-US" w:eastAsia="zh-CN"/>
        </w:rPr>
        <w:t xml:space="preserve"> singe unrelated CBT were involved in the study. Eligibility criteria for this analysis included:(1)Weigh ≥35 kilograms and age ≤</w:t>
      </w:r>
      <w:r>
        <w:rPr>
          <w:rFonts w:hint="eastAsia" w:ascii="Arial" w:hAnsi="Arial" w:cs="Arial"/>
          <w:color w:val="auto"/>
          <w:sz w:val="24"/>
          <w:szCs w:val="24"/>
          <w:highlight w:val="none"/>
          <w:lang w:val="en-US" w:eastAsia="zh-CN"/>
        </w:rPr>
        <w:t xml:space="preserve"> </w:t>
      </w:r>
      <w:r>
        <w:rPr>
          <w:rFonts w:hint="default" w:ascii="Arial" w:hAnsi="Arial" w:cs="Arial"/>
          <w:color w:val="auto"/>
          <w:sz w:val="24"/>
          <w:szCs w:val="24"/>
          <w:highlight w:val="none"/>
          <w:lang w:val="en-US" w:eastAsia="zh-CN"/>
        </w:rPr>
        <w:t xml:space="preserve">60 years; (2)All patients </w:t>
      </w:r>
      <w:r>
        <w:rPr>
          <w:rFonts w:hint="default" w:ascii="Arial" w:hAnsi="Arial" w:cs="Arial"/>
          <w:color w:val="auto"/>
          <w:sz w:val="24"/>
          <w:szCs w:val="24"/>
          <w:highlight w:val="yellow"/>
          <w:lang w:val="en-US" w:eastAsia="zh-CN"/>
        </w:rPr>
        <w:t>rece</w:t>
      </w:r>
      <w:r>
        <w:rPr>
          <w:rFonts w:hint="default" w:ascii="Arial" w:hAnsi="Arial" w:cs="Arial"/>
          <w:color w:val="auto"/>
          <w:sz w:val="24"/>
          <w:szCs w:val="24"/>
          <w:highlight w:val="yellow"/>
          <w:lang w:eastAsia="zh-CN"/>
        </w:rPr>
        <w:t>i</w:t>
      </w:r>
      <w:r>
        <w:rPr>
          <w:rFonts w:hint="default" w:ascii="Arial" w:hAnsi="Arial" w:cs="Arial"/>
          <w:color w:val="auto"/>
          <w:sz w:val="24"/>
          <w:szCs w:val="24"/>
          <w:highlight w:val="yellow"/>
          <w:lang w:val="en-US" w:eastAsia="zh-CN"/>
        </w:rPr>
        <w:t>ved</w:t>
      </w:r>
      <w:r>
        <w:rPr>
          <w:rFonts w:hint="default" w:ascii="Arial" w:hAnsi="Arial" w:cs="Arial"/>
          <w:color w:val="auto"/>
          <w:sz w:val="24"/>
          <w:szCs w:val="24"/>
          <w:highlight w:val="none"/>
          <w:lang w:val="en-US" w:eastAsia="zh-CN"/>
        </w:rPr>
        <w:t xml:space="preserve"> a single unit CBT but not a double units CBT; (3)Karnofsky performance status must be ≥70%</w:t>
      </w:r>
      <w:r>
        <w:rPr>
          <w:rFonts w:hint="default" w:ascii="Arial" w:hAnsi="Arial" w:cs="Arial"/>
          <w:color w:val="auto"/>
          <w:sz w:val="24"/>
          <w:szCs w:val="24"/>
          <w:highlight w:val="yellow"/>
          <w:lang w:eastAsia="zh-CN"/>
        </w:rPr>
        <w:t>;</w:t>
      </w:r>
      <w:r>
        <w:rPr>
          <w:rFonts w:hint="eastAsia" w:ascii="Arial" w:hAnsi="Arial" w:cs="Arial"/>
          <w:color w:val="auto"/>
          <w:sz w:val="24"/>
          <w:szCs w:val="24"/>
          <w:highlight w:val="none"/>
          <w:lang w:val="en-US" w:eastAsia="zh-CN"/>
        </w:rPr>
        <w:t xml:space="preserve">(4)No HLA-compatible related donors available. </w:t>
      </w:r>
      <w:r>
        <w:rPr>
          <w:rFonts w:hint="default" w:ascii="Arial" w:hAnsi="Arial" w:cs="Arial"/>
          <w:color w:val="auto"/>
          <w:sz w:val="24"/>
          <w:szCs w:val="24"/>
          <w:highlight w:val="none"/>
          <w:lang w:val="en-US" w:eastAsia="zh-CN"/>
        </w:rPr>
        <w:t xml:space="preserve">Patients who has </w:t>
      </w:r>
      <w:r>
        <w:rPr>
          <w:rFonts w:hint="default" w:ascii="Arial" w:hAnsi="Arial" w:cs="Arial"/>
          <w:color w:val="auto"/>
          <w:sz w:val="24"/>
          <w:szCs w:val="24"/>
          <w:highlight w:val="yellow"/>
          <w:lang w:val="en-US" w:eastAsia="zh-CN"/>
        </w:rPr>
        <w:t>rece</w:t>
      </w:r>
      <w:r>
        <w:rPr>
          <w:rFonts w:hint="default" w:ascii="Arial" w:hAnsi="Arial" w:cs="Arial"/>
          <w:color w:val="auto"/>
          <w:sz w:val="24"/>
          <w:szCs w:val="24"/>
          <w:highlight w:val="yellow"/>
          <w:lang w:eastAsia="zh-CN"/>
        </w:rPr>
        <w:t>i</w:t>
      </w:r>
      <w:r>
        <w:rPr>
          <w:rFonts w:hint="default" w:ascii="Arial" w:hAnsi="Arial" w:cs="Arial"/>
          <w:color w:val="auto"/>
          <w:sz w:val="24"/>
          <w:szCs w:val="24"/>
          <w:highlight w:val="yellow"/>
          <w:lang w:val="en-US" w:eastAsia="zh-CN"/>
        </w:rPr>
        <w:t>ved</w:t>
      </w:r>
      <w:r>
        <w:rPr>
          <w:rFonts w:hint="default" w:ascii="Arial" w:hAnsi="Arial" w:cs="Arial"/>
          <w:color w:val="auto"/>
          <w:sz w:val="24"/>
          <w:szCs w:val="24"/>
          <w:highlight w:val="none"/>
          <w:lang w:val="en-US" w:eastAsia="zh-CN"/>
        </w:rPr>
        <w:t xml:space="preserve"> a previous autologous or allogeneic transplantation was excluded in the study.</w:t>
      </w:r>
      <w:r>
        <w:rPr>
          <w:rFonts w:hint="eastAsia" w:ascii="Arial" w:hAnsi="Arial" w:cs="Arial"/>
          <w:color w:val="auto"/>
          <w:sz w:val="24"/>
          <w:szCs w:val="24"/>
          <w:highlight w:val="none"/>
          <w:lang w:val="en-US" w:eastAsia="zh-CN"/>
        </w:rPr>
        <w:t xml:space="preserve"> </w:t>
      </w:r>
      <w:r>
        <w:rPr>
          <w:rFonts w:hint="default" w:ascii="Arial" w:hAnsi="Arial" w:cs="Arial"/>
          <w:color w:val="auto"/>
          <w:sz w:val="24"/>
          <w:szCs w:val="24"/>
          <w:highlight w:val="none"/>
          <w:lang w:val="en-US" w:eastAsia="zh-CN"/>
        </w:rPr>
        <w:t xml:space="preserve">Informed consent </w:t>
      </w:r>
      <w:r>
        <w:rPr>
          <w:rFonts w:hint="eastAsia" w:ascii="Arial" w:hAnsi="Arial" w:cs="Arial"/>
          <w:color w:val="auto"/>
          <w:sz w:val="24"/>
          <w:szCs w:val="24"/>
          <w:highlight w:val="none"/>
          <w:lang w:val="en-US" w:eastAsia="zh-CN"/>
        </w:rPr>
        <w:t xml:space="preserve">for CBT </w:t>
      </w:r>
      <w:r>
        <w:rPr>
          <w:rFonts w:hint="default" w:ascii="Arial" w:hAnsi="Arial" w:cs="Arial"/>
          <w:color w:val="auto"/>
          <w:sz w:val="24"/>
          <w:szCs w:val="24"/>
          <w:highlight w:val="none"/>
          <w:lang w:val="en-US" w:eastAsia="zh-CN"/>
        </w:rPr>
        <w:t>was obtained in accordance with the Declaration of Helsinki.</w:t>
      </w:r>
    </w:p>
    <w:p>
      <w:pPr>
        <w:numPr>
          <w:ilvl w:val="0"/>
          <w:numId w:val="0"/>
        </w:numPr>
        <w:spacing w:beforeLines="0" w:afterLines="0" w:line="480" w:lineRule="auto"/>
        <w:jc w:val="left"/>
        <w:rPr>
          <w:rFonts w:hint="default" w:ascii="Arial" w:hAnsi="Arial" w:cs="Arial"/>
          <w:color w:val="auto"/>
          <w:sz w:val="24"/>
          <w:szCs w:val="24"/>
          <w:highlight w:val="none"/>
          <w:lang w:val="en-US" w:eastAsia="zh-CN"/>
        </w:rPr>
      </w:pPr>
    </w:p>
    <w:p>
      <w:pPr>
        <w:numPr>
          <w:ilvl w:val="0"/>
          <w:numId w:val="0"/>
        </w:numPr>
        <w:spacing w:beforeLines="0" w:afterLines="0" w:line="480" w:lineRule="auto"/>
        <w:jc w:val="left"/>
        <w:rPr>
          <w:rFonts w:hint="default" w:ascii="Arial" w:hAnsi="Arial" w:cs="Arial"/>
          <w:b/>
          <w:bCs/>
          <w:i w:val="0"/>
          <w:iCs w:val="0"/>
          <w:color w:val="auto"/>
          <w:sz w:val="24"/>
          <w:szCs w:val="24"/>
          <w:highlight w:val="none"/>
          <w:lang w:val="en-US" w:eastAsia="zh-CN"/>
        </w:rPr>
      </w:pPr>
      <w:r>
        <w:rPr>
          <w:rFonts w:hint="eastAsia" w:ascii="Arial" w:hAnsi="Arial" w:cs="Arial"/>
          <w:b/>
          <w:bCs/>
          <w:i w:val="0"/>
          <w:iCs w:val="0"/>
          <w:color w:val="auto"/>
          <w:sz w:val="24"/>
          <w:szCs w:val="24"/>
          <w:highlight w:val="none"/>
          <w:lang w:val="en-US" w:eastAsia="zh-CN"/>
        </w:rPr>
        <w:t>Conditioning Regimen and GVHD Prophylaxis</w:t>
      </w:r>
    </w:p>
    <w:p>
      <w:pPr>
        <w:widowControl w:val="0"/>
        <w:numPr>
          <w:ilvl w:val="0"/>
          <w:numId w:val="0"/>
        </w:numPr>
        <w:tabs>
          <w:tab w:val="left" w:pos="312"/>
        </w:tabs>
        <w:spacing w:line="480" w:lineRule="auto"/>
        <w:ind w:firstLine="240" w:firstLineChars="100"/>
        <w:jc w:val="both"/>
        <w:rPr>
          <w:rFonts w:hint="eastAsia" w:ascii="Arial" w:hAnsi="Arial" w:cs="Arial"/>
          <w:color w:val="auto"/>
          <w:sz w:val="24"/>
          <w:szCs w:val="24"/>
          <w:highlight w:val="none"/>
          <w:lang w:val="en-US" w:eastAsia="zh-CN"/>
        </w:rPr>
      </w:pPr>
      <w:r>
        <w:rPr>
          <w:rFonts w:hint="default" w:ascii="Arial" w:hAnsi="Arial" w:cs="Arial"/>
          <w:color w:val="auto"/>
          <w:sz w:val="24"/>
          <w:szCs w:val="24"/>
          <w:highlight w:val="none"/>
          <w:lang w:val="en-US" w:eastAsia="zh-CN"/>
        </w:rPr>
        <w:t xml:space="preserve">Consensus criteria preparative regimens were based on full dose (total 12.8 mg/kg, 0.8mg/kg every 6 h for 4 days) or TBI(total 12 Gy, 4 fractions) combined with Cy(60mg/kg </w:t>
      </w:r>
      <w:r>
        <w:rPr>
          <w:rFonts w:hint="eastAsia" w:ascii="Arial" w:hAnsi="Arial" w:cs="Arial"/>
          <w:color w:val="auto"/>
          <w:sz w:val="24"/>
          <w:szCs w:val="24"/>
          <w:highlight w:val="none"/>
          <w:lang w:val="en-US" w:eastAsia="zh-CN"/>
        </w:rPr>
        <w:t>daily for 2 days</w:t>
      </w:r>
      <w:r>
        <w:rPr>
          <w:rFonts w:hint="default" w:ascii="Arial" w:hAnsi="Arial" w:cs="Arial"/>
          <w:color w:val="auto"/>
          <w:sz w:val="24"/>
          <w:szCs w:val="24"/>
          <w:highlight w:val="none"/>
          <w:lang w:val="en-US" w:eastAsia="zh-CN"/>
        </w:rPr>
        <w:t>)</w:t>
      </w:r>
      <w:r>
        <w:rPr>
          <w:rFonts w:hint="eastAsia" w:ascii="Arial" w:hAnsi="Arial" w:cs="Arial"/>
          <w:color w:val="auto"/>
          <w:sz w:val="24"/>
          <w:szCs w:val="24"/>
          <w:highlight w:val="none"/>
          <w:lang w:val="en-US" w:eastAsia="zh-CN"/>
        </w:rPr>
        <w:t>. H</w:t>
      </w:r>
      <w:r>
        <w:rPr>
          <w:rFonts w:hint="default" w:ascii="Arial" w:hAnsi="Arial" w:cs="Arial"/>
          <w:color w:val="auto"/>
          <w:sz w:val="24"/>
          <w:szCs w:val="24"/>
          <w:highlight w:val="none"/>
          <w:lang w:val="en-US" w:eastAsia="zh-CN"/>
        </w:rPr>
        <w:t>igh-dose</w:t>
      </w:r>
      <w:r>
        <w:rPr>
          <w:rFonts w:hint="eastAsia" w:ascii="Arial" w:hAnsi="Arial" w:cs="Arial"/>
          <w:color w:val="auto"/>
          <w:sz w:val="24"/>
          <w:szCs w:val="24"/>
          <w:highlight w:val="none"/>
          <w:lang w:val="en-US" w:eastAsia="zh-CN"/>
        </w:rPr>
        <w:t xml:space="preserve"> </w:t>
      </w:r>
      <w:r>
        <w:rPr>
          <w:rFonts w:hint="default" w:ascii="Arial" w:hAnsi="Arial" w:cs="Arial"/>
          <w:color w:val="auto"/>
          <w:sz w:val="24"/>
          <w:szCs w:val="24"/>
          <w:highlight w:val="none"/>
          <w:lang w:val="en-US" w:eastAsia="zh-CN"/>
        </w:rPr>
        <w:t>cytarabine (2.0 g/m</w:t>
      </w:r>
      <w:r>
        <w:rPr>
          <w:rFonts w:hint="default" w:ascii="Arial" w:hAnsi="Arial" w:cs="Arial" w:eastAsiaTheme="minorEastAsia"/>
          <w:color w:val="auto"/>
          <w:sz w:val="24"/>
          <w:szCs w:val="24"/>
          <w:highlight w:val="none"/>
          <w:vertAlign w:val="superscript"/>
          <w:lang w:val="en-US" w:eastAsia="zh-CN"/>
        </w:rPr>
        <w:t>2</w:t>
      </w:r>
      <w:r>
        <w:rPr>
          <w:rFonts w:hint="default" w:ascii="Arial" w:hAnsi="Arial" w:cs="Arial"/>
          <w:color w:val="auto"/>
          <w:sz w:val="24"/>
          <w:szCs w:val="24"/>
          <w:highlight w:val="none"/>
          <w:lang w:val="en-US" w:eastAsia="zh-CN"/>
        </w:rPr>
        <w:t xml:space="preserve"> every 12 h for 2 days)</w:t>
      </w:r>
      <w:r>
        <w:rPr>
          <w:rFonts w:hint="eastAsia" w:ascii="Arial" w:hAnsi="Arial" w:cs="Arial"/>
          <w:color w:val="auto"/>
          <w:sz w:val="24"/>
          <w:szCs w:val="24"/>
          <w:highlight w:val="none"/>
          <w:lang w:val="en-US" w:eastAsia="zh-CN"/>
        </w:rPr>
        <w:t xml:space="preserve"> was added to all the Cy/TBI regimen(n=200) and </w:t>
      </w:r>
      <w:r>
        <w:rPr>
          <w:rFonts w:hint="default" w:ascii="Arial" w:hAnsi="Arial" w:cs="Arial"/>
          <w:color w:val="auto"/>
          <w:sz w:val="24"/>
          <w:szCs w:val="24"/>
          <w:highlight w:val="none"/>
          <w:lang w:val="en-US" w:eastAsia="zh-CN"/>
        </w:rPr>
        <w:t>21.4%</w:t>
      </w:r>
      <w:r>
        <w:rPr>
          <w:rFonts w:hint="eastAsia" w:ascii="Arial" w:hAnsi="Arial" w:cs="Arial"/>
          <w:color w:val="auto"/>
          <w:sz w:val="24"/>
          <w:szCs w:val="24"/>
          <w:highlight w:val="none"/>
          <w:lang w:val="en-US" w:eastAsia="zh-CN"/>
        </w:rPr>
        <w:t xml:space="preserve"> of </w:t>
      </w:r>
      <w:r>
        <w:rPr>
          <w:rFonts w:hint="default" w:ascii="Arial" w:hAnsi="Arial" w:cs="Arial"/>
          <w:color w:val="auto"/>
          <w:sz w:val="24"/>
          <w:szCs w:val="24"/>
          <w:highlight w:val="none"/>
          <w:lang w:val="en-US" w:eastAsia="zh-CN"/>
        </w:rPr>
        <w:t>IV Bu</w:t>
      </w:r>
      <w:r>
        <w:rPr>
          <w:rFonts w:hint="eastAsia" w:ascii="Arial" w:hAnsi="Arial" w:cs="Arial"/>
          <w:color w:val="auto"/>
          <w:sz w:val="24"/>
          <w:szCs w:val="24"/>
          <w:highlight w:val="none"/>
          <w:lang w:val="en-US" w:eastAsia="zh-CN"/>
        </w:rPr>
        <w:t xml:space="preserve"> regimen(n=28); </w:t>
      </w:r>
      <w:r>
        <w:rPr>
          <w:rFonts w:hint="default" w:ascii="Arial" w:hAnsi="Arial" w:cs="Arial"/>
          <w:color w:val="auto"/>
          <w:sz w:val="24"/>
          <w:szCs w:val="24"/>
          <w:highlight w:val="none"/>
          <w:lang w:val="en-US" w:eastAsia="zh-CN"/>
        </w:rPr>
        <w:t>fludarabine (30 mg/m</w:t>
      </w:r>
      <w:r>
        <w:rPr>
          <w:rFonts w:hint="default" w:ascii="Arial" w:hAnsi="Arial" w:cs="Arial"/>
          <w:color w:val="auto"/>
          <w:sz w:val="24"/>
          <w:szCs w:val="24"/>
          <w:highlight w:val="none"/>
          <w:vertAlign w:val="superscript"/>
          <w:lang w:val="en-US" w:eastAsia="zh-CN"/>
        </w:rPr>
        <w:t>2</w:t>
      </w:r>
      <w:r>
        <w:rPr>
          <w:rFonts w:hint="default" w:ascii="Arial" w:hAnsi="Arial" w:cs="Arial"/>
          <w:color w:val="auto"/>
          <w:sz w:val="24"/>
          <w:szCs w:val="24"/>
          <w:highlight w:val="none"/>
          <w:lang w:val="en-US" w:eastAsia="zh-CN"/>
        </w:rPr>
        <w:t xml:space="preserve"> daily for</w:t>
      </w:r>
      <w:r>
        <w:rPr>
          <w:rFonts w:hint="eastAsia" w:ascii="Arial" w:hAnsi="Arial" w:cs="Arial"/>
          <w:color w:val="auto"/>
          <w:sz w:val="24"/>
          <w:szCs w:val="24"/>
          <w:highlight w:val="none"/>
          <w:lang w:val="en-US" w:eastAsia="zh-CN"/>
        </w:rPr>
        <w:t xml:space="preserve"> </w:t>
      </w:r>
      <w:r>
        <w:rPr>
          <w:rFonts w:hint="default" w:ascii="Arial" w:hAnsi="Arial" w:cs="Arial"/>
          <w:color w:val="auto"/>
          <w:sz w:val="24"/>
          <w:szCs w:val="24"/>
          <w:highlight w:val="none"/>
          <w:lang w:val="en-US" w:eastAsia="zh-CN"/>
        </w:rPr>
        <w:t>4 days)</w:t>
      </w:r>
      <w:r>
        <w:rPr>
          <w:rFonts w:hint="eastAsia" w:ascii="Arial" w:hAnsi="Arial" w:cs="Arial"/>
          <w:color w:val="auto"/>
          <w:sz w:val="24"/>
          <w:szCs w:val="24"/>
          <w:highlight w:val="none"/>
          <w:lang w:val="en-US" w:eastAsia="zh-CN"/>
        </w:rPr>
        <w:t xml:space="preserve"> was added to </w:t>
      </w:r>
      <w:r>
        <w:rPr>
          <w:rFonts w:hint="default" w:ascii="Arial" w:hAnsi="Arial" w:cs="Arial"/>
          <w:color w:val="auto"/>
          <w:sz w:val="24"/>
          <w:szCs w:val="24"/>
          <w:highlight w:val="none"/>
          <w:lang w:val="en-US" w:eastAsia="zh-CN"/>
        </w:rPr>
        <w:t>78.6%</w:t>
      </w:r>
      <w:r>
        <w:rPr>
          <w:rFonts w:hint="eastAsia" w:ascii="Arial" w:hAnsi="Arial" w:cs="Arial"/>
          <w:color w:val="auto"/>
          <w:sz w:val="24"/>
          <w:szCs w:val="24"/>
          <w:highlight w:val="none"/>
          <w:lang w:val="en-US" w:eastAsia="zh-CN"/>
        </w:rPr>
        <w:t xml:space="preserve"> of </w:t>
      </w:r>
      <w:r>
        <w:rPr>
          <w:rFonts w:hint="default" w:ascii="Arial" w:hAnsi="Arial" w:cs="Arial"/>
          <w:color w:val="auto"/>
          <w:sz w:val="24"/>
          <w:szCs w:val="24"/>
          <w:highlight w:val="none"/>
          <w:lang w:val="en-US" w:eastAsia="zh-CN"/>
        </w:rPr>
        <w:t>IV Bu</w:t>
      </w:r>
      <w:r>
        <w:rPr>
          <w:rFonts w:hint="eastAsia" w:ascii="Arial" w:hAnsi="Arial" w:cs="Arial"/>
          <w:color w:val="auto"/>
          <w:sz w:val="24"/>
          <w:szCs w:val="24"/>
          <w:highlight w:val="none"/>
          <w:lang w:val="en-US" w:eastAsia="zh-CN"/>
        </w:rPr>
        <w:t xml:space="preserve"> regimen(n=103).</w:t>
      </w:r>
    </w:p>
    <w:p>
      <w:pPr>
        <w:spacing w:beforeLines="0" w:afterLines="0" w:line="480" w:lineRule="auto"/>
        <w:ind w:firstLine="240" w:firstLineChars="100"/>
        <w:jc w:val="left"/>
        <w:rPr>
          <w:rFonts w:hint="default" w:ascii="Arial" w:hAnsi="Arial" w:cs="Arial"/>
          <w:color w:val="auto"/>
          <w:sz w:val="24"/>
          <w:szCs w:val="24"/>
          <w:highlight w:val="none"/>
          <w:lang w:val="en-US" w:eastAsia="zh-CN"/>
        </w:rPr>
      </w:pPr>
      <w:r>
        <w:rPr>
          <w:rFonts w:hint="default" w:ascii="Arial" w:hAnsi="Arial" w:cs="Arial"/>
          <w:color w:val="auto"/>
          <w:sz w:val="24"/>
          <w:szCs w:val="24"/>
          <w:highlight w:val="none"/>
          <w:lang w:val="en-US" w:eastAsia="zh-CN"/>
        </w:rPr>
        <w:t>GVHD prophylaxis regimens include cyclosporine(CSA) and mycophenolate mofetil(MMF) without Antithymocyte Globulin(ATG).</w:t>
      </w:r>
    </w:p>
    <w:p>
      <w:pPr>
        <w:pStyle w:val="8"/>
        <w:keepNext w:val="0"/>
        <w:keepLines w:val="0"/>
        <w:widowControl/>
        <w:suppressLineNumbers w:val="0"/>
        <w:rPr>
          <w:rFonts w:hint="default" w:ascii="Arial" w:hAnsi="Arial" w:cs="Arial" w:eastAsiaTheme="minorEastAsia"/>
          <w:b/>
          <w:bCs/>
          <w:i w:val="0"/>
          <w:iCs w:val="0"/>
          <w:color w:val="auto"/>
          <w:kern w:val="2"/>
          <w:sz w:val="24"/>
          <w:szCs w:val="24"/>
          <w:lang w:val="en-US" w:eastAsia="zh-CN" w:bidi="ar-SA"/>
        </w:rPr>
      </w:pPr>
    </w:p>
    <w:p>
      <w:pPr>
        <w:pStyle w:val="8"/>
        <w:keepNext w:val="0"/>
        <w:keepLines w:val="0"/>
        <w:widowControl/>
        <w:suppressLineNumbers w:val="0"/>
        <w:rPr>
          <w:rFonts w:hint="default" w:ascii="Arial" w:hAnsi="Arial" w:cs="Arial" w:eastAsiaTheme="minorEastAsia"/>
          <w:b/>
          <w:bCs/>
          <w:i w:val="0"/>
          <w:iCs w:val="0"/>
          <w:color w:val="auto"/>
          <w:kern w:val="2"/>
          <w:sz w:val="24"/>
          <w:szCs w:val="24"/>
          <w:highlight w:val="yellow"/>
          <w:lang w:val="en-US" w:eastAsia="zh-CN" w:bidi="ar-SA"/>
        </w:rPr>
      </w:pPr>
      <w:r>
        <w:rPr>
          <w:rFonts w:hint="default" w:ascii="Arial" w:hAnsi="Arial" w:cs="Arial" w:eastAsiaTheme="minorEastAsia"/>
          <w:b/>
          <w:bCs/>
          <w:i w:val="0"/>
          <w:iCs w:val="0"/>
          <w:color w:val="auto"/>
          <w:kern w:val="2"/>
          <w:sz w:val="24"/>
          <w:szCs w:val="24"/>
          <w:highlight w:val="yellow"/>
          <w:lang w:val="en-US" w:eastAsia="zh-CN" w:bidi="ar-SA"/>
        </w:rPr>
        <w:t xml:space="preserve">Cord </w:t>
      </w:r>
      <w:r>
        <w:rPr>
          <w:rFonts w:hint="default" w:ascii="Arial" w:hAnsi="Arial" w:cs="Arial"/>
          <w:b/>
          <w:bCs/>
          <w:i w:val="0"/>
          <w:iCs w:val="0"/>
          <w:color w:val="auto"/>
          <w:kern w:val="2"/>
          <w:sz w:val="24"/>
          <w:szCs w:val="24"/>
          <w:highlight w:val="yellow"/>
          <w:lang w:eastAsia="zh-CN" w:bidi="ar-SA"/>
        </w:rPr>
        <w:t>b</w:t>
      </w:r>
      <w:r>
        <w:rPr>
          <w:rFonts w:hint="default" w:ascii="Arial" w:hAnsi="Arial" w:cs="Arial" w:eastAsiaTheme="minorEastAsia"/>
          <w:b/>
          <w:bCs/>
          <w:i w:val="0"/>
          <w:iCs w:val="0"/>
          <w:color w:val="auto"/>
          <w:kern w:val="2"/>
          <w:sz w:val="24"/>
          <w:szCs w:val="24"/>
          <w:highlight w:val="yellow"/>
          <w:lang w:val="en-US" w:eastAsia="zh-CN" w:bidi="ar-SA"/>
        </w:rPr>
        <w:t xml:space="preserve">lood </w:t>
      </w:r>
      <w:r>
        <w:rPr>
          <w:rFonts w:hint="default" w:ascii="Arial" w:hAnsi="Arial" w:cs="Arial"/>
          <w:b/>
          <w:bCs/>
          <w:i w:val="0"/>
          <w:iCs w:val="0"/>
          <w:color w:val="auto"/>
          <w:kern w:val="2"/>
          <w:sz w:val="24"/>
          <w:szCs w:val="24"/>
          <w:highlight w:val="yellow"/>
          <w:lang w:eastAsia="zh-CN" w:bidi="ar-SA"/>
        </w:rPr>
        <w:t>s</w:t>
      </w:r>
      <w:r>
        <w:rPr>
          <w:rFonts w:hint="default" w:ascii="Arial" w:hAnsi="Arial" w:cs="Arial" w:eastAsiaTheme="minorEastAsia"/>
          <w:b/>
          <w:bCs/>
          <w:i w:val="0"/>
          <w:iCs w:val="0"/>
          <w:color w:val="auto"/>
          <w:kern w:val="2"/>
          <w:sz w:val="24"/>
          <w:szCs w:val="24"/>
          <w:highlight w:val="yellow"/>
          <w:lang w:val="en-US" w:eastAsia="zh-CN" w:bidi="ar-SA"/>
        </w:rPr>
        <w:t xml:space="preserve">election and HLA </w:t>
      </w:r>
      <w:r>
        <w:rPr>
          <w:rFonts w:hint="default" w:ascii="Arial" w:hAnsi="Arial" w:cs="Arial"/>
          <w:b/>
          <w:bCs/>
          <w:i w:val="0"/>
          <w:iCs w:val="0"/>
          <w:color w:val="auto"/>
          <w:kern w:val="2"/>
          <w:sz w:val="24"/>
          <w:szCs w:val="24"/>
          <w:highlight w:val="yellow"/>
          <w:lang w:eastAsia="zh-CN" w:bidi="ar-SA"/>
        </w:rPr>
        <w:t>t</w:t>
      </w:r>
      <w:r>
        <w:rPr>
          <w:rFonts w:hint="default" w:ascii="Arial" w:hAnsi="Arial" w:cs="Arial" w:eastAsiaTheme="minorEastAsia"/>
          <w:b/>
          <w:bCs/>
          <w:i w:val="0"/>
          <w:iCs w:val="0"/>
          <w:color w:val="auto"/>
          <w:kern w:val="2"/>
          <w:sz w:val="24"/>
          <w:szCs w:val="24"/>
          <w:highlight w:val="yellow"/>
          <w:lang w:val="en-US" w:eastAsia="zh-CN" w:bidi="ar-SA"/>
        </w:rPr>
        <w:t xml:space="preserve">yping </w:t>
      </w:r>
    </w:p>
    <w:p>
      <w:pPr>
        <w:pStyle w:val="8"/>
        <w:keepNext w:val="0"/>
        <w:keepLines w:val="0"/>
        <w:widowControl/>
        <w:suppressLineNumbers w:val="0"/>
        <w:spacing w:line="480" w:lineRule="auto"/>
        <w:rPr>
          <w:rFonts w:hint="default" w:ascii="Arial" w:hAnsi="Arial" w:cs="Arial" w:eastAsiaTheme="minorEastAsia"/>
          <w:color w:val="auto"/>
          <w:kern w:val="2"/>
          <w:sz w:val="24"/>
          <w:szCs w:val="24"/>
          <w:highlight w:val="yellow"/>
          <w:lang w:val="en-US" w:eastAsia="zh-CN" w:bidi="ar-SA"/>
        </w:rPr>
      </w:pPr>
      <w:r>
        <w:rPr>
          <w:rFonts w:hint="default" w:ascii="Arial" w:hAnsi="Arial" w:cs="Arial"/>
          <w:color w:val="auto"/>
          <w:sz w:val="24"/>
          <w:szCs w:val="24"/>
          <w:highlight w:val="yellow"/>
          <w:lang w:eastAsia="zh-CN"/>
        </w:rPr>
        <w:t xml:space="preserve">  </w:t>
      </w:r>
      <w:r>
        <w:rPr>
          <w:rFonts w:hint="default" w:ascii="Arial" w:hAnsi="Arial" w:cs="Arial" w:eastAsiaTheme="minorEastAsia"/>
          <w:color w:val="auto"/>
          <w:kern w:val="2"/>
          <w:sz w:val="24"/>
          <w:szCs w:val="24"/>
          <w:highlight w:val="yellow"/>
          <w:lang w:val="en-US" w:eastAsia="zh-CN" w:bidi="ar-SA"/>
        </w:rPr>
        <w:t>Cord blood selection and HLA typing have been previously described</w:t>
      </w:r>
      <w:r>
        <w:rPr>
          <w:rFonts w:hint="default" w:ascii="Arial" w:hAnsi="Arial" w:cs="Arial" w:eastAsiaTheme="minorEastAsia"/>
          <w:color w:val="auto"/>
          <w:kern w:val="2"/>
          <w:sz w:val="24"/>
          <w:szCs w:val="24"/>
          <w:highlight w:val="yellow"/>
          <w:vertAlign w:val="superscript"/>
          <w:lang w:val="en-US" w:eastAsia="zh-CN" w:bidi="ar-SA"/>
        </w:rPr>
        <w:t>[</w:t>
      </w:r>
      <w:r>
        <w:rPr>
          <w:rFonts w:hint="default" w:ascii="Arial" w:hAnsi="Arial" w:cs="Arial"/>
          <w:color w:val="auto"/>
          <w:kern w:val="2"/>
          <w:sz w:val="24"/>
          <w:szCs w:val="24"/>
          <w:highlight w:val="yellow"/>
          <w:vertAlign w:val="superscript"/>
          <w:lang w:eastAsia="zh-CN" w:bidi="ar-SA"/>
        </w:rPr>
        <w:t>21</w:t>
      </w:r>
      <w:r>
        <w:rPr>
          <w:rFonts w:hint="default" w:ascii="Arial" w:hAnsi="Arial" w:cs="Arial" w:eastAsiaTheme="minorEastAsia"/>
          <w:color w:val="auto"/>
          <w:kern w:val="2"/>
          <w:sz w:val="24"/>
          <w:szCs w:val="24"/>
          <w:highlight w:val="yellow"/>
          <w:vertAlign w:val="superscript"/>
          <w:lang w:val="en-US" w:eastAsia="zh-CN" w:bidi="ar-SA"/>
        </w:rPr>
        <w:t>]</w:t>
      </w:r>
      <w:r>
        <w:rPr>
          <w:rFonts w:hint="default" w:ascii="Arial" w:hAnsi="Arial" w:cs="Arial" w:eastAsiaTheme="minorEastAsia"/>
          <w:color w:val="auto"/>
          <w:kern w:val="2"/>
          <w:sz w:val="24"/>
          <w:szCs w:val="24"/>
          <w:highlight w:val="yellow"/>
          <w:lang w:val="en-US" w:eastAsia="zh-CN" w:bidi="ar-SA"/>
        </w:rPr>
        <w:t>. Briefly, HLA typing</w:t>
      </w:r>
      <w:r>
        <w:rPr>
          <w:rFonts w:hint="default" w:ascii="Arial" w:hAnsi="Arial" w:cs="Arial"/>
          <w:color w:val="auto"/>
          <w:kern w:val="2"/>
          <w:sz w:val="24"/>
          <w:szCs w:val="24"/>
          <w:highlight w:val="yellow"/>
          <w:lang w:eastAsia="zh-CN" w:bidi="ar-SA"/>
        </w:rPr>
        <w:t xml:space="preserve"> of cord blood</w:t>
      </w:r>
      <w:r>
        <w:rPr>
          <w:rFonts w:hint="default" w:ascii="Arial" w:hAnsi="Arial" w:cs="Arial" w:eastAsiaTheme="minorEastAsia"/>
          <w:color w:val="auto"/>
          <w:kern w:val="2"/>
          <w:sz w:val="24"/>
          <w:szCs w:val="24"/>
          <w:highlight w:val="yellow"/>
          <w:lang w:val="en-US" w:eastAsia="zh-CN" w:bidi="ar-SA"/>
        </w:rPr>
        <w:t xml:space="preserve"> and </w:t>
      </w:r>
      <w:r>
        <w:rPr>
          <w:rFonts w:hint="default" w:ascii="Arial" w:hAnsi="Arial" w:cs="Arial"/>
          <w:color w:val="auto"/>
          <w:kern w:val="2"/>
          <w:sz w:val="24"/>
          <w:szCs w:val="24"/>
          <w:highlight w:val="yellow"/>
          <w:lang w:eastAsia="zh-CN" w:bidi="ar-SA"/>
        </w:rPr>
        <w:t xml:space="preserve">patients </w:t>
      </w:r>
      <w:r>
        <w:rPr>
          <w:rFonts w:hint="default" w:ascii="Arial" w:hAnsi="Arial" w:cs="Arial" w:eastAsiaTheme="minorEastAsia"/>
          <w:color w:val="auto"/>
          <w:kern w:val="2"/>
          <w:sz w:val="24"/>
          <w:szCs w:val="24"/>
          <w:highlight w:val="yellow"/>
          <w:lang w:val="en-US" w:eastAsia="zh-CN" w:bidi="ar-SA"/>
        </w:rPr>
        <w:t>was determined using molecular techniques with a minimum of antigen split-level resolution for HLA-A and -B and allele-level resolution at DRB1. Cord blood units from Chinese cord blood banks that were serologically matched for ≥4 of 6 HLA antigens and that contained at least</w:t>
      </w:r>
      <w:r>
        <w:rPr>
          <w:rFonts w:hint="default" w:ascii="Arial" w:hAnsi="Arial" w:cs="Arial"/>
          <w:color w:val="auto"/>
          <w:kern w:val="2"/>
          <w:sz w:val="24"/>
          <w:szCs w:val="24"/>
          <w:highlight w:val="yellow"/>
          <w:lang w:eastAsia="zh-CN" w:bidi="ar-SA"/>
        </w:rPr>
        <w:t xml:space="preserve"> </w:t>
      </w:r>
      <w:r>
        <w:rPr>
          <w:rFonts w:hint="default" w:ascii="Arial" w:hAnsi="Arial" w:cs="Arial" w:eastAsiaTheme="minorEastAsia"/>
          <w:color w:val="auto"/>
          <w:kern w:val="2"/>
          <w:sz w:val="24"/>
          <w:szCs w:val="24"/>
          <w:highlight w:val="yellow"/>
          <w:lang w:val="en-US" w:eastAsia="zh-CN" w:bidi="ar-SA"/>
        </w:rPr>
        <w:t>3 × 10</w:t>
      </w:r>
      <w:r>
        <w:rPr>
          <w:rFonts w:hint="default" w:ascii="Arial" w:hAnsi="Arial" w:cs="Arial" w:eastAsiaTheme="minorEastAsia"/>
          <w:color w:val="auto"/>
          <w:kern w:val="2"/>
          <w:sz w:val="24"/>
          <w:szCs w:val="24"/>
          <w:highlight w:val="yellow"/>
          <w:vertAlign w:val="superscript"/>
          <w:lang w:val="en-US" w:eastAsia="zh-CN" w:bidi="ar-SA"/>
        </w:rPr>
        <w:t>7</w:t>
      </w:r>
      <w:r>
        <w:rPr>
          <w:rFonts w:hint="default" w:ascii="Arial" w:hAnsi="Arial" w:cs="Arial" w:eastAsiaTheme="minorEastAsia"/>
          <w:color w:val="auto"/>
          <w:kern w:val="2"/>
          <w:sz w:val="24"/>
          <w:szCs w:val="24"/>
          <w:highlight w:val="yellow"/>
          <w:lang w:val="en-US" w:eastAsia="zh-CN" w:bidi="ar-SA"/>
        </w:rPr>
        <w:t>/kg</w:t>
      </w:r>
      <w:r>
        <w:rPr>
          <w:rFonts w:hint="default" w:ascii="Arial" w:hAnsi="Arial" w:cs="Arial"/>
          <w:color w:val="auto"/>
          <w:kern w:val="2"/>
          <w:sz w:val="24"/>
          <w:szCs w:val="24"/>
          <w:highlight w:val="yellow"/>
          <w:lang w:eastAsia="zh-CN" w:bidi="ar-SA"/>
        </w:rPr>
        <w:t xml:space="preserve"> of </w:t>
      </w:r>
      <w:r>
        <w:rPr>
          <w:rFonts w:hint="default" w:ascii="Arial" w:hAnsi="Arial" w:cs="Arial" w:eastAsiaTheme="minorEastAsia"/>
          <w:color w:val="auto"/>
          <w:kern w:val="2"/>
          <w:sz w:val="24"/>
          <w:szCs w:val="24"/>
          <w:highlight w:val="yellow"/>
          <w:lang w:val="en-US" w:eastAsia="zh-CN" w:bidi="ar-SA"/>
        </w:rPr>
        <w:t>recipient body weight</w:t>
      </w:r>
      <w:r>
        <w:rPr>
          <w:rFonts w:hint="default" w:ascii="Arial" w:hAnsi="Arial" w:cs="Arial"/>
          <w:color w:val="auto"/>
          <w:kern w:val="2"/>
          <w:sz w:val="24"/>
          <w:szCs w:val="24"/>
          <w:highlight w:val="yellow"/>
          <w:lang w:eastAsia="zh-CN" w:bidi="ar-SA"/>
        </w:rPr>
        <w:t xml:space="preserve"> </w:t>
      </w:r>
      <w:r>
        <w:rPr>
          <w:rFonts w:hint="default" w:ascii="Arial" w:hAnsi="Arial" w:cs="Arial" w:eastAsiaTheme="minorEastAsia"/>
          <w:color w:val="auto"/>
          <w:kern w:val="2"/>
          <w:sz w:val="24"/>
          <w:szCs w:val="24"/>
          <w:highlight w:val="yellow"/>
          <w:lang w:val="en-US" w:eastAsia="zh-CN" w:bidi="ar-SA"/>
        </w:rPr>
        <w:t>total nucleated cells  and 1.2 × 10</w:t>
      </w:r>
      <w:r>
        <w:rPr>
          <w:rFonts w:hint="default" w:ascii="Arial" w:hAnsi="Arial" w:cs="Arial" w:eastAsiaTheme="minorEastAsia"/>
          <w:color w:val="auto"/>
          <w:kern w:val="2"/>
          <w:sz w:val="24"/>
          <w:szCs w:val="24"/>
          <w:highlight w:val="yellow"/>
          <w:vertAlign w:val="superscript"/>
          <w:lang w:val="en-US" w:eastAsia="zh-CN" w:bidi="ar-SA"/>
        </w:rPr>
        <w:t>5</w:t>
      </w:r>
      <w:r>
        <w:rPr>
          <w:rFonts w:hint="default" w:ascii="Arial" w:hAnsi="Arial" w:cs="Arial" w:eastAsiaTheme="minorEastAsia"/>
          <w:color w:val="auto"/>
          <w:kern w:val="2"/>
          <w:sz w:val="24"/>
          <w:szCs w:val="24"/>
          <w:highlight w:val="yellow"/>
          <w:lang w:val="en-US" w:eastAsia="zh-CN" w:bidi="ar-SA"/>
        </w:rPr>
        <w:t>/kg CD34</w:t>
      </w:r>
      <w:r>
        <w:rPr>
          <w:rFonts w:hint="default" w:ascii="Arial" w:hAnsi="Arial" w:cs="Arial" w:eastAsiaTheme="minorEastAsia"/>
          <w:color w:val="auto"/>
          <w:kern w:val="2"/>
          <w:sz w:val="24"/>
          <w:szCs w:val="24"/>
          <w:highlight w:val="yellow"/>
          <w:vertAlign w:val="superscript"/>
          <w:lang w:val="en-US" w:eastAsia="zh-CN" w:bidi="ar-SA"/>
        </w:rPr>
        <w:t>+</w:t>
      </w:r>
      <w:r>
        <w:rPr>
          <w:rFonts w:hint="default" w:ascii="Arial" w:hAnsi="Arial" w:cs="Arial" w:eastAsiaTheme="minorEastAsia"/>
          <w:color w:val="auto"/>
          <w:kern w:val="2"/>
          <w:sz w:val="24"/>
          <w:szCs w:val="24"/>
          <w:highlight w:val="yellow"/>
          <w:lang w:val="en-US" w:eastAsia="zh-CN" w:bidi="ar-SA"/>
        </w:rPr>
        <w:t xml:space="preserve"> cells</w:t>
      </w:r>
      <w:r>
        <w:rPr>
          <w:rFonts w:hint="default" w:ascii="Arial" w:hAnsi="Arial" w:cs="Arial"/>
          <w:color w:val="auto"/>
          <w:kern w:val="2"/>
          <w:sz w:val="24"/>
          <w:szCs w:val="24"/>
          <w:highlight w:val="yellow"/>
          <w:lang w:eastAsia="zh-CN" w:bidi="ar-SA"/>
        </w:rPr>
        <w:t xml:space="preserve"> </w:t>
      </w:r>
      <w:r>
        <w:rPr>
          <w:rFonts w:hint="default" w:ascii="Arial" w:hAnsi="Arial" w:cs="Arial" w:eastAsiaTheme="minorEastAsia"/>
          <w:color w:val="auto"/>
          <w:kern w:val="2"/>
          <w:sz w:val="24"/>
          <w:szCs w:val="24"/>
          <w:highlight w:val="yellow"/>
          <w:lang w:val="en-US" w:eastAsia="zh-CN" w:bidi="ar-SA"/>
        </w:rPr>
        <w:t>before freezing were chosen for transplantation. In our cohort</w:t>
      </w:r>
      <w:r>
        <w:rPr>
          <w:rFonts w:hint="default" w:ascii="Arial" w:hAnsi="Arial" w:cs="Arial"/>
          <w:color w:val="auto"/>
          <w:kern w:val="2"/>
          <w:sz w:val="24"/>
          <w:szCs w:val="24"/>
          <w:highlight w:val="yellow"/>
          <w:lang w:eastAsia="zh-CN" w:bidi="ar-SA"/>
        </w:rPr>
        <w:t xml:space="preserve">, </w:t>
      </w:r>
      <w:r>
        <w:rPr>
          <w:rFonts w:hint="default" w:ascii="Arial" w:hAnsi="Arial" w:cs="Arial" w:eastAsiaTheme="minorEastAsia"/>
          <w:color w:val="auto"/>
          <w:kern w:val="2"/>
          <w:sz w:val="24"/>
          <w:szCs w:val="24"/>
          <w:highlight w:val="yellow"/>
          <w:lang w:eastAsia="zh-CN" w:bidi="ar-SA"/>
        </w:rPr>
        <w:t>t</w:t>
      </w:r>
      <w:r>
        <w:rPr>
          <w:rFonts w:hint="default" w:ascii="Arial" w:hAnsi="Arial" w:cs="Arial" w:eastAsiaTheme="minorEastAsia"/>
          <w:color w:val="auto"/>
          <w:kern w:val="2"/>
          <w:sz w:val="24"/>
          <w:szCs w:val="24"/>
          <w:highlight w:val="yellow"/>
          <w:lang w:val="en-US" w:eastAsia="zh-CN" w:bidi="ar-SA"/>
        </w:rPr>
        <w:t>he median dose of infused total nucleated cells were 4.</w:t>
      </w:r>
      <w:r>
        <w:rPr>
          <w:rFonts w:hint="default" w:ascii="Arial" w:hAnsi="Arial" w:cs="Arial" w:eastAsiaTheme="minorEastAsia"/>
          <w:color w:val="auto"/>
          <w:kern w:val="2"/>
          <w:sz w:val="24"/>
          <w:szCs w:val="24"/>
          <w:highlight w:val="yellow"/>
          <w:lang w:eastAsia="zh-CN" w:bidi="ar-SA"/>
        </w:rPr>
        <w:t>1</w:t>
      </w:r>
      <w:r>
        <w:rPr>
          <w:rFonts w:hint="default" w:ascii="Arial" w:hAnsi="Arial" w:cs="Arial" w:eastAsiaTheme="minorEastAsia"/>
          <w:color w:val="auto"/>
          <w:kern w:val="2"/>
          <w:sz w:val="24"/>
          <w:szCs w:val="24"/>
          <w:highlight w:val="yellow"/>
          <w:lang w:val="en-US" w:eastAsia="zh-CN" w:bidi="ar-SA"/>
        </w:rPr>
        <w:t>1(range, 2.1</w:t>
      </w:r>
      <w:r>
        <w:rPr>
          <w:rFonts w:hint="default" w:ascii="Arial" w:hAnsi="Arial" w:cs="Arial" w:eastAsiaTheme="minorEastAsia"/>
          <w:color w:val="auto"/>
          <w:kern w:val="2"/>
          <w:sz w:val="24"/>
          <w:szCs w:val="24"/>
          <w:highlight w:val="yellow"/>
          <w:lang w:eastAsia="zh-CN" w:bidi="ar-SA"/>
        </w:rPr>
        <w:t>4</w:t>
      </w:r>
      <w:r>
        <w:rPr>
          <w:rFonts w:hint="default" w:ascii="Arial" w:hAnsi="Arial" w:cs="Arial" w:eastAsiaTheme="minorEastAsia"/>
          <w:color w:val="auto"/>
          <w:kern w:val="2"/>
          <w:sz w:val="24"/>
          <w:szCs w:val="24"/>
          <w:highlight w:val="yellow"/>
          <w:lang w:val="en-US" w:eastAsia="zh-CN" w:bidi="ar-SA"/>
        </w:rPr>
        <w:t xml:space="preserve"> to 12.06 )× 10</w:t>
      </w:r>
      <w:r>
        <w:rPr>
          <w:rFonts w:hint="default" w:ascii="Arial" w:hAnsi="Arial" w:cs="Arial" w:eastAsiaTheme="minorEastAsia"/>
          <w:color w:val="auto"/>
          <w:kern w:val="2"/>
          <w:sz w:val="24"/>
          <w:szCs w:val="24"/>
          <w:highlight w:val="yellow"/>
          <w:vertAlign w:val="superscript"/>
          <w:lang w:val="en-US" w:eastAsia="zh-CN" w:bidi="ar-SA"/>
        </w:rPr>
        <w:t>7</w:t>
      </w:r>
      <w:r>
        <w:rPr>
          <w:rFonts w:hint="default" w:ascii="Arial" w:hAnsi="Arial" w:cs="Arial" w:eastAsiaTheme="minorEastAsia"/>
          <w:color w:val="auto"/>
          <w:kern w:val="2"/>
          <w:sz w:val="24"/>
          <w:szCs w:val="24"/>
          <w:highlight w:val="yellow"/>
          <w:lang w:val="en-US" w:eastAsia="zh-CN" w:bidi="ar-SA"/>
        </w:rPr>
        <w:t>/kg</w:t>
      </w:r>
      <w:r>
        <w:rPr>
          <w:rFonts w:hint="default" w:ascii="Arial" w:hAnsi="Arial" w:cs="Arial" w:eastAsiaTheme="minorEastAsia"/>
          <w:color w:val="auto"/>
          <w:kern w:val="2"/>
          <w:sz w:val="24"/>
          <w:szCs w:val="24"/>
          <w:highlight w:val="yellow"/>
          <w:lang w:eastAsia="zh-CN" w:bidi="ar-SA"/>
        </w:rPr>
        <w:t>,</w:t>
      </w:r>
      <w:r>
        <w:rPr>
          <w:rFonts w:hint="default" w:ascii="Arial" w:hAnsi="Arial" w:cs="Arial" w:eastAsiaTheme="minorEastAsia"/>
          <w:color w:val="auto"/>
          <w:kern w:val="2"/>
          <w:sz w:val="24"/>
          <w:szCs w:val="24"/>
          <w:highlight w:val="yellow"/>
          <w:lang w:val="en-US" w:eastAsia="zh-CN" w:bidi="ar-SA"/>
        </w:rPr>
        <w:t xml:space="preserve"> </w:t>
      </w:r>
      <w:r>
        <w:rPr>
          <w:rFonts w:hint="default" w:ascii="Arial" w:hAnsi="Arial" w:cs="Arial" w:eastAsiaTheme="minorEastAsia"/>
          <w:color w:val="auto"/>
          <w:kern w:val="2"/>
          <w:sz w:val="24"/>
          <w:szCs w:val="24"/>
          <w:highlight w:val="yellow"/>
          <w:lang w:eastAsia="zh-CN" w:bidi="ar-SA"/>
        </w:rPr>
        <w:t>a</w:t>
      </w:r>
      <w:r>
        <w:rPr>
          <w:rFonts w:hint="default" w:ascii="Arial" w:hAnsi="Arial" w:cs="Arial" w:eastAsiaTheme="minorEastAsia"/>
          <w:color w:val="auto"/>
          <w:kern w:val="2"/>
          <w:sz w:val="24"/>
          <w:szCs w:val="24"/>
          <w:highlight w:val="yellow"/>
          <w:lang w:val="en-US" w:eastAsia="zh-CN" w:bidi="ar-SA"/>
        </w:rPr>
        <w:t>nd the median number of CD34</w:t>
      </w:r>
      <w:r>
        <w:rPr>
          <w:rFonts w:hint="default" w:ascii="Arial" w:hAnsi="Arial" w:cs="Arial" w:eastAsiaTheme="minorEastAsia"/>
          <w:color w:val="auto"/>
          <w:kern w:val="2"/>
          <w:sz w:val="24"/>
          <w:szCs w:val="24"/>
          <w:highlight w:val="yellow"/>
          <w:vertAlign w:val="superscript"/>
          <w:lang w:val="en-US" w:eastAsia="zh-CN" w:bidi="ar-SA"/>
        </w:rPr>
        <w:t>+</w:t>
      </w:r>
      <w:r>
        <w:rPr>
          <w:rFonts w:hint="default" w:ascii="Arial" w:hAnsi="Arial" w:cs="Arial" w:eastAsiaTheme="minorEastAsia"/>
          <w:color w:val="auto"/>
          <w:kern w:val="2"/>
          <w:sz w:val="24"/>
          <w:szCs w:val="24"/>
          <w:highlight w:val="yellow"/>
          <w:lang w:val="en-US" w:eastAsia="zh-CN" w:bidi="ar-SA"/>
        </w:rPr>
        <w:t xml:space="preserve"> cells was 2.</w:t>
      </w:r>
      <w:r>
        <w:rPr>
          <w:rFonts w:hint="default" w:ascii="Arial" w:hAnsi="Arial" w:cs="Arial" w:eastAsiaTheme="minorEastAsia"/>
          <w:color w:val="auto"/>
          <w:kern w:val="2"/>
          <w:sz w:val="24"/>
          <w:szCs w:val="24"/>
          <w:highlight w:val="yellow"/>
          <w:lang w:eastAsia="zh-CN" w:bidi="ar-SA"/>
        </w:rPr>
        <w:t>32</w:t>
      </w:r>
      <w:r>
        <w:rPr>
          <w:rFonts w:hint="default" w:ascii="Arial" w:hAnsi="Arial" w:cs="Arial" w:eastAsiaTheme="minorEastAsia"/>
          <w:color w:val="auto"/>
          <w:kern w:val="2"/>
          <w:sz w:val="24"/>
          <w:szCs w:val="24"/>
          <w:highlight w:val="yellow"/>
          <w:lang w:val="en-US" w:eastAsia="zh-CN" w:bidi="ar-SA"/>
        </w:rPr>
        <w:t>(range, 0.91 to 9.64) ×10</w:t>
      </w:r>
      <w:r>
        <w:rPr>
          <w:rFonts w:hint="default" w:ascii="Arial" w:hAnsi="Arial" w:cs="Arial" w:eastAsiaTheme="minorEastAsia"/>
          <w:color w:val="auto"/>
          <w:kern w:val="2"/>
          <w:sz w:val="24"/>
          <w:szCs w:val="24"/>
          <w:highlight w:val="yellow"/>
          <w:vertAlign w:val="superscript"/>
          <w:lang w:val="en-US" w:eastAsia="zh-CN" w:bidi="ar-SA"/>
        </w:rPr>
        <w:t>5</w:t>
      </w:r>
      <w:r>
        <w:rPr>
          <w:rFonts w:hint="default" w:ascii="Arial" w:hAnsi="Arial" w:cs="Arial" w:eastAsiaTheme="minorEastAsia"/>
          <w:color w:val="auto"/>
          <w:kern w:val="2"/>
          <w:sz w:val="24"/>
          <w:szCs w:val="24"/>
          <w:highlight w:val="yellow"/>
          <w:lang w:val="en-US" w:eastAsia="zh-CN" w:bidi="ar-SA"/>
        </w:rPr>
        <w:t xml:space="preserve">/kg. </w:t>
      </w:r>
    </w:p>
    <w:p>
      <w:pPr>
        <w:spacing w:beforeLines="0" w:afterLines="0" w:line="480" w:lineRule="auto"/>
        <w:jc w:val="left"/>
        <w:rPr>
          <w:rFonts w:hint="default" w:ascii="Arial" w:hAnsi="Arial" w:cs="Arial"/>
          <w:color w:val="auto"/>
          <w:sz w:val="24"/>
          <w:szCs w:val="24"/>
          <w:highlight w:val="none"/>
          <w:lang w:eastAsia="zh-CN"/>
        </w:rPr>
      </w:pPr>
    </w:p>
    <w:p>
      <w:pPr>
        <w:widowControl w:val="0"/>
        <w:numPr>
          <w:ilvl w:val="0"/>
          <w:numId w:val="0"/>
        </w:numPr>
        <w:tabs>
          <w:tab w:val="left" w:pos="312"/>
        </w:tabs>
        <w:spacing w:line="480" w:lineRule="auto"/>
        <w:jc w:val="both"/>
        <w:rPr>
          <w:rFonts w:hint="default" w:ascii="Arial" w:hAnsi="Arial" w:cs="Arial"/>
          <w:b/>
          <w:bCs/>
          <w:i w:val="0"/>
          <w:iCs w:val="0"/>
          <w:color w:val="auto"/>
          <w:sz w:val="24"/>
          <w:szCs w:val="24"/>
          <w:lang w:val="en-US" w:eastAsia="zh-CN"/>
        </w:rPr>
      </w:pPr>
      <w:r>
        <w:rPr>
          <w:rFonts w:hint="default" w:ascii="Arial" w:hAnsi="Arial" w:cs="Arial"/>
          <w:b/>
          <w:bCs/>
          <w:i w:val="0"/>
          <w:iCs w:val="0"/>
          <w:color w:val="auto"/>
          <w:sz w:val="24"/>
          <w:szCs w:val="24"/>
          <w:lang w:val="en-US" w:eastAsia="zh-CN"/>
        </w:rPr>
        <w:t>Study end points and definitions</w:t>
      </w:r>
    </w:p>
    <w:p>
      <w:pPr>
        <w:widowControl w:val="0"/>
        <w:numPr>
          <w:ilvl w:val="0"/>
          <w:numId w:val="0"/>
        </w:numPr>
        <w:tabs>
          <w:tab w:val="left" w:pos="312"/>
        </w:tabs>
        <w:spacing w:line="480" w:lineRule="auto"/>
        <w:ind w:firstLine="240" w:firstLineChars="100"/>
        <w:jc w:val="both"/>
        <w:rPr>
          <w:rFonts w:hint="default" w:ascii="Arial" w:hAnsi="Arial" w:cs="Arial"/>
          <w:color w:val="auto"/>
          <w:sz w:val="24"/>
          <w:szCs w:val="24"/>
          <w:highlight w:val="none"/>
          <w:lang w:val="en-US" w:eastAsia="zh-CN"/>
        </w:rPr>
      </w:pPr>
      <w:r>
        <w:rPr>
          <w:rFonts w:hint="default" w:ascii="Arial" w:hAnsi="Arial" w:cs="Arial"/>
          <w:color w:val="auto"/>
          <w:sz w:val="24"/>
          <w:szCs w:val="24"/>
          <w:lang w:val="en-US" w:eastAsia="zh-CN"/>
        </w:rPr>
        <w:t xml:space="preserve">The primary endpoint was disease-free survival (DFS), Other endpoints included neutrophil and platelet </w:t>
      </w:r>
      <w:r>
        <w:rPr>
          <w:rFonts w:hint="default" w:ascii="Arial" w:hAnsi="Arial" w:cs="Arial"/>
          <w:color w:val="auto"/>
          <w:sz w:val="24"/>
          <w:szCs w:val="24"/>
        </w:rPr>
        <w:t>engraftment</w:t>
      </w:r>
      <w:r>
        <w:rPr>
          <w:rFonts w:hint="default" w:ascii="Arial" w:hAnsi="Arial" w:cs="Arial"/>
          <w:color w:val="auto"/>
          <w:sz w:val="24"/>
          <w:szCs w:val="24"/>
          <w:lang w:val="en-US" w:eastAsia="zh-CN"/>
        </w:rPr>
        <w:t xml:space="preserve">, overall survival (OS), GVHD-free, relapse-free survival(GRFS), NRM, relapse, incidence and </w:t>
      </w:r>
      <w:r>
        <w:rPr>
          <w:rFonts w:hint="default" w:ascii="Arial" w:hAnsi="Arial" w:cs="Arial"/>
          <w:color w:val="auto"/>
          <w:sz w:val="24"/>
          <w:szCs w:val="24"/>
        </w:rPr>
        <w:t>severity</w:t>
      </w:r>
      <w:r>
        <w:rPr>
          <w:rFonts w:hint="default" w:ascii="Arial" w:hAnsi="Arial" w:cs="Arial"/>
          <w:color w:val="auto"/>
          <w:sz w:val="24"/>
          <w:szCs w:val="24"/>
          <w:lang w:val="en-US" w:eastAsia="zh-CN"/>
        </w:rPr>
        <w:t xml:space="preserve"> of veno-occlusive disease/si</w:t>
      </w:r>
      <w:r>
        <w:rPr>
          <w:rFonts w:hint="default" w:ascii="Arial" w:hAnsi="Arial" w:cs="Arial"/>
          <w:color w:val="auto"/>
          <w:sz w:val="24"/>
          <w:szCs w:val="24"/>
          <w:highlight w:val="none"/>
          <w:lang w:val="en-US" w:eastAsia="zh-CN"/>
        </w:rPr>
        <w:t>nusoidal obstruction syndrome(VOD/SOS) according to the McDonald scale</w:t>
      </w:r>
      <w:r>
        <w:rPr>
          <w:rFonts w:hint="default" w:ascii="Arial" w:hAnsi="Arial" w:cs="Arial" w:eastAsiaTheme="minorEastAsia"/>
          <w:color w:val="auto"/>
          <w:sz w:val="24"/>
          <w:szCs w:val="24"/>
          <w:highlight w:val="yellow"/>
          <w:vertAlign w:val="superscript"/>
          <w:lang w:val="en-US" w:eastAsia="zh-CN"/>
        </w:rPr>
        <w:t>[2</w:t>
      </w:r>
      <w:r>
        <w:rPr>
          <w:rFonts w:hint="default" w:ascii="Arial" w:hAnsi="Arial" w:cs="Arial"/>
          <w:color w:val="auto"/>
          <w:sz w:val="24"/>
          <w:szCs w:val="24"/>
          <w:highlight w:val="yellow"/>
          <w:vertAlign w:val="superscript"/>
          <w:lang w:eastAsia="zh-CN"/>
        </w:rPr>
        <w:t>2</w:t>
      </w:r>
      <w:r>
        <w:rPr>
          <w:rFonts w:hint="default" w:ascii="Arial" w:hAnsi="Arial" w:cs="Arial" w:eastAsiaTheme="minorEastAsia"/>
          <w:color w:val="auto"/>
          <w:sz w:val="24"/>
          <w:szCs w:val="24"/>
          <w:highlight w:val="yellow"/>
          <w:vertAlign w:val="superscript"/>
          <w:lang w:val="en-US" w:eastAsia="zh-CN"/>
        </w:rPr>
        <w:t>]</w:t>
      </w:r>
      <w:r>
        <w:rPr>
          <w:rFonts w:hint="default" w:ascii="Arial" w:hAnsi="Arial" w:cs="Arial"/>
          <w:color w:val="auto"/>
          <w:sz w:val="24"/>
          <w:szCs w:val="24"/>
          <w:highlight w:val="none"/>
          <w:lang w:val="en-US" w:eastAsia="zh-CN"/>
        </w:rPr>
        <w:t>, incidence and severity of acute GVHD and chronic GVHD</w:t>
      </w:r>
      <w:r>
        <w:rPr>
          <w:rFonts w:hint="default" w:ascii="Arial" w:hAnsi="Arial" w:cs="Arial" w:eastAsiaTheme="minorEastAsia"/>
          <w:color w:val="auto"/>
          <w:sz w:val="24"/>
          <w:szCs w:val="24"/>
          <w:highlight w:val="yellow"/>
          <w:vertAlign w:val="superscript"/>
          <w:lang w:val="en-US" w:eastAsia="zh-CN"/>
        </w:rPr>
        <w:t>[2</w:t>
      </w:r>
      <w:r>
        <w:rPr>
          <w:rFonts w:hint="default" w:ascii="Arial" w:hAnsi="Arial" w:cs="Arial"/>
          <w:color w:val="auto"/>
          <w:sz w:val="24"/>
          <w:szCs w:val="24"/>
          <w:highlight w:val="yellow"/>
          <w:vertAlign w:val="superscript"/>
          <w:lang w:eastAsia="zh-CN"/>
        </w:rPr>
        <w:t>3</w:t>
      </w:r>
      <w:r>
        <w:rPr>
          <w:rFonts w:hint="default" w:ascii="Arial" w:hAnsi="Arial" w:cs="Arial" w:eastAsiaTheme="minorEastAsia"/>
          <w:color w:val="auto"/>
          <w:sz w:val="24"/>
          <w:szCs w:val="24"/>
          <w:highlight w:val="yellow"/>
          <w:vertAlign w:val="superscript"/>
          <w:lang w:val="en-US" w:eastAsia="zh-CN"/>
        </w:rPr>
        <w:t>,2</w:t>
      </w:r>
      <w:r>
        <w:rPr>
          <w:rFonts w:hint="default" w:ascii="Arial" w:hAnsi="Arial" w:cs="Arial"/>
          <w:color w:val="auto"/>
          <w:sz w:val="24"/>
          <w:szCs w:val="24"/>
          <w:highlight w:val="yellow"/>
          <w:vertAlign w:val="superscript"/>
          <w:lang w:eastAsia="zh-CN"/>
        </w:rPr>
        <w:t>4</w:t>
      </w:r>
      <w:r>
        <w:rPr>
          <w:rFonts w:hint="default" w:ascii="Arial" w:hAnsi="Arial" w:cs="Arial" w:eastAsiaTheme="minorEastAsia"/>
          <w:color w:val="auto"/>
          <w:sz w:val="24"/>
          <w:szCs w:val="24"/>
          <w:highlight w:val="yellow"/>
          <w:vertAlign w:val="superscript"/>
          <w:lang w:val="en-US" w:eastAsia="zh-CN"/>
        </w:rPr>
        <w:t>]</w:t>
      </w:r>
      <w:r>
        <w:rPr>
          <w:rFonts w:hint="default" w:ascii="Arial" w:hAnsi="Arial" w:cs="Arial"/>
          <w:color w:val="auto"/>
          <w:sz w:val="24"/>
          <w:szCs w:val="24"/>
          <w:highlight w:val="none"/>
          <w:lang w:val="en-US" w:eastAsia="zh-CN"/>
        </w:rPr>
        <w:t>, and cause of death.</w:t>
      </w:r>
    </w:p>
    <w:p>
      <w:pPr>
        <w:widowControl w:val="0"/>
        <w:numPr>
          <w:ilvl w:val="0"/>
          <w:numId w:val="0"/>
        </w:numPr>
        <w:tabs>
          <w:tab w:val="left" w:pos="312"/>
        </w:tabs>
        <w:spacing w:line="480" w:lineRule="auto"/>
        <w:ind w:firstLine="240" w:firstLineChars="100"/>
        <w:jc w:val="both"/>
        <w:rPr>
          <w:rFonts w:hint="default" w:ascii="Arial" w:hAnsi="Arial" w:cs="Arial"/>
          <w:color w:val="auto"/>
          <w:sz w:val="24"/>
          <w:szCs w:val="24"/>
          <w:highlight w:val="none"/>
          <w:lang w:val="en-US" w:eastAsia="zh-CN"/>
        </w:rPr>
      </w:pPr>
    </w:p>
    <w:p>
      <w:pPr>
        <w:widowControl w:val="0"/>
        <w:numPr>
          <w:ilvl w:val="0"/>
          <w:numId w:val="0"/>
        </w:numPr>
        <w:tabs>
          <w:tab w:val="left" w:pos="312"/>
        </w:tabs>
        <w:spacing w:line="480" w:lineRule="auto"/>
        <w:jc w:val="both"/>
        <w:rPr>
          <w:rFonts w:hint="default" w:ascii="Arial" w:hAnsi="Arial" w:cs="Arial"/>
          <w:b/>
          <w:bCs/>
          <w:i w:val="0"/>
          <w:iCs w:val="0"/>
          <w:color w:val="auto"/>
          <w:sz w:val="24"/>
          <w:szCs w:val="24"/>
          <w:lang w:val="en-US" w:eastAsia="zh-CN"/>
        </w:rPr>
      </w:pPr>
      <w:r>
        <w:rPr>
          <w:rFonts w:hint="default" w:ascii="Arial" w:hAnsi="Arial" w:cs="Arial"/>
          <w:b/>
          <w:bCs/>
          <w:i w:val="0"/>
          <w:iCs w:val="0"/>
          <w:color w:val="auto"/>
          <w:sz w:val="24"/>
          <w:szCs w:val="24"/>
          <w:lang w:val="en-US" w:eastAsia="zh-CN"/>
        </w:rPr>
        <w:t>Statistical Analysis</w:t>
      </w:r>
    </w:p>
    <w:p>
      <w:pPr>
        <w:widowControl w:val="0"/>
        <w:numPr>
          <w:ilvl w:val="0"/>
          <w:numId w:val="0"/>
        </w:numPr>
        <w:tabs>
          <w:tab w:val="left" w:pos="312"/>
        </w:tabs>
        <w:spacing w:line="480" w:lineRule="auto"/>
        <w:ind w:firstLine="240" w:firstLineChars="100"/>
        <w:jc w:val="both"/>
        <w:rPr>
          <w:rFonts w:hint="default" w:ascii="Arial" w:hAnsi="Arial" w:cs="Arial"/>
          <w:color w:val="auto"/>
          <w:sz w:val="24"/>
          <w:szCs w:val="24"/>
          <w:lang w:val="en-US" w:eastAsia="zh-CN"/>
        </w:rPr>
      </w:pPr>
      <w:r>
        <w:rPr>
          <w:rFonts w:hint="default" w:ascii="Arial" w:hAnsi="Arial" w:cs="Arial"/>
          <w:color w:val="auto"/>
          <w:sz w:val="24"/>
          <w:szCs w:val="24"/>
          <w:lang w:val="en-US" w:eastAsia="zh-CN"/>
        </w:rPr>
        <w:t>All surviving patients were followed until March 31, 2018. Median values and ranges were used for continuous parameters and percentages for categorical parameters. The two preparative regimens were compared using</w:t>
      </w:r>
      <w:r>
        <w:rPr>
          <w:rFonts w:hint="eastAsia" w:ascii="Arial" w:hAnsi="Arial" w:cs="Arial"/>
          <w:color w:val="auto"/>
          <w:sz w:val="24"/>
          <w:szCs w:val="24"/>
          <w:lang w:val="en-US" w:eastAsia="zh-CN"/>
        </w:rPr>
        <w:t xml:space="preserve"> X</w:t>
      </w:r>
      <w:r>
        <w:rPr>
          <w:rFonts w:hint="default" w:ascii="Arial" w:hAnsi="Arial" w:cs="Arial"/>
          <w:color w:val="auto"/>
          <w:sz w:val="24"/>
          <w:szCs w:val="24"/>
          <w:vertAlign w:val="superscript"/>
          <w:lang w:val="en-US" w:eastAsia="zh-CN"/>
        </w:rPr>
        <w:t>2</w:t>
      </w:r>
      <w:r>
        <w:rPr>
          <w:rFonts w:hint="default" w:ascii="Arial" w:hAnsi="Arial" w:cs="Arial"/>
          <w:color w:val="auto"/>
          <w:sz w:val="24"/>
          <w:szCs w:val="24"/>
          <w:lang w:val="en-US" w:eastAsia="zh-CN"/>
        </w:rPr>
        <w:t xml:space="preserve"> method for qualitative variables and Mann-Whitney test for continuous variables. The probabilities of 3-year OS, DFS and GRFS were analyzed according to the Kaplan-Meier method and tested univariately using the log-rank test. The cumulative incidence of neutrophil and platelet engraftment, 100-day acute GVHD, </w:t>
      </w:r>
      <w:r>
        <w:rPr>
          <w:rFonts w:hint="default" w:ascii="Arial" w:hAnsi="Arial" w:cs="Arial"/>
          <w:color w:val="auto"/>
          <w:sz w:val="24"/>
          <w:szCs w:val="24"/>
          <w:highlight w:val="yellow"/>
          <w:lang w:eastAsia="zh-CN"/>
        </w:rPr>
        <w:t xml:space="preserve">chronic GVHD, </w:t>
      </w:r>
      <w:r>
        <w:rPr>
          <w:rFonts w:hint="default" w:ascii="Arial" w:hAnsi="Arial" w:cs="Arial"/>
          <w:color w:val="auto"/>
          <w:sz w:val="24"/>
          <w:szCs w:val="24"/>
          <w:lang w:val="en-US" w:eastAsia="zh-CN"/>
        </w:rPr>
        <w:t xml:space="preserve">3-year NRM, and relapse rate were estimated using cumulative incidence curves to accommodate competing risks and were compared using Gray’s test. Competing risk for neutrophil and platelet engraftment is death without neutrophil and platelet engraftment. Competing risks for the occurrence of GVHD are death without GVHD and relapse without GVHD. Competing risk for NRM is death with relapse. When relapse of the disease is the outcome of interest among patients, death without relapse is a competing risk event. </w:t>
      </w:r>
    </w:p>
    <w:p>
      <w:pPr>
        <w:widowControl w:val="0"/>
        <w:numPr>
          <w:ilvl w:val="0"/>
          <w:numId w:val="0"/>
        </w:numPr>
        <w:tabs>
          <w:tab w:val="left" w:pos="312"/>
        </w:tabs>
        <w:spacing w:line="480" w:lineRule="auto"/>
        <w:ind w:firstLine="240" w:firstLineChars="100"/>
        <w:jc w:val="both"/>
        <w:rPr>
          <w:rFonts w:hint="default" w:ascii="Arial" w:hAnsi="Arial" w:cs="Arial"/>
          <w:color w:val="auto"/>
          <w:sz w:val="24"/>
          <w:szCs w:val="24"/>
          <w:lang w:val="en-US" w:eastAsia="zh-CN"/>
        </w:rPr>
      </w:pPr>
    </w:p>
    <w:p>
      <w:pPr>
        <w:widowControl w:val="0"/>
        <w:numPr>
          <w:ilvl w:val="0"/>
          <w:numId w:val="0"/>
        </w:numPr>
        <w:tabs>
          <w:tab w:val="left" w:pos="312"/>
        </w:tabs>
        <w:spacing w:line="480" w:lineRule="auto"/>
        <w:ind w:firstLine="240" w:firstLineChars="100"/>
        <w:jc w:val="both"/>
        <w:rPr>
          <w:rFonts w:hint="default" w:ascii="Arial" w:hAnsi="Arial" w:cs="Arial"/>
          <w:color w:val="auto"/>
          <w:sz w:val="24"/>
          <w:szCs w:val="24"/>
          <w:lang w:val="en-US" w:eastAsia="zh-CN"/>
        </w:rPr>
      </w:pPr>
      <w:r>
        <w:rPr>
          <w:rFonts w:hint="default" w:ascii="Arial" w:hAnsi="Arial" w:cs="Arial"/>
          <w:color w:val="auto"/>
          <w:sz w:val="24"/>
          <w:szCs w:val="24"/>
          <w:lang w:val="en-US" w:eastAsia="zh-CN"/>
        </w:rPr>
        <w:t>Statistical significance was assessed at the P&lt;</w:t>
      </w:r>
      <w:r>
        <w:rPr>
          <w:rFonts w:hint="eastAsia" w:ascii="Arial" w:hAnsi="Arial" w:cs="Arial"/>
          <w:color w:val="auto"/>
          <w:sz w:val="24"/>
          <w:szCs w:val="24"/>
          <w:lang w:val="en-US" w:eastAsia="zh-CN"/>
        </w:rPr>
        <w:t>0</w:t>
      </w:r>
      <w:r>
        <w:rPr>
          <w:rFonts w:hint="default" w:ascii="Arial" w:hAnsi="Arial" w:cs="Arial"/>
          <w:color w:val="auto"/>
          <w:sz w:val="24"/>
          <w:szCs w:val="24"/>
          <w:lang w:val="en-US" w:eastAsia="zh-CN"/>
        </w:rPr>
        <w:t>.05 level (2-sided). Univariate and multivariate analyses were performed using the Cox proportional hazards regression model. The following parameters were examined in the regression model: type of conditioning regimen; age at transplantation; patient gender; donor-recipient gender; ABO compatibility ; number of HLA(A,B,DR) disparities; total nucleated cell doses and total CD34</w:t>
      </w:r>
      <w:r>
        <w:rPr>
          <w:rFonts w:hint="default" w:ascii="Arial" w:hAnsi="Arial" w:cs="Arial"/>
          <w:color w:val="auto"/>
          <w:sz w:val="24"/>
          <w:szCs w:val="24"/>
          <w:vertAlign w:val="superscript"/>
          <w:lang w:val="en-US" w:eastAsia="zh-CN"/>
        </w:rPr>
        <w:t>+</w:t>
      </w:r>
      <w:r>
        <w:rPr>
          <w:rFonts w:hint="default" w:ascii="Arial" w:hAnsi="Arial" w:cs="Arial"/>
          <w:color w:val="auto"/>
          <w:sz w:val="24"/>
          <w:szCs w:val="24"/>
          <w:lang w:val="en-US" w:eastAsia="zh-CN"/>
        </w:rPr>
        <w:t xml:space="preserve"> cell doses</w:t>
      </w:r>
      <w:r>
        <w:rPr>
          <w:rFonts w:hint="default" w:ascii="Arial" w:hAnsi="Arial" w:cs="Arial"/>
          <w:color w:val="auto"/>
          <w:sz w:val="24"/>
          <w:szCs w:val="24"/>
          <w:lang w:eastAsia="zh-CN"/>
        </w:rPr>
        <w:t xml:space="preserve">; </w:t>
      </w:r>
      <w:r>
        <w:rPr>
          <w:rFonts w:hint="default" w:ascii="Arial" w:hAnsi="Arial" w:cs="Arial"/>
          <w:color w:val="auto"/>
          <w:sz w:val="24"/>
          <w:szCs w:val="24"/>
          <w:highlight w:val="yellow"/>
          <w:lang w:eastAsia="zh-CN"/>
        </w:rPr>
        <w:t>y</w:t>
      </w:r>
      <w:r>
        <w:rPr>
          <w:rFonts w:hint="eastAsia" w:ascii="Arial" w:hAnsi="Arial" w:cs="Arial"/>
          <w:color w:val="auto"/>
          <w:sz w:val="24"/>
          <w:szCs w:val="24"/>
          <w:highlight w:val="yellow"/>
          <w:lang w:val="en-US" w:eastAsia="zh-CN"/>
        </w:rPr>
        <w:t>ear of UCBT</w:t>
      </w:r>
      <w:r>
        <w:rPr>
          <w:rFonts w:hint="default" w:ascii="Arial" w:hAnsi="Arial" w:cs="Arial"/>
          <w:color w:val="auto"/>
          <w:sz w:val="24"/>
          <w:szCs w:val="24"/>
          <w:highlight w:val="yellow"/>
          <w:lang w:eastAsia="zh-CN"/>
        </w:rPr>
        <w:t xml:space="preserve"> and disease risk index(DRI).</w:t>
      </w:r>
      <w:r>
        <w:rPr>
          <w:rFonts w:hint="default" w:ascii="Arial" w:hAnsi="Arial" w:cs="Arial"/>
          <w:color w:val="auto"/>
          <w:sz w:val="24"/>
          <w:szCs w:val="24"/>
          <w:lang w:eastAsia="zh-CN"/>
        </w:rPr>
        <w:t xml:space="preserve"> </w:t>
      </w:r>
      <w:r>
        <w:rPr>
          <w:rFonts w:hint="default" w:ascii="Arial" w:hAnsi="Arial" w:cs="Arial"/>
          <w:color w:val="auto"/>
          <w:sz w:val="24"/>
          <w:szCs w:val="24"/>
          <w:lang w:val="en-US" w:eastAsia="zh-CN"/>
        </w:rPr>
        <w:t>First, a univariate model was calculated for all parameters. The factors with P&lt;</w:t>
      </w:r>
      <w:r>
        <w:rPr>
          <w:rFonts w:hint="eastAsia" w:ascii="Arial" w:hAnsi="Arial" w:cs="Arial"/>
          <w:color w:val="auto"/>
          <w:sz w:val="24"/>
          <w:szCs w:val="24"/>
          <w:lang w:val="en-US" w:eastAsia="zh-CN"/>
        </w:rPr>
        <w:t>0</w:t>
      </w:r>
      <w:r>
        <w:rPr>
          <w:rFonts w:hint="default" w:ascii="Arial" w:hAnsi="Arial" w:cs="Arial"/>
          <w:color w:val="auto"/>
          <w:sz w:val="24"/>
          <w:szCs w:val="24"/>
          <w:lang w:val="en-US" w:eastAsia="zh-CN"/>
        </w:rPr>
        <w:t>.15 in the univariate analysis were included in a multivariate regression, and P&lt;</w:t>
      </w:r>
      <w:r>
        <w:rPr>
          <w:rFonts w:hint="eastAsia" w:ascii="Arial" w:hAnsi="Arial" w:cs="Arial"/>
          <w:color w:val="auto"/>
          <w:sz w:val="24"/>
          <w:szCs w:val="24"/>
          <w:lang w:val="en-US" w:eastAsia="zh-CN"/>
        </w:rPr>
        <w:t>0</w:t>
      </w:r>
      <w:r>
        <w:rPr>
          <w:rFonts w:hint="default" w:ascii="Arial" w:hAnsi="Arial" w:cs="Arial"/>
          <w:color w:val="auto"/>
          <w:sz w:val="24"/>
          <w:szCs w:val="24"/>
          <w:lang w:val="en-US" w:eastAsia="zh-CN"/>
        </w:rPr>
        <w:t>.05 in the multivariate analysis was considered statistically significant. For each analysis, hazard ratios (HRs) with a 95% confidence intervals (CIs) were calculated with P values for either the corresponding category or the overall test. Correlations were evaluated by Spearman’s rank correlation test. Most analyses were performed using SPSS 21.0 (SPSS Inc., Chicago, IL, USA). Cumulative incidences of neutrophil and platelet engraftment, GVHD, NRM, and relapse were performed with R software packages(R Foundation for Statistical Computing, Vienna, Austria, version 3.5.0).</w:t>
      </w:r>
    </w:p>
    <w:p>
      <w:pPr>
        <w:autoSpaceDE w:val="0"/>
        <w:autoSpaceDN w:val="0"/>
        <w:adjustRightInd w:val="0"/>
        <w:spacing w:line="480" w:lineRule="auto"/>
        <w:ind w:firstLine="240" w:firstLineChars="100"/>
        <w:jc w:val="left"/>
        <w:rPr>
          <w:rFonts w:hint="default" w:ascii="Arial" w:hAnsi="Arial" w:cs="Arial" w:eastAsiaTheme="minorEastAsia"/>
          <w:color w:val="auto"/>
          <w:kern w:val="2"/>
          <w:sz w:val="24"/>
          <w:szCs w:val="24"/>
          <w:lang w:val="en-US" w:eastAsia="zh-CN"/>
        </w:rPr>
      </w:pPr>
    </w:p>
    <w:p>
      <w:pPr>
        <w:widowControl w:val="0"/>
        <w:numPr>
          <w:ilvl w:val="0"/>
          <w:numId w:val="0"/>
        </w:numPr>
        <w:tabs>
          <w:tab w:val="left" w:pos="312"/>
        </w:tabs>
        <w:spacing w:line="480" w:lineRule="auto"/>
        <w:jc w:val="left"/>
        <w:rPr>
          <w:rFonts w:hint="default" w:ascii="Arial" w:hAnsi="Arial" w:cs="Arial"/>
          <w:b/>
          <w:bCs/>
          <w:color w:val="auto"/>
          <w:sz w:val="28"/>
          <w:szCs w:val="28"/>
          <w:lang w:val="en-US" w:eastAsia="zh-CN"/>
        </w:rPr>
      </w:pPr>
      <w:r>
        <w:rPr>
          <w:rFonts w:hint="default" w:ascii="Arial" w:hAnsi="Arial" w:cs="Arial"/>
          <w:b/>
          <w:bCs/>
          <w:color w:val="auto"/>
          <w:sz w:val="28"/>
          <w:szCs w:val="28"/>
          <w:lang w:val="en-US" w:eastAsia="zh-CN"/>
        </w:rPr>
        <w:t>Results</w:t>
      </w:r>
    </w:p>
    <w:p>
      <w:pPr>
        <w:widowControl w:val="0"/>
        <w:numPr>
          <w:ilvl w:val="0"/>
          <w:numId w:val="0"/>
        </w:numPr>
        <w:tabs>
          <w:tab w:val="left" w:pos="312"/>
        </w:tabs>
        <w:spacing w:line="480" w:lineRule="auto"/>
        <w:jc w:val="left"/>
        <w:rPr>
          <w:rFonts w:hint="default" w:ascii="Arial" w:hAnsi="Arial" w:cs="Arial"/>
          <w:b/>
          <w:bCs/>
          <w:color w:val="auto"/>
          <w:sz w:val="28"/>
          <w:szCs w:val="28"/>
          <w:lang w:val="en-US" w:eastAsia="zh-CN"/>
        </w:rPr>
      </w:pPr>
    </w:p>
    <w:p>
      <w:pPr>
        <w:widowControl w:val="0"/>
        <w:numPr>
          <w:ilvl w:val="0"/>
          <w:numId w:val="0"/>
        </w:numPr>
        <w:tabs>
          <w:tab w:val="left" w:pos="312"/>
        </w:tabs>
        <w:spacing w:line="480" w:lineRule="auto"/>
        <w:jc w:val="both"/>
        <w:rPr>
          <w:rFonts w:hint="default" w:ascii="Arial" w:hAnsi="Arial" w:cs="Arial"/>
          <w:b/>
          <w:bCs/>
          <w:i w:val="0"/>
          <w:iCs w:val="0"/>
          <w:color w:val="auto"/>
          <w:sz w:val="24"/>
          <w:szCs w:val="24"/>
          <w:lang w:val="en-US" w:eastAsia="zh-CN"/>
        </w:rPr>
      </w:pPr>
      <w:r>
        <w:rPr>
          <w:rFonts w:hint="default" w:ascii="Arial" w:hAnsi="Arial" w:cs="Arial"/>
          <w:b/>
          <w:bCs/>
          <w:i w:val="0"/>
          <w:iCs w:val="0"/>
          <w:color w:val="auto"/>
          <w:sz w:val="24"/>
          <w:szCs w:val="24"/>
          <w:lang w:val="en-US" w:eastAsia="zh-CN"/>
        </w:rPr>
        <w:t>Patient Characteristics</w:t>
      </w:r>
    </w:p>
    <w:p>
      <w:pPr>
        <w:widowControl w:val="0"/>
        <w:numPr>
          <w:ilvl w:val="0"/>
          <w:numId w:val="0"/>
        </w:numPr>
        <w:tabs>
          <w:tab w:val="left" w:pos="312"/>
        </w:tabs>
        <w:spacing w:line="480" w:lineRule="auto"/>
        <w:ind w:firstLine="240" w:firstLineChars="100"/>
        <w:jc w:val="both"/>
        <w:rPr>
          <w:rFonts w:hint="default" w:ascii="Arial" w:hAnsi="Arial" w:cs="Arial"/>
          <w:color w:val="auto"/>
          <w:sz w:val="24"/>
          <w:szCs w:val="24"/>
          <w:lang w:val="en-US" w:eastAsia="zh-CN"/>
        </w:rPr>
      </w:pPr>
      <w:r>
        <w:rPr>
          <w:rFonts w:hint="default" w:ascii="Arial" w:hAnsi="Arial" w:cs="Arial"/>
          <w:color w:val="auto"/>
          <w:sz w:val="24"/>
          <w:szCs w:val="24"/>
          <w:lang w:val="en-US" w:eastAsia="zh-CN"/>
        </w:rPr>
        <w:t xml:space="preserve">The median follow-up time in IV Bu/Cy and </w:t>
      </w:r>
      <w:r>
        <w:rPr>
          <w:rFonts w:hint="eastAsia" w:ascii="Arial" w:hAnsi="Arial" w:cs="Arial"/>
          <w:color w:val="auto"/>
          <w:sz w:val="24"/>
          <w:szCs w:val="24"/>
          <w:lang w:val="en-US" w:eastAsia="zh-CN"/>
        </w:rPr>
        <w:t>Cy/TBI</w:t>
      </w:r>
      <w:r>
        <w:rPr>
          <w:rFonts w:hint="default" w:ascii="Arial" w:hAnsi="Arial" w:cs="Arial"/>
          <w:color w:val="auto"/>
          <w:sz w:val="24"/>
          <w:szCs w:val="24"/>
          <w:lang w:val="en-US" w:eastAsia="zh-CN"/>
        </w:rPr>
        <w:t xml:space="preserve"> cohorts was 28.7(range, 12.2 to 91.3) months and 55.5(range, 13.1 to 117.1) months, respectively(P&lt;</w:t>
      </w:r>
      <w:r>
        <w:rPr>
          <w:rFonts w:hint="eastAsia" w:ascii="Arial" w:hAnsi="Arial" w:cs="Arial"/>
          <w:color w:val="auto"/>
          <w:sz w:val="24"/>
          <w:szCs w:val="24"/>
          <w:lang w:val="en-US" w:eastAsia="zh-CN"/>
        </w:rPr>
        <w:t>0</w:t>
      </w:r>
      <w:r>
        <w:rPr>
          <w:rFonts w:hint="default" w:ascii="Arial" w:hAnsi="Arial" w:cs="Arial"/>
          <w:color w:val="auto"/>
          <w:sz w:val="24"/>
          <w:szCs w:val="24"/>
          <w:lang w:val="en-US" w:eastAsia="zh-CN"/>
        </w:rPr>
        <w:t xml:space="preserve">.001). Of them, 200 patients received </w:t>
      </w:r>
      <w:r>
        <w:rPr>
          <w:rFonts w:hint="eastAsia" w:ascii="Arial" w:hAnsi="Arial" w:cs="Arial"/>
          <w:color w:val="auto"/>
          <w:sz w:val="24"/>
          <w:szCs w:val="24"/>
          <w:lang w:val="en-US" w:eastAsia="zh-CN"/>
        </w:rPr>
        <w:t>Cy/TBI</w:t>
      </w:r>
      <w:r>
        <w:rPr>
          <w:rFonts w:hint="default" w:ascii="Arial" w:hAnsi="Arial" w:cs="Arial"/>
          <w:color w:val="auto"/>
          <w:sz w:val="24"/>
          <w:szCs w:val="24"/>
          <w:lang w:val="en-US" w:eastAsia="zh-CN"/>
        </w:rPr>
        <w:t xml:space="preserve">, and 131 patients received IV Bu/Cy. Patients, diseases, and transplantation related characteristics are described in Table 1. In the IV Bu/Cy cohort were younger than those in the </w:t>
      </w:r>
      <w:r>
        <w:rPr>
          <w:rFonts w:hint="eastAsia" w:ascii="Arial" w:hAnsi="Arial" w:cs="Arial"/>
          <w:color w:val="auto"/>
          <w:sz w:val="24"/>
          <w:szCs w:val="24"/>
          <w:lang w:val="en-US" w:eastAsia="zh-CN"/>
        </w:rPr>
        <w:t>Cy/TBI</w:t>
      </w:r>
      <w:r>
        <w:rPr>
          <w:rFonts w:hint="default" w:ascii="Arial" w:hAnsi="Arial" w:cs="Arial"/>
          <w:color w:val="auto"/>
          <w:sz w:val="24"/>
          <w:szCs w:val="24"/>
          <w:lang w:val="en-US" w:eastAsia="zh-CN"/>
        </w:rPr>
        <w:t xml:space="preserve"> cohort (P&lt;</w:t>
      </w:r>
      <w:r>
        <w:rPr>
          <w:rFonts w:hint="eastAsia" w:ascii="Arial" w:hAnsi="Arial" w:cs="Arial"/>
          <w:color w:val="auto"/>
          <w:sz w:val="24"/>
          <w:szCs w:val="24"/>
          <w:lang w:val="en-US" w:eastAsia="zh-CN"/>
        </w:rPr>
        <w:t>0</w:t>
      </w:r>
      <w:r>
        <w:rPr>
          <w:rFonts w:hint="default" w:ascii="Arial" w:hAnsi="Arial" w:cs="Arial"/>
          <w:color w:val="auto"/>
          <w:sz w:val="24"/>
          <w:szCs w:val="24"/>
          <w:lang w:val="en-US" w:eastAsia="zh-CN"/>
        </w:rPr>
        <w:t xml:space="preserve">.001). And Patients in the IV Bu/Cy cohort had less weight than that in the </w:t>
      </w:r>
      <w:r>
        <w:rPr>
          <w:rFonts w:hint="eastAsia" w:ascii="Arial" w:hAnsi="Arial" w:cs="Arial"/>
          <w:color w:val="auto"/>
          <w:sz w:val="24"/>
          <w:szCs w:val="24"/>
          <w:lang w:val="en-US" w:eastAsia="zh-CN"/>
        </w:rPr>
        <w:t>Cy/TBI</w:t>
      </w:r>
      <w:r>
        <w:rPr>
          <w:rFonts w:hint="default" w:ascii="Arial" w:hAnsi="Arial" w:cs="Arial"/>
          <w:color w:val="auto"/>
          <w:sz w:val="24"/>
          <w:szCs w:val="24"/>
          <w:lang w:val="en-US" w:eastAsia="zh-CN"/>
        </w:rPr>
        <w:t xml:space="preserve"> cohort(P&lt;</w:t>
      </w:r>
      <w:r>
        <w:rPr>
          <w:rFonts w:hint="eastAsia" w:ascii="Arial" w:hAnsi="Arial" w:cs="Arial"/>
          <w:color w:val="auto"/>
          <w:sz w:val="24"/>
          <w:szCs w:val="24"/>
          <w:lang w:val="en-US" w:eastAsia="zh-CN"/>
        </w:rPr>
        <w:t>0</w:t>
      </w:r>
      <w:r>
        <w:rPr>
          <w:rFonts w:hint="default" w:ascii="Arial" w:hAnsi="Arial" w:cs="Arial"/>
          <w:color w:val="auto"/>
          <w:sz w:val="24"/>
          <w:szCs w:val="24"/>
          <w:lang w:val="en-US" w:eastAsia="zh-CN"/>
        </w:rPr>
        <w:t>.001). The median dose of infused total nucleated cells were 4.51(range, 2.19 to 12.06 )× 10</w:t>
      </w:r>
      <w:r>
        <w:rPr>
          <w:rFonts w:hint="default" w:ascii="Arial" w:hAnsi="Arial" w:cs="Arial" w:eastAsiaTheme="minorEastAsia"/>
          <w:color w:val="auto"/>
          <w:sz w:val="24"/>
          <w:szCs w:val="24"/>
          <w:vertAlign w:val="superscript"/>
          <w:lang w:val="en-US" w:eastAsia="zh-CN"/>
        </w:rPr>
        <w:t>7</w:t>
      </w:r>
      <w:r>
        <w:rPr>
          <w:rFonts w:hint="default" w:ascii="Arial" w:hAnsi="Arial" w:cs="Arial"/>
          <w:color w:val="auto"/>
          <w:sz w:val="24"/>
          <w:szCs w:val="24"/>
          <w:lang w:val="en-US" w:eastAsia="zh-CN"/>
        </w:rPr>
        <w:t>/kg and 3.77(range, 2.14 to 9.05)(P&lt;</w:t>
      </w:r>
      <w:r>
        <w:rPr>
          <w:rFonts w:hint="eastAsia" w:ascii="Arial" w:hAnsi="Arial" w:cs="Arial"/>
          <w:color w:val="auto"/>
          <w:sz w:val="24"/>
          <w:szCs w:val="24"/>
          <w:lang w:val="en-US" w:eastAsia="zh-CN"/>
        </w:rPr>
        <w:t>0</w:t>
      </w:r>
      <w:r>
        <w:rPr>
          <w:rFonts w:hint="default" w:ascii="Arial" w:hAnsi="Arial" w:cs="Arial"/>
          <w:color w:val="auto"/>
          <w:sz w:val="24"/>
          <w:szCs w:val="24"/>
          <w:lang w:val="en-US" w:eastAsia="zh-CN"/>
        </w:rPr>
        <w:t>.001), respectively. And the median number of CD34+ cells was 2.61(range, 0.91 to 9.64) ×10</w:t>
      </w:r>
      <w:r>
        <w:rPr>
          <w:rFonts w:hint="default" w:ascii="Arial" w:hAnsi="Arial" w:cs="Arial" w:eastAsiaTheme="minorEastAsia"/>
          <w:color w:val="auto"/>
          <w:sz w:val="24"/>
          <w:szCs w:val="24"/>
          <w:vertAlign w:val="superscript"/>
          <w:lang w:val="en-US" w:eastAsia="zh-CN"/>
        </w:rPr>
        <w:t>5</w:t>
      </w:r>
      <w:r>
        <w:rPr>
          <w:rFonts w:hint="default" w:ascii="Arial" w:hAnsi="Arial" w:cs="Arial"/>
          <w:color w:val="auto"/>
          <w:sz w:val="24"/>
          <w:szCs w:val="24"/>
          <w:lang w:val="en-US" w:eastAsia="zh-CN"/>
        </w:rPr>
        <w:t>/kg and 2.01(range, 1.12 to 8.71)(P&lt;</w:t>
      </w:r>
      <w:r>
        <w:rPr>
          <w:rFonts w:hint="eastAsia" w:ascii="Arial" w:hAnsi="Arial" w:cs="Arial"/>
          <w:color w:val="auto"/>
          <w:sz w:val="24"/>
          <w:szCs w:val="24"/>
          <w:lang w:val="en-US" w:eastAsia="zh-CN"/>
        </w:rPr>
        <w:t>0</w:t>
      </w:r>
      <w:r>
        <w:rPr>
          <w:rFonts w:hint="default" w:ascii="Arial" w:hAnsi="Arial" w:cs="Arial"/>
          <w:color w:val="auto"/>
          <w:sz w:val="24"/>
          <w:szCs w:val="24"/>
          <w:lang w:val="en-US" w:eastAsia="zh-CN"/>
        </w:rPr>
        <w:t>.001), respectively. No difference was noted in disease type ABO compatibility and number of HLA(A,</w:t>
      </w:r>
      <w:r>
        <w:rPr>
          <w:rFonts w:hint="eastAsia" w:ascii="Arial" w:hAnsi="Arial" w:cs="Arial"/>
          <w:color w:val="auto"/>
          <w:sz w:val="24"/>
          <w:szCs w:val="24"/>
          <w:lang w:val="en-US" w:eastAsia="zh-CN"/>
        </w:rPr>
        <w:t xml:space="preserve"> </w:t>
      </w:r>
      <w:r>
        <w:rPr>
          <w:rFonts w:hint="default" w:ascii="Arial" w:hAnsi="Arial" w:cs="Arial"/>
          <w:color w:val="auto"/>
          <w:sz w:val="24"/>
          <w:szCs w:val="24"/>
          <w:lang w:val="en-US" w:eastAsia="zh-CN"/>
        </w:rPr>
        <w:t>B,</w:t>
      </w:r>
      <w:r>
        <w:rPr>
          <w:rFonts w:hint="eastAsia" w:ascii="Arial" w:hAnsi="Arial" w:cs="Arial"/>
          <w:color w:val="auto"/>
          <w:sz w:val="24"/>
          <w:szCs w:val="24"/>
          <w:lang w:val="en-US" w:eastAsia="zh-CN"/>
        </w:rPr>
        <w:t xml:space="preserve"> </w:t>
      </w:r>
      <w:r>
        <w:rPr>
          <w:rFonts w:hint="default" w:ascii="Arial" w:hAnsi="Arial" w:cs="Arial"/>
          <w:color w:val="auto"/>
          <w:sz w:val="24"/>
          <w:szCs w:val="24"/>
          <w:lang w:val="en-US" w:eastAsia="zh-CN"/>
        </w:rPr>
        <w:t>DR) disparities between two groups.</w:t>
      </w:r>
    </w:p>
    <w:p>
      <w:pPr>
        <w:widowControl w:val="0"/>
        <w:numPr>
          <w:ilvl w:val="0"/>
          <w:numId w:val="0"/>
        </w:numPr>
        <w:tabs>
          <w:tab w:val="left" w:pos="312"/>
        </w:tabs>
        <w:spacing w:line="480" w:lineRule="auto"/>
        <w:ind w:firstLine="240" w:firstLineChars="100"/>
        <w:jc w:val="both"/>
        <w:rPr>
          <w:rFonts w:hint="default" w:ascii="Arial" w:hAnsi="Arial" w:cs="Arial"/>
          <w:color w:val="auto"/>
          <w:sz w:val="24"/>
          <w:szCs w:val="24"/>
          <w:lang w:val="en-US" w:eastAsia="zh-CN"/>
        </w:rPr>
      </w:pPr>
    </w:p>
    <w:p>
      <w:pPr>
        <w:widowControl w:val="0"/>
        <w:numPr>
          <w:ilvl w:val="0"/>
          <w:numId w:val="0"/>
        </w:numPr>
        <w:tabs>
          <w:tab w:val="left" w:pos="312"/>
        </w:tabs>
        <w:spacing w:line="480" w:lineRule="auto"/>
        <w:jc w:val="both"/>
        <w:rPr>
          <w:rFonts w:hint="default" w:ascii="Arial" w:hAnsi="Arial" w:cs="Arial"/>
          <w:b/>
          <w:bCs/>
          <w:i w:val="0"/>
          <w:iCs w:val="0"/>
          <w:color w:val="auto"/>
          <w:sz w:val="24"/>
          <w:szCs w:val="24"/>
          <w:highlight w:val="none"/>
          <w:lang w:val="en-US" w:eastAsia="zh-CN"/>
        </w:rPr>
      </w:pPr>
      <w:r>
        <w:rPr>
          <w:rFonts w:hint="default" w:ascii="Arial" w:hAnsi="Arial" w:cs="Arial"/>
          <w:b/>
          <w:bCs/>
          <w:i w:val="0"/>
          <w:iCs w:val="0"/>
          <w:color w:val="auto"/>
          <w:sz w:val="24"/>
          <w:szCs w:val="24"/>
          <w:highlight w:val="none"/>
          <w:lang w:val="en-US" w:eastAsia="zh-CN"/>
        </w:rPr>
        <w:t>Engraftmemt</w:t>
      </w:r>
    </w:p>
    <w:p>
      <w:pPr>
        <w:widowControl w:val="0"/>
        <w:numPr>
          <w:ilvl w:val="0"/>
          <w:numId w:val="0"/>
        </w:numPr>
        <w:tabs>
          <w:tab w:val="left" w:pos="312"/>
        </w:tabs>
        <w:spacing w:line="480" w:lineRule="auto"/>
        <w:ind w:firstLine="240" w:firstLineChars="100"/>
        <w:jc w:val="both"/>
        <w:rPr>
          <w:rFonts w:hint="default" w:ascii="Arial" w:hAnsi="Arial" w:cs="Arial"/>
          <w:color w:val="auto"/>
          <w:sz w:val="24"/>
          <w:szCs w:val="24"/>
          <w:lang w:val="en-US" w:eastAsia="zh-CN"/>
        </w:rPr>
      </w:pPr>
      <w:r>
        <w:rPr>
          <w:rFonts w:hint="default" w:ascii="Arial" w:hAnsi="Arial" w:cs="Arial"/>
          <w:color w:val="auto"/>
          <w:sz w:val="24"/>
          <w:szCs w:val="24"/>
          <w:lang w:val="en-US" w:eastAsia="zh-CN"/>
        </w:rPr>
        <w:t xml:space="preserve">The cumulative incidence of neutrophil engraftment by day 42 were 91.6%(95% confidence interval [CI], 85.1% to 95.3%) in IV Bu/Cy cohort and 98.0%(95% CI, 62.9% to 99.9%) in </w:t>
      </w:r>
      <w:r>
        <w:rPr>
          <w:rFonts w:hint="eastAsia" w:ascii="Arial" w:hAnsi="Arial" w:cs="Arial"/>
          <w:color w:val="auto"/>
          <w:sz w:val="24"/>
          <w:szCs w:val="24"/>
          <w:lang w:val="en-US" w:eastAsia="zh-CN"/>
        </w:rPr>
        <w:t>Cy/TBI</w:t>
      </w:r>
      <w:r>
        <w:rPr>
          <w:rFonts w:hint="default" w:ascii="Arial" w:hAnsi="Arial" w:cs="Arial"/>
          <w:color w:val="auto"/>
          <w:sz w:val="24"/>
          <w:szCs w:val="24"/>
          <w:lang w:val="en-US" w:eastAsia="zh-CN"/>
        </w:rPr>
        <w:t xml:space="preserve"> cohort (P&lt;</w:t>
      </w:r>
      <w:r>
        <w:rPr>
          <w:rFonts w:hint="eastAsia" w:ascii="Arial" w:hAnsi="Arial" w:cs="Arial"/>
          <w:color w:val="auto"/>
          <w:sz w:val="24"/>
          <w:szCs w:val="24"/>
          <w:lang w:val="en-US" w:eastAsia="zh-CN"/>
        </w:rPr>
        <w:t>0</w:t>
      </w:r>
      <w:r>
        <w:rPr>
          <w:rFonts w:hint="default" w:ascii="Arial" w:hAnsi="Arial" w:cs="Arial"/>
          <w:color w:val="auto"/>
          <w:sz w:val="24"/>
          <w:szCs w:val="24"/>
          <w:lang w:val="en-US" w:eastAsia="zh-CN"/>
        </w:rPr>
        <w:t>.001). The median times to neutrophil engraftment were 16 days (range, 11–41 days) and 19 days (range, 13–42 days)(P&lt;</w:t>
      </w:r>
      <w:r>
        <w:rPr>
          <w:rFonts w:hint="eastAsia" w:ascii="Arial" w:hAnsi="Arial" w:cs="Arial"/>
          <w:color w:val="auto"/>
          <w:sz w:val="24"/>
          <w:szCs w:val="24"/>
          <w:lang w:val="en-US" w:eastAsia="zh-CN"/>
        </w:rPr>
        <w:t>0</w:t>
      </w:r>
      <w:r>
        <w:rPr>
          <w:rFonts w:hint="default" w:ascii="Arial" w:hAnsi="Arial" w:cs="Arial"/>
          <w:color w:val="auto"/>
          <w:sz w:val="24"/>
          <w:szCs w:val="24"/>
          <w:lang w:val="en-US" w:eastAsia="zh-CN"/>
        </w:rPr>
        <w:t>.001), respectively(Table 2; Figure 1A). The cumulative incidence of platelet engraftment by day 100 in each group were 82.1%(95% CI, 74.2% to 84.8%) and 83.6%(95% CI, 77.5% to 88.2%) (P=</w:t>
      </w:r>
      <w:r>
        <w:rPr>
          <w:rFonts w:hint="eastAsia" w:ascii="Arial" w:hAnsi="Arial" w:cs="Arial"/>
          <w:color w:val="auto"/>
          <w:sz w:val="24"/>
          <w:szCs w:val="24"/>
          <w:lang w:val="en-US" w:eastAsia="zh-CN"/>
        </w:rPr>
        <w:t>0</w:t>
      </w:r>
      <w:r>
        <w:rPr>
          <w:rFonts w:hint="default" w:ascii="Arial" w:hAnsi="Arial" w:cs="Arial"/>
          <w:color w:val="auto"/>
          <w:sz w:val="24"/>
          <w:szCs w:val="24"/>
          <w:lang w:val="en-US" w:eastAsia="zh-CN"/>
        </w:rPr>
        <w:t>.656). The median times to platelet engraftment were 37 days (range, 14</w:t>
      </w:r>
      <w:r>
        <w:rPr>
          <w:rFonts w:hint="default" w:ascii="Arial" w:hAnsi="Arial" w:cs="Arial"/>
          <w:color w:val="auto"/>
          <w:sz w:val="24"/>
          <w:szCs w:val="24"/>
          <w:lang w:eastAsia="zh-CN"/>
        </w:rPr>
        <w:t>-</w:t>
      </w:r>
      <w:r>
        <w:rPr>
          <w:rFonts w:hint="default" w:ascii="Arial" w:hAnsi="Arial" w:cs="Arial"/>
          <w:color w:val="auto"/>
          <w:sz w:val="24"/>
          <w:szCs w:val="24"/>
          <w:lang w:val="en-US" w:eastAsia="zh-CN"/>
        </w:rPr>
        <w:t>216 days) and 39 days (range, 17</w:t>
      </w:r>
      <w:r>
        <w:rPr>
          <w:rFonts w:hint="default" w:ascii="Arial" w:hAnsi="Arial" w:cs="Arial"/>
          <w:color w:val="auto"/>
          <w:sz w:val="24"/>
          <w:szCs w:val="24"/>
          <w:lang w:eastAsia="zh-CN"/>
        </w:rPr>
        <w:t>-</w:t>
      </w:r>
      <w:r>
        <w:rPr>
          <w:rFonts w:hint="default" w:ascii="Arial" w:hAnsi="Arial" w:cs="Arial"/>
          <w:color w:val="auto"/>
          <w:sz w:val="24"/>
          <w:szCs w:val="24"/>
          <w:lang w:val="en-US" w:eastAsia="zh-CN"/>
        </w:rPr>
        <w:t>196 days) (P=</w:t>
      </w:r>
      <w:r>
        <w:rPr>
          <w:rFonts w:hint="eastAsia" w:ascii="Arial" w:hAnsi="Arial" w:cs="Arial"/>
          <w:color w:val="auto"/>
          <w:sz w:val="24"/>
          <w:szCs w:val="24"/>
          <w:lang w:val="en-US" w:eastAsia="zh-CN"/>
        </w:rPr>
        <w:t>0</w:t>
      </w:r>
      <w:r>
        <w:rPr>
          <w:rFonts w:hint="default" w:ascii="Arial" w:hAnsi="Arial" w:cs="Arial"/>
          <w:color w:val="auto"/>
          <w:sz w:val="24"/>
          <w:szCs w:val="24"/>
          <w:lang w:val="en-US" w:eastAsia="zh-CN"/>
        </w:rPr>
        <w:t xml:space="preserve">.121), respectively(Table 2; Figure 1B). </w:t>
      </w:r>
    </w:p>
    <w:p>
      <w:pPr>
        <w:spacing w:beforeLines="0" w:afterLines="0" w:line="480" w:lineRule="auto"/>
        <w:jc w:val="left"/>
        <w:rPr>
          <w:rFonts w:hint="default" w:ascii="Arial" w:hAnsi="Arial" w:cs="Arial"/>
          <w:color w:val="auto"/>
          <w:sz w:val="24"/>
          <w:szCs w:val="24"/>
          <w:highlight w:val="none"/>
          <w:lang w:val="en-US" w:eastAsia="zh-CN"/>
        </w:rPr>
      </w:pPr>
    </w:p>
    <w:p>
      <w:pPr>
        <w:widowControl w:val="0"/>
        <w:numPr>
          <w:ilvl w:val="0"/>
          <w:numId w:val="0"/>
        </w:numPr>
        <w:tabs>
          <w:tab w:val="left" w:pos="312"/>
        </w:tabs>
        <w:spacing w:line="480" w:lineRule="auto"/>
        <w:jc w:val="both"/>
        <w:rPr>
          <w:rFonts w:hint="default" w:ascii="Arial" w:hAnsi="Arial" w:cs="Arial"/>
          <w:b/>
          <w:bCs/>
          <w:i w:val="0"/>
          <w:iCs w:val="0"/>
          <w:color w:val="auto"/>
          <w:sz w:val="24"/>
          <w:szCs w:val="24"/>
          <w:highlight w:val="none"/>
          <w:lang w:val="en-US" w:eastAsia="zh-CN"/>
        </w:rPr>
      </w:pPr>
      <w:r>
        <w:rPr>
          <w:rFonts w:hint="default" w:ascii="Arial" w:hAnsi="Arial" w:cs="Arial"/>
          <w:b/>
          <w:bCs/>
          <w:i w:val="0"/>
          <w:iCs w:val="0"/>
          <w:color w:val="auto"/>
          <w:sz w:val="24"/>
          <w:szCs w:val="24"/>
          <w:highlight w:val="none"/>
          <w:lang w:val="en-US" w:eastAsia="zh-CN"/>
        </w:rPr>
        <w:t>Toxicity ,NRM and Cause of death</w:t>
      </w:r>
    </w:p>
    <w:p>
      <w:pPr>
        <w:widowControl w:val="0"/>
        <w:numPr>
          <w:ilvl w:val="0"/>
          <w:numId w:val="0"/>
        </w:numPr>
        <w:tabs>
          <w:tab w:val="left" w:pos="312"/>
        </w:tabs>
        <w:spacing w:line="480" w:lineRule="auto"/>
        <w:ind w:firstLine="240" w:firstLineChars="100"/>
        <w:jc w:val="both"/>
        <w:rPr>
          <w:rFonts w:hint="default" w:ascii="Arial" w:hAnsi="Arial" w:cs="Arial"/>
          <w:color w:val="auto"/>
          <w:sz w:val="24"/>
          <w:szCs w:val="24"/>
          <w:lang w:val="en-US" w:eastAsia="zh-CN"/>
        </w:rPr>
      </w:pPr>
      <w:r>
        <w:rPr>
          <w:rFonts w:hint="default" w:ascii="Arial" w:hAnsi="Arial" w:cs="Arial"/>
          <w:color w:val="auto"/>
          <w:sz w:val="24"/>
          <w:szCs w:val="24"/>
          <w:lang w:val="en-US" w:eastAsia="zh-CN"/>
        </w:rPr>
        <w:t xml:space="preserve">The 100-day cumulative incidences for VOD/SOS were 6.9% in the IV Bu/Cy cohort and 7.0% in the </w:t>
      </w:r>
      <w:r>
        <w:rPr>
          <w:rFonts w:hint="eastAsia" w:ascii="Arial" w:hAnsi="Arial" w:cs="Arial"/>
          <w:color w:val="auto"/>
          <w:sz w:val="24"/>
          <w:szCs w:val="24"/>
          <w:lang w:val="en-US" w:eastAsia="zh-CN"/>
        </w:rPr>
        <w:t>Cy/TBI</w:t>
      </w:r>
      <w:r>
        <w:rPr>
          <w:rFonts w:hint="default" w:ascii="Arial" w:hAnsi="Arial" w:cs="Arial"/>
          <w:color w:val="auto"/>
          <w:sz w:val="24"/>
          <w:szCs w:val="24"/>
          <w:lang w:val="en-US" w:eastAsia="zh-CN"/>
        </w:rPr>
        <w:t xml:space="preserve"> cohort(P=</w:t>
      </w:r>
      <w:r>
        <w:rPr>
          <w:rFonts w:hint="eastAsia" w:ascii="Arial" w:hAnsi="Arial" w:cs="Arial"/>
          <w:color w:val="auto"/>
          <w:sz w:val="24"/>
          <w:szCs w:val="24"/>
          <w:lang w:val="en-US" w:eastAsia="zh-CN"/>
        </w:rPr>
        <w:t>0</w:t>
      </w:r>
      <w:r>
        <w:rPr>
          <w:rFonts w:hint="default" w:ascii="Arial" w:hAnsi="Arial" w:cs="Arial"/>
          <w:color w:val="auto"/>
          <w:sz w:val="24"/>
          <w:szCs w:val="24"/>
          <w:lang w:val="en-US" w:eastAsia="zh-CN"/>
        </w:rPr>
        <w:t xml:space="preserve">.958; Table 2). The median interval from transplantation to occurrence of SOS was 11 days and 10 days in each group. No patient was </w:t>
      </w:r>
      <w:r>
        <w:rPr>
          <w:rFonts w:hint="default" w:ascii="Arial" w:hAnsi="Arial" w:cs="Arial"/>
          <w:color w:val="auto"/>
          <w:sz w:val="24"/>
          <w:szCs w:val="24"/>
          <w:highlight w:val="yellow"/>
          <w:lang w:val="en-US" w:eastAsia="zh-CN"/>
        </w:rPr>
        <w:t xml:space="preserve">diagnosed </w:t>
      </w:r>
      <w:r>
        <w:rPr>
          <w:rFonts w:hint="default" w:ascii="Arial" w:hAnsi="Arial" w:cs="Arial"/>
          <w:color w:val="auto"/>
          <w:sz w:val="24"/>
          <w:szCs w:val="24"/>
          <w:highlight w:val="yellow"/>
          <w:lang w:eastAsia="zh-CN"/>
        </w:rPr>
        <w:t>with</w:t>
      </w:r>
      <w:r>
        <w:rPr>
          <w:rFonts w:hint="default" w:ascii="Arial" w:hAnsi="Arial" w:cs="Arial"/>
          <w:color w:val="auto"/>
          <w:sz w:val="24"/>
          <w:szCs w:val="24"/>
          <w:lang w:eastAsia="zh-CN"/>
        </w:rPr>
        <w:t xml:space="preserve"> </w:t>
      </w:r>
      <w:r>
        <w:rPr>
          <w:rFonts w:hint="default" w:ascii="Arial" w:hAnsi="Arial" w:cs="Arial"/>
          <w:color w:val="auto"/>
          <w:sz w:val="24"/>
          <w:szCs w:val="24"/>
          <w:lang w:val="en-US" w:eastAsia="zh-CN"/>
        </w:rPr>
        <w:t xml:space="preserve">severe SOS/VOD. Hemorrhagic cystitis  was observed in 28 patients in IV Bu/Cy cohort (21.37%) and 19 patients (9.50%) in </w:t>
      </w:r>
      <w:r>
        <w:rPr>
          <w:rFonts w:hint="eastAsia" w:ascii="Arial" w:hAnsi="Arial" w:cs="Arial"/>
          <w:color w:val="auto"/>
          <w:sz w:val="24"/>
          <w:szCs w:val="24"/>
          <w:lang w:val="en-US" w:eastAsia="zh-CN"/>
        </w:rPr>
        <w:t>Cy/TBI</w:t>
      </w:r>
      <w:r>
        <w:rPr>
          <w:rFonts w:hint="default" w:ascii="Arial" w:hAnsi="Arial" w:cs="Arial"/>
          <w:color w:val="auto"/>
          <w:sz w:val="24"/>
          <w:szCs w:val="24"/>
          <w:lang w:val="en-US" w:eastAsia="zh-CN"/>
        </w:rPr>
        <w:t xml:space="preserve"> cohort(P=</w:t>
      </w:r>
      <w:r>
        <w:rPr>
          <w:rFonts w:hint="eastAsia" w:ascii="Arial" w:hAnsi="Arial" w:cs="Arial"/>
          <w:color w:val="auto"/>
          <w:sz w:val="24"/>
          <w:szCs w:val="24"/>
          <w:lang w:val="en-US" w:eastAsia="zh-CN"/>
        </w:rPr>
        <w:t>0</w:t>
      </w:r>
      <w:r>
        <w:rPr>
          <w:rFonts w:hint="default" w:ascii="Arial" w:hAnsi="Arial" w:cs="Arial"/>
          <w:color w:val="auto"/>
          <w:sz w:val="24"/>
          <w:szCs w:val="24"/>
          <w:lang w:val="en-US" w:eastAsia="zh-CN"/>
        </w:rPr>
        <w:t xml:space="preserve">.002; Table 2). Univariate analysis showed that IV Bu/Cy was associated with a lower risk of 180 days and 3 years NRM than </w:t>
      </w:r>
      <w:r>
        <w:rPr>
          <w:rFonts w:hint="eastAsia" w:ascii="Arial" w:hAnsi="Arial" w:cs="Arial"/>
          <w:color w:val="auto"/>
          <w:sz w:val="24"/>
          <w:szCs w:val="24"/>
          <w:lang w:val="en-US" w:eastAsia="zh-CN"/>
        </w:rPr>
        <w:t>Cy/TBI</w:t>
      </w:r>
      <w:r>
        <w:rPr>
          <w:rFonts w:hint="default" w:ascii="Arial" w:hAnsi="Arial" w:cs="Arial"/>
          <w:color w:val="auto"/>
          <w:sz w:val="24"/>
          <w:szCs w:val="24"/>
          <w:lang w:val="en-US" w:eastAsia="zh-CN"/>
        </w:rPr>
        <w:t>(</w:t>
      </w:r>
      <w:r>
        <w:rPr>
          <w:rFonts w:hint="eastAsia" w:ascii="Arial" w:hAnsi="Arial" w:cs="Arial"/>
          <w:color w:val="auto"/>
          <w:sz w:val="24"/>
          <w:szCs w:val="24"/>
          <w:lang w:val="en-US" w:eastAsia="zh-CN"/>
        </w:rPr>
        <w:t xml:space="preserve">Table </w:t>
      </w:r>
      <w:r>
        <w:rPr>
          <w:rFonts w:hint="default" w:ascii="Arial" w:hAnsi="Arial" w:cs="Arial"/>
          <w:color w:val="auto"/>
          <w:sz w:val="24"/>
          <w:szCs w:val="24"/>
          <w:lang w:eastAsia="zh-CN"/>
        </w:rPr>
        <w:t>3</w:t>
      </w:r>
      <w:r>
        <w:rPr>
          <w:rFonts w:hint="eastAsia" w:ascii="Arial" w:hAnsi="Arial" w:cs="Arial"/>
          <w:color w:val="auto"/>
          <w:sz w:val="24"/>
          <w:szCs w:val="24"/>
          <w:lang w:val="en-US" w:eastAsia="zh-CN"/>
        </w:rPr>
        <w:t xml:space="preserve">; </w:t>
      </w:r>
      <w:r>
        <w:rPr>
          <w:rFonts w:hint="default" w:ascii="Arial" w:hAnsi="Arial" w:cs="Arial"/>
          <w:color w:val="auto"/>
          <w:sz w:val="24"/>
          <w:szCs w:val="24"/>
          <w:lang w:val="en-US" w:eastAsia="zh-CN"/>
        </w:rPr>
        <w:t xml:space="preserve">Figure 2A). However, we noted no difference in 3 years NRM between those two conditioning regimens in multivariable analysis(Table </w:t>
      </w:r>
      <w:r>
        <w:rPr>
          <w:rFonts w:hint="default" w:ascii="Arial" w:hAnsi="Arial" w:cs="Arial"/>
          <w:color w:val="auto"/>
          <w:sz w:val="24"/>
          <w:szCs w:val="24"/>
          <w:lang w:eastAsia="zh-CN"/>
        </w:rPr>
        <w:t>4</w:t>
      </w:r>
      <w:r>
        <w:rPr>
          <w:rFonts w:hint="default" w:ascii="Arial" w:hAnsi="Arial" w:cs="Arial"/>
          <w:color w:val="auto"/>
          <w:sz w:val="24"/>
          <w:szCs w:val="24"/>
          <w:lang w:val="en-US" w:eastAsia="zh-CN"/>
        </w:rPr>
        <w:t xml:space="preserve">). While there was a higher risk of 3 years NRM with female recipients in multivariable analysis (HR, </w:t>
      </w:r>
      <w:r>
        <w:rPr>
          <w:rFonts w:hint="default" w:ascii="Arial" w:hAnsi="Arial" w:cs="Arial"/>
          <w:color w:val="auto"/>
          <w:sz w:val="24"/>
          <w:szCs w:val="24"/>
          <w:highlight w:val="yellow"/>
          <w:lang w:val="en-US" w:eastAsia="zh-CN"/>
        </w:rPr>
        <w:t>1.7</w:t>
      </w:r>
      <w:r>
        <w:rPr>
          <w:rFonts w:hint="default" w:ascii="Arial" w:hAnsi="Arial" w:cs="Arial"/>
          <w:color w:val="auto"/>
          <w:sz w:val="24"/>
          <w:szCs w:val="24"/>
          <w:highlight w:val="yellow"/>
          <w:lang w:eastAsia="zh-CN"/>
        </w:rPr>
        <w:t>4</w:t>
      </w:r>
      <w:r>
        <w:rPr>
          <w:rFonts w:hint="default" w:ascii="Arial" w:hAnsi="Arial" w:cs="Arial"/>
          <w:color w:val="auto"/>
          <w:sz w:val="24"/>
          <w:szCs w:val="24"/>
          <w:lang w:val="en-US" w:eastAsia="zh-CN"/>
        </w:rPr>
        <w:t xml:space="preserve">; 95% CI, </w:t>
      </w:r>
      <w:r>
        <w:rPr>
          <w:rFonts w:hint="default" w:ascii="Arial" w:hAnsi="Arial" w:cs="Arial"/>
          <w:color w:val="auto"/>
          <w:sz w:val="24"/>
          <w:szCs w:val="24"/>
          <w:highlight w:val="yellow"/>
          <w:lang w:val="en-US" w:eastAsia="zh-CN"/>
        </w:rPr>
        <w:t>1.1</w:t>
      </w:r>
      <w:r>
        <w:rPr>
          <w:rFonts w:hint="default" w:ascii="Arial" w:hAnsi="Arial" w:cs="Arial"/>
          <w:color w:val="auto"/>
          <w:sz w:val="24"/>
          <w:szCs w:val="24"/>
          <w:highlight w:val="yellow"/>
          <w:lang w:eastAsia="zh-CN"/>
        </w:rPr>
        <w:t>5</w:t>
      </w:r>
      <w:r>
        <w:rPr>
          <w:rFonts w:hint="default" w:ascii="Arial" w:hAnsi="Arial" w:cs="Arial"/>
          <w:color w:val="auto"/>
          <w:sz w:val="24"/>
          <w:szCs w:val="24"/>
          <w:lang w:val="en-US" w:eastAsia="zh-CN"/>
        </w:rPr>
        <w:t xml:space="preserve"> to </w:t>
      </w:r>
      <w:r>
        <w:rPr>
          <w:rFonts w:hint="default" w:ascii="Arial" w:hAnsi="Arial" w:cs="Arial"/>
          <w:color w:val="auto"/>
          <w:sz w:val="24"/>
          <w:szCs w:val="24"/>
          <w:highlight w:val="yellow"/>
          <w:lang w:val="en-US" w:eastAsia="zh-CN"/>
        </w:rPr>
        <w:t>2.</w:t>
      </w:r>
      <w:r>
        <w:rPr>
          <w:rFonts w:hint="default" w:ascii="Arial" w:hAnsi="Arial" w:cs="Arial"/>
          <w:color w:val="auto"/>
          <w:sz w:val="24"/>
          <w:szCs w:val="24"/>
          <w:highlight w:val="yellow"/>
          <w:lang w:eastAsia="zh-CN"/>
        </w:rPr>
        <w:t>63</w:t>
      </w:r>
      <w:r>
        <w:rPr>
          <w:rFonts w:hint="default" w:ascii="Arial" w:hAnsi="Arial" w:cs="Arial"/>
          <w:color w:val="auto"/>
          <w:sz w:val="24"/>
          <w:szCs w:val="24"/>
          <w:lang w:val="en-US" w:eastAsia="zh-CN"/>
        </w:rPr>
        <w:t>; P=</w:t>
      </w:r>
      <w:r>
        <w:rPr>
          <w:rFonts w:hint="eastAsia" w:ascii="Arial" w:hAnsi="Arial" w:cs="Arial"/>
          <w:color w:val="auto"/>
          <w:sz w:val="24"/>
          <w:szCs w:val="24"/>
          <w:highlight w:val="yellow"/>
          <w:lang w:val="en-US" w:eastAsia="zh-CN"/>
        </w:rPr>
        <w:t>0</w:t>
      </w:r>
      <w:r>
        <w:rPr>
          <w:rFonts w:hint="default" w:ascii="Arial" w:hAnsi="Arial" w:cs="Arial"/>
          <w:color w:val="auto"/>
          <w:sz w:val="24"/>
          <w:szCs w:val="24"/>
          <w:highlight w:val="yellow"/>
          <w:lang w:val="en-US" w:eastAsia="zh-CN"/>
        </w:rPr>
        <w:t>.0</w:t>
      </w:r>
      <w:r>
        <w:rPr>
          <w:rFonts w:hint="default" w:ascii="Arial" w:hAnsi="Arial" w:cs="Arial"/>
          <w:color w:val="auto"/>
          <w:sz w:val="24"/>
          <w:szCs w:val="24"/>
          <w:highlight w:val="yellow"/>
          <w:lang w:eastAsia="zh-CN"/>
        </w:rPr>
        <w:t>09</w:t>
      </w:r>
      <w:r>
        <w:rPr>
          <w:rFonts w:hint="default" w:ascii="Arial" w:hAnsi="Arial" w:cs="Arial"/>
          <w:color w:val="auto"/>
          <w:sz w:val="24"/>
          <w:szCs w:val="24"/>
          <w:lang w:val="en-US" w:eastAsia="zh-CN"/>
        </w:rPr>
        <w:t xml:space="preserve">; Table </w:t>
      </w:r>
      <w:r>
        <w:rPr>
          <w:rFonts w:hint="default" w:ascii="Arial" w:hAnsi="Arial" w:cs="Arial"/>
          <w:color w:val="auto"/>
          <w:sz w:val="24"/>
          <w:szCs w:val="24"/>
          <w:lang w:eastAsia="zh-CN"/>
        </w:rPr>
        <w:t>4</w:t>
      </w:r>
      <w:r>
        <w:rPr>
          <w:rFonts w:hint="default" w:ascii="Arial" w:hAnsi="Arial" w:cs="Arial"/>
          <w:color w:val="auto"/>
          <w:sz w:val="24"/>
          <w:szCs w:val="24"/>
          <w:lang w:val="en-US" w:eastAsia="zh-CN"/>
        </w:rPr>
        <w:t xml:space="preserve">). The main causes of NRM in order were: acute GVHD(15.9% vs.31.7%), infectious complications(25.0% vs.14.6%) and organ failure(11.4% vs.9.8%) in IV Bu/Cy and </w:t>
      </w:r>
      <w:r>
        <w:rPr>
          <w:rFonts w:hint="eastAsia" w:ascii="Arial" w:hAnsi="Arial" w:cs="Arial"/>
          <w:color w:val="auto"/>
          <w:sz w:val="24"/>
          <w:szCs w:val="24"/>
          <w:lang w:val="en-US" w:eastAsia="zh-CN"/>
        </w:rPr>
        <w:t>Cy/TBI</w:t>
      </w:r>
      <w:r>
        <w:rPr>
          <w:rFonts w:hint="default" w:ascii="Arial" w:hAnsi="Arial" w:cs="Arial"/>
          <w:color w:val="auto"/>
          <w:sz w:val="24"/>
          <w:szCs w:val="24"/>
          <w:lang w:val="en-US" w:eastAsia="zh-CN"/>
        </w:rPr>
        <w:t xml:space="preserve"> protocols. There was no patient died of SOS/VOD.</w:t>
      </w:r>
    </w:p>
    <w:p>
      <w:pPr>
        <w:spacing w:beforeLines="0" w:afterLines="0" w:line="480" w:lineRule="auto"/>
        <w:jc w:val="left"/>
        <w:rPr>
          <w:rFonts w:hint="default" w:ascii="Arial" w:hAnsi="Arial" w:cs="Arial"/>
          <w:color w:val="auto"/>
          <w:sz w:val="24"/>
          <w:szCs w:val="24"/>
          <w:highlight w:val="none"/>
          <w:lang w:val="en-US" w:eastAsia="zh-CN"/>
        </w:rPr>
      </w:pPr>
    </w:p>
    <w:p>
      <w:pPr>
        <w:widowControl w:val="0"/>
        <w:numPr>
          <w:ilvl w:val="0"/>
          <w:numId w:val="0"/>
        </w:numPr>
        <w:tabs>
          <w:tab w:val="left" w:pos="312"/>
        </w:tabs>
        <w:spacing w:line="480" w:lineRule="auto"/>
        <w:jc w:val="both"/>
        <w:rPr>
          <w:rFonts w:hint="default" w:ascii="Arial" w:hAnsi="Arial" w:cs="Arial"/>
          <w:b/>
          <w:bCs/>
          <w:i w:val="0"/>
          <w:iCs w:val="0"/>
          <w:color w:val="auto"/>
          <w:sz w:val="24"/>
          <w:szCs w:val="24"/>
          <w:highlight w:val="none"/>
          <w:lang w:val="en-US" w:eastAsia="zh-CN"/>
        </w:rPr>
      </w:pPr>
      <w:r>
        <w:rPr>
          <w:rFonts w:hint="default" w:ascii="Arial" w:hAnsi="Arial" w:cs="Arial"/>
          <w:b/>
          <w:bCs/>
          <w:i w:val="0"/>
          <w:iCs w:val="0"/>
          <w:color w:val="auto"/>
          <w:sz w:val="24"/>
          <w:szCs w:val="24"/>
          <w:highlight w:val="none"/>
          <w:lang w:val="en-US" w:eastAsia="zh-CN"/>
        </w:rPr>
        <w:t>Acute GVHD, chronic GVHD and Relapse</w:t>
      </w:r>
    </w:p>
    <w:p>
      <w:pPr>
        <w:spacing w:beforeLines="0" w:afterLines="0" w:line="480" w:lineRule="auto"/>
        <w:ind w:firstLine="240" w:firstLineChars="100"/>
        <w:jc w:val="both"/>
        <w:rPr>
          <w:rFonts w:hint="default" w:ascii="Arial" w:hAnsi="Arial" w:cs="Arial"/>
          <w:color w:val="auto"/>
          <w:sz w:val="24"/>
          <w:szCs w:val="24"/>
          <w:highlight w:val="none"/>
          <w:lang w:val="en-US" w:eastAsia="zh-CN"/>
        </w:rPr>
      </w:pPr>
      <w:r>
        <w:rPr>
          <w:rFonts w:hint="default" w:ascii="Arial" w:hAnsi="Arial" w:cs="Arial"/>
          <w:color w:val="auto"/>
          <w:sz w:val="24"/>
          <w:szCs w:val="24"/>
          <w:highlight w:val="none"/>
          <w:lang w:val="en-US" w:eastAsia="zh-CN"/>
        </w:rPr>
        <w:t xml:space="preserve">At day 100 after </w:t>
      </w:r>
      <w:r>
        <w:rPr>
          <w:rFonts w:hint="default" w:ascii="Arial" w:hAnsi="Arial" w:cs="Arial"/>
          <w:color w:val="auto"/>
          <w:sz w:val="24"/>
          <w:szCs w:val="24"/>
          <w:highlight w:val="yellow"/>
          <w:lang w:eastAsia="zh-CN"/>
        </w:rPr>
        <w:t>UCBT</w:t>
      </w:r>
      <w:r>
        <w:rPr>
          <w:rFonts w:hint="default" w:ascii="Arial" w:hAnsi="Arial" w:cs="Arial"/>
          <w:color w:val="auto"/>
          <w:sz w:val="24"/>
          <w:szCs w:val="24"/>
          <w:highlight w:val="none"/>
          <w:lang w:val="en-US" w:eastAsia="zh-CN"/>
        </w:rPr>
        <w:t xml:space="preserve">, the cumulative incidence of II-IV acute GVHD was similar between IV Bu/Cy and </w:t>
      </w:r>
      <w:r>
        <w:rPr>
          <w:rFonts w:hint="eastAsia" w:ascii="Arial" w:hAnsi="Arial" w:cs="Arial"/>
          <w:color w:val="auto"/>
          <w:sz w:val="24"/>
          <w:szCs w:val="24"/>
          <w:highlight w:val="none"/>
          <w:lang w:val="en-US" w:eastAsia="zh-CN"/>
        </w:rPr>
        <w:t>Cy/TBI</w:t>
      </w:r>
      <w:r>
        <w:rPr>
          <w:rFonts w:hint="default" w:ascii="Arial" w:hAnsi="Arial" w:cs="Arial"/>
          <w:color w:val="auto"/>
          <w:sz w:val="24"/>
          <w:szCs w:val="24"/>
          <w:highlight w:val="none"/>
          <w:lang w:val="en-US" w:eastAsia="zh-CN"/>
        </w:rPr>
        <w:t xml:space="preserve"> cohorts(Tables 2</w:t>
      </w:r>
      <w:r>
        <w:rPr>
          <w:rFonts w:hint="eastAsia" w:ascii="Arial" w:hAnsi="Arial" w:cs="Arial"/>
          <w:color w:val="auto"/>
          <w:sz w:val="24"/>
          <w:szCs w:val="24"/>
          <w:highlight w:val="none"/>
          <w:lang w:val="en-US" w:eastAsia="zh-CN"/>
        </w:rPr>
        <w:t xml:space="preserve"> and 3</w:t>
      </w:r>
      <w:r>
        <w:rPr>
          <w:rFonts w:hint="default" w:ascii="Arial" w:hAnsi="Arial" w:cs="Arial"/>
          <w:color w:val="auto"/>
          <w:sz w:val="24"/>
          <w:szCs w:val="24"/>
          <w:highlight w:val="none"/>
          <w:lang w:val="en-US" w:eastAsia="zh-CN"/>
        </w:rPr>
        <w:t xml:space="preserve">). III-IV acute GVHD is more frequency in IV Bu/Cy cohort than that in </w:t>
      </w:r>
      <w:r>
        <w:rPr>
          <w:rFonts w:hint="eastAsia" w:ascii="Arial" w:hAnsi="Arial" w:cs="Arial"/>
          <w:color w:val="auto"/>
          <w:sz w:val="24"/>
          <w:szCs w:val="24"/>
          <w:highlight w:val="none"/>
          <w:lang w:val="en-US" w:eastAsia="zh-CN"/>
        </w:rPr>
        <w:t>Cy/TBI</w:t>
      </w:r>
      <w:r>
        <w:rPr>
          <w:rFonts w:hint="default" w:ascii="Arial" w:hAnsi="Arial" w:cs="Arial"/>
          <w:color w:val="auto"/>
          <w:sz w:val="24"/>
          <w:szCs w:val="24"/>
          <w:highlight w:val="none"/>
          <w:lang w:val="en-US" w:eastAsia="zh-CN"/>
        </w:rPr>
        <w:t xml:space="preserve"> cohort(19.1% vs. 11.0%, p=</w:t>
      </w:r>
      <w:r>
        <w:rPr>
          <w:rFonts w:hint="eastAsia" w:ascii="Arial" w:hAnsi="Arial" w:cs="Arial"/>
          <w:color w:val="auto"/>
          <w:sz w:val="24"/>
          <w:szCs w:val="24"/>
          <w:highlight w:val="none"/>
          <w:lang w:val="en-US" w:eastAsia="zh-CN"/>
        </w:rPr>
        <w:t>0</w:t>
      </w:r>
      <w:r>
        <w:rPr>
          <w:rFonts w:hint="default" w:ascii="Arial" w:hAnsi="Arial" w:cs="Arial"/>
          <w:color w:val="auto"/>
          <w:sz w:val="24"/>
          <w:szCs w:val="24"/>
          <w:highlight w:val="none"/>
          <w:lang w:val="en-US" w:eastAsia="zh-CN"/>
        </w:rPr>
        <w:t xml:space="preserve">.033; Tables </w:t>
      </w:r>
      <w:r>
        <w:rPr>
          <w:rFonts w:hint="eastAsia" w:ascii="Arial" w:hAnsi="Arial" w:cs="Arial"/>
          <w:color w:val="auto"/>
          <w:sz w:val="24"/>
          <w:szCs w:val="24"/>
          <w:highlight w:val="none"/>
          <w:lang w:val="en-US" w:eastAsia="zh-CN"/>
        </w:rPr>
        <w:t>2 and 3</w:t>
      </w:r>
      <w:r>
        <w:rPr>
          <w:rFonts w:hint="default" w:ascii="Arial" w:hAnsi="Arial" w:cs="Arial"/>
          <w:color w:val="auto"/>
          <w:sz w:val="24"/>
          <w:szCs w:val="24"/>
          <w:highlight w:val="none"/>
          <w:lang w:val="en-US" w:eastAsia="zh-CN"/>
        </w:rPr>
        <w:t>). But after adjustment with multivariable analysis, the cumulative incidence of III-IV acute GVHD did not differ in two conditioning regimens(</w:t>
      </w:r>
      <w:r>
        <w:rPr>
          <w:rFonts w:hint="default" w:ascii="Arial" w:hAnsi="Arial" w:cs="Arial"/>
          <w:color w:val="auto"/>
          <w:sz w:val="24"/>
          <w:szCs w:val="24"/>
          <w:highlight w:val="yellow"/>
          <w:lang w:val="en-US" w:eastAsia="zh-CN"/>
        </w:rPr>
        <w:t>Table</w:t>
      </w:r>
      <w:r>
        <w:rPr>
          <w:rFonts w:hint="default" w:ascii="Arial" w:hAnsi="Arial" w:cs="Arial"/>
          <w:color w:val="auto"/>
          <w:sz w:val="24"/>
          <w:szCs w:val="24"/>
          <w:highlight w:val="none"/>
          <w:lang w:eastAsia="zh-CN"/>
        </w:rPr>
        <w:t xml:space="preserve"> </w:t>
      </w:r>
      <w:r>
        <w:rPr>
          <w:rFonts w:hint="eastAsia" w:ascii="Arial" w:hAnsi="Arial" w:cs="Arial"/>
          <w:color w:val="auto"/>
          <w:sz w:val="24"/>
          <w:szCs w:val="24"/>
          <w:highlight w:val="none"/>
          <w:lang w:val="en-US" w:eastAsia="zh-CN"/>
        </w:rPr>
        <w:t>4</w:t>
      </w:r>
      <w:r>
        <w:rPr>
          <w:rFonts w:hint="default" w:ascii="Arial" w:hAnsi="Arial" w:cs="Arial"/>
          <w:color w:val="auto"/>
          <w:sz w:val="24"/>
          <w:szCs w:val="24"/>
          <w:highlight w:val="none"/>
          <w:lang w:val="en-US" w:eastAsia="zh-CN"/>
        </w:rPr>
        <w:t xml:space="preserve">). The cumulative incidence of chronic graft-versus-host disease was also similar between the two regimens (Tables </w:t>
      </w:r>
      <w:r>
        <w:rPr>
          <w:rFonts w:hint="eastAsia" w:ascii="Arial" w:hAnsi="Arial" w:cs="Arial"/>
          <w:color w:val="auto"/>
          <w:sz w:val="24"/>
          <w:szCs w:val="24"/>
          <w:highlight w:val="none"/>
          <w:lang w:val="en-US" w:eastAsia="zh-CN"/>
        </w:rPr>
        <w:t>3</w:t>
      </w:r>
      <w:r>
        <w:rPr>
          <w:rFonts w:hint="default" w:ascii="Arial" w:hAnsi="Arial" w:cs="Arial"/>
          <w:color w:val="auto"/>
          <w:sz w:val="24"/>
          <w:szCs w:val="24"/>
          <w:highlight w:val="none"/>
          <w:lang w:val="en-US" w:eastAsia="zh-CN"/>
        </w:rPr>
        <w:t xml:space="preserve"> and </w:t>
      </w:r>
      <w:r>
        <w:rPr>
          <w:rFonts w:hint="eastAsia" w:ascii="Arial" w:hAnsi="Arial" w:cs="Arial"/>
          <w:color w:val="auto"/>
          <w:sz w:val="24"/>
          <w:szCs w:val="24"/>
          <w:highlight w:val="none"/>
          <w:lang w:val="en-US" w:eastAsia="zh-CN"/>
        </w:rPr>
        <w:t>4</w:t>
      </w:r>
      <w:r>
        <w:rPr>
          <w:rFonts w:hint="default" w:ascii="Arial" w:hAnsi="Arial" w:cs="Arial"/>
          <w:color w:val="auto"/>
          <w:sz w:val="24"/>
          <w:szCs w:val="24"/>
          <w:highlight w:val="none"/>
          <w:lang w:val="en-US" w:eastAsia="zh-CN"/>
        </w:rPr>
        <w:t xml:space="preserve">). No difference in 3 years relapse incidence was found between those two conditioning regimens in both univariate analysis and multivariable analysis (Tables </w:t>
      </w:r>
      <w:r>
        <w:rPr>
          <w:rFonts w:hint="eastAsia" w:ascii="Arial" w:hAnsi="Arial" w:cs="Arial"/>
          <w:color w:val="auto"/>
          <w:sz w:val="24"/>
          <w:szCs w:val="24"/>
          <w:highlight w:val="none"/>
          <w:lang w:val="en-US" w:eastAsia="zh-CN"/>
        </w:rPr>
        <w:t>3</w:t>
      </w:r>
      <w:r>
        <w:rPr>
          <w:rFonts w:hint="default" w:ascii="Arial" w:hAnsi="Arial" w:cs="Arial"/>
          <w:color w:val="auto"/>
          <w:sz w:val="24"/>
          <w:szCs w:val="24"/>
          <w:highlight w:val="none"/>
          <w:lang w:val="en-US" w:eastAsia="zh-CN"/>
        </w:rPr>
        <w:t xml:space="preserve"> and </w:t>
      </w:r>
      <w:r>
        <w:rPr>
          <w:rFonts w:hint="eastAsia" w:ascii="Arial" w:hAnsi="Arial" w:cs="Arial"/>
          <w:color w:val="auto"/>
          <w:sz w:val="24"/>
          <w:szCs w:val="24"/>
          <w:highlight w:val="none"/>
          <w:lang w:val="en-US" w:eastAsia="zh-CN"/>
        </w:rPr>
        <w:t>4</w:t>
      </w:r>
      <w:r>
        <w:rPr>
          <w:rFonts w:hint="default" w:ascii="Arial" w:hAnsi="Arial" w:cs="Arial"/>
          <w:color w:val="auto"/>
          <w:sz w:val="24"/>
          <w:szCs w:val="24"/>
          <w:highlight w:val="none"/>
          <w:lang w:val="en-US" w:eastAsia="zh-CN"/>
        </w:rPr>
        <w:t>; Figure 2B).</w:t>
      </w:r>
    </w:p>
    <w:p>
      <w:pPr>
        <w:spacing w:beforeLines="0" w:afterLines="0" w:line="480" w:lineRule="auto"/>
        <w:jc w:val="left"/>
        <w:rPr>
          <w:rFonts w:hint="default" w:ascii="Arial" w:hAnsi="Arial" w:cs="Arial"/>
          <w:color w:val="auto"/>
          <w:sz w:val="24"/>
          <w:szCs w:val="24"/>
          <w:highlight w:val="none"/>
          <w:lang w:val="en-US" w:eastAsia="zh-CN"/>
        </w:rPr>
      </w:pPr>
    </w:p>
    <w:p>
      <w:pPr>
        <w:widowControl w:val="0"/>
        <w:numPr>
          <w:ilvl w:val="0"/>
          <w:numId w:val="0"/>
        </w:numPr>
        <w:tabs>
          <w:tab w:val="left" w:pos="312"/>
        </w:tabs>
        <w:spacing w:line="480" w:lineRule="auto"/>
        <w:jc w:val="both"/>
        <w:rPr>
          <w:rFonts w:hint="default" w:ascii="Arial" w:hAnsi="Arial" w:cs="Arial"/>
          <w:b/>
          <w:bCs/>
          <w:i w:val="0"/>
          <w:iCs w:val="0"/>
          <w:color w:val="auto"/>
          <w:sz w:val="24"/>
          <w:szCs w:val="24"/>
          <w:highlight w:val="none"/>
          <w:lang w:val="en-US" w:eastAsia="zh-CN"/>
        </w:rPr>
      </w:pPr>
      <w:r>
        <w:rPr>
          <w:rFonts w:hint="default" w:ascii="Arial" w:hAnsi="Arial" w:cs="Arial"/>
          <w:b/>
          <w:bCs/>
          <w:i w:val="0"/>
          <w:iCs w:val="0"/>
          <w:color w:val="auto"/>
          <w:sz w:val="24"/>
          <w:szCs w:val="24"/>
          <w:highlight w:val="none"/>
          <w:lang w:val="en-US" w:eastAsia="zh-CN"/>
        </w:rPr>
        <w:t>DFS, OS and GRFS</w:t>
      </w:r>
    </w:p>
    <w:p>
      <w:pPr>
        <w:spacing w:beforeLines="0" w:afterLines="0" w:line="480" w:lineRule="auto"/>
        <w:ind w:firstLine="240" w:firstLineChars="100"/>
        <w:jc w:val="both"/>
        <w:rPr>
          <w:rFonts w:hint="default" w:ascii="Arial" w:hAnsi="Arial" w:cs="Arial"/>
          <w:color w:val="auto"/>
          <w:sz w:val="24"/>
          <w:szCs w:val="24"/>
          <w:highlight w:val="none"/>
          <w:lang w:val="en-US" w:eastAsia="zh-CN"/>
        </w:rPr>
      </w:pPr>
      <w:r>
        <w:rPr>
          <w:rFonts w:hint="default" w:ascii="Arial" w:hAnsi="Arial" w:cs="Arial"/>
          <w:color w:val="auto"/>
          <w:sz w:val="24"/>
          <w:szCs w:val="24"/>
          <w:highlight w:val="none"/>
          <w:lang w:val="en-US" w:eastAsia="zh-CN"/>
        </w:rPr>
        <w:t>The estimated DFS at 3 years were not statistically different between the conditioning regimens in univariate analysis</w:t>
      </w:r>
      <w:r>
        <w:rPr>
          <w:rFonts w:hint="default" w:ascii="Arial" w:hAnsi="Arial" w:cs="Arial"/>
          <w:color w:val="auto"/>
          <w:sz w:val="24"/>
          <w:szCs w:val="24"/>
          <w:highlight w:val="none"/>
          <w:lang w:eastAsia="zh-CN"/>
        </w:rPr>
        <w:t xml:space="preserve">, </w:t>
      </w:r>
      <w:r>
        <w:rPr>
          <w:rFonts w:hint="default" w:ascii="Arial" w:hAnsi="Arial" w:cs="Arial"/>
          <w:color w:val="auto"/>
          <w:sz w:val="24"/>
          <w:szCs w:val="24"/>
          <w:highlight w:val="none"/>
        </w:rPr>
        <w:t>6</w:t>
      </w:r>
      <w:r>
        <w:rPr>
          <w:rFonts w:hint="default" w:ascii="Arial" w:hAnsi="Arial" w:cs="Arial"/>
          <w:color w:val="auto"/>
          <w:sz w:val="24"/>
          <w:szCs w:val="24"/>
          <w:highlight w:val="none"/>
          <w:lang w:val="en-US" w:eastAsia="zh-CN"/>
        </w:rPr>
        <w:t>3</w:t>
      </w:r>
      <w:r>
        <w:rPr>
          <w:rFonts w:hint="default" w:ascii="Arial" w:hAnsi="Arial" w:cs="Arial"/>
          <w:color w:val="auto"/>
          <w:sz w:val="24"/>
          <w:szCs w:val="24"/>
          <w:highlight w:val="none"/>
        </w:rPr>
        <w:t>.9</w:t>
      </w:r>
      <w:r>
        <w:rPr>
          <w:rFonts w:hint="default" w:ascii="Arial" w:hAnsi="Arial" w:cs="Arial"/>
          <w:color w:val="auto"/>
          <w:sz w:val="24"/>
          <w:szCs w:val="24"/>
          <w:highlight w:val="none"/>
          <w:lang w:val="en-US" w:eastAsia="zh-CN"/>
        </w:rPr>
        <w:t>%</w:t>
      </w:r>
      <w:r>
        <w:rPr>
          <w:rFonts w:hint="default" w:ascii="Arial" w:hAnsi="Arial" w:cs="Arial"/>
          <w:color w:val="auto"/>
          <w:sz w:val="24"/>
          <w:szCs w:val="24"/>
          <w:highlight w:val="none"/>
        </w:rPr>
        <w:t>±4.21</w:t>
      </w:r>
      <w:r>
        <w:rPr>
          <w:rFonts w:hint="default" w:ascii="Arial" w:hAnsi="Arial" w:cs="Arial"/>
          <w:color w:val="auto"/>
          <w:sz w:val="24"/>
          <w:szCs w:val="24"/>
          <w:highlight w:val="none"/>
          <w:lang w:val="en-US" w:eastAsia="zh-CN"/>
        </w:rPr>
        <w:t xml:space="preserve">% in patients undergoing conditioning with IV Bu/Cy and </w:t>
      </w:r>
      <w:r>
        <w:rPr>
          <w:rFonts w:hint="default" w:ascii="Arial" w:hAnsi="Arial" w:cs="Arial"/>
          <w:color w:val="auto"/>
          <w:sz w:val="24"/>
          <w:szCs w:val="24"/>
          <w:highlight w:val="none"/>
        </w:rPr>
        <w:t>5</w:t>
      </w:r>
      <w:r>
        <w:rPr>
          <w:rFonts w:hint="default" w:ascii="Arial" w:hAnsi="Arial" w:cs="Arial"/>
          <w:color w:val="auto"/>
          <w:sz w:val="24"/>
          <w:szCs w:val="24"/>
          <w:highlight w:val="none"/>
          <w:lang w:val="en-US" w:eastAsia="zh-CN"/>
        </w:rPr>
        <w:t>4.4%</w:t>
      </w:r>
      <w:r>
        <w:rPr>
          <w:rFonts w:hint="default" w:ascii="Arial" w:hAnsi="Arial" w:cs="Arial"/>
          <w:color w:val="auto"/>
          <w:sz w:val="24"/>
          <w:szCs w:val="24"/>
          <w:highlight w:val="none"/>
        </w:rPr>
        <w:t>±3.5</w:t>
      </w:r>
      <w:r>
        <w:rPr>
          <w:rFonts w:hint="default" w:ascii="Arial" w:hAnsi="Arial" w:cs="Arial"/>
          <w:color w:val="auto"/>
          <w:sz w:val="24"/>
          <w:szCs w:val="24"/>
          <w:highlight w:val="none"/>
          <w:lang w:val="en-US" w:eastAsia="zh-CN"/>
        </w:rPr>
        <w:t xml:space="preserve">7% in patients undergoing conditioning with </w:t>
      </w:r>
      <w:r>
        <w:rPr>
          <w:rFonts w:hint="eastAsia" w:ascii="Arial" w:hAnsi="Arial" w:cs="Arial"/>
          <w:color w:val="auto"/>
          <w:sz w:val="24"/>
          <w:szCs w:val="24"/>
          <w:highlight w:val="none"/>
          <w:lang w:val="en-US" w:eastAsia="zh-CN"/>
        </w:rPr>
        <w:t>Cy/TBI</w:t>
      </w:r>
      <w:r>
        <w:rPr>
          <w:rFonts w:hint="default" w:ascii="Arial" w:hAnsi="Arial" w:cs="Arial"/>
          <w:color w:val="auto"/>
          <w:sz w:val="24"/>
          <w:szCs w:val="24"/>
          <w:highlight w:val="none"/>
          <w:lang w:val="en-US" w:eastAsia="zh-CN"/>
        </w:rPr>
        <w:t>(P=</w:t>
      </w:r>
      <w:r>
        <w:rPr>
          <w:rFonts w:hint="eastAsia" w:ascii="Arial" w:hAnsi="Arial" w:cs="Arial"/>
          <w:color w:val="auto"/>
          <w:sz w:val="24"/>
          <w:szCs w:val="24"/>
          <w:highlight w:val="none"/>
          <w:lang w:val="en-US" w:eastAsia="zh-CN"/>
        </w:rPr>
        <w:t>0</w:t>
      </w:r>
      <w:r>
        <w:rPr>
          <w:rFonts w:hint="default" w:ascii="Arial" w:hAnsi="Arial" w:cs="Arial"/>
          <w:color w:val="auto"/>
          <w:sz w:val="24"/>
          <w:szCs w:val="24"/>
          <w:highlight w:val="none"/>
          <w:lang w:val="en-US" w:eastAsia="zh-CN"/>
        </w:rPr>
        <w:t>.21; Tables 2</w:t>
      </w:r>
      <w:r>
        <w:rPr>
          <w:rFonts w:hint="eastAsia" w:ascii="Arial" w:hAnsi="Arial" w:cs="Arial"/>
          <w:color w:val="auto"/>
          <w:sz w:val="24"/>
          <w:szCs w:val="24"/>
          <w:highlight w:val="none"/>
          <w:lang w:val="en-US" w:eastAsia="zh-CN"/>
        </w:rPr>
        <w:t xml:space="preserve"> and 3</w:t>
      </w:r>
      <w:r>
        <w:rPr>
          <w:rFonts w:hint="default" w:ascii="Arial" w:hAnsi="Arial" w:cs="Arial"/>
          <w:color w:val="auto"/>
          <w:sz w:val="24"/>
          <w:szCs w:val="24"/>
          <w:highlight w:val="none"/>
          <w:lang w:val="en-US" w:eastAsia="zh-CN"/>
        </w:rPr>
        <w:t>; Figure</w:t>
      </w:r>
      <w:r>
        <w:rPr>
          <w:rFonts w:hint="eastAsia" w:ascii="Arial" w:hAnsi="Arial" w:cs="Arial"/>
          <w:color w:val="auto"/>
          <w:sz w:val="24"/>
          <w:szCs w:val="24"/>
          <w:highlight w:val="none"/>
          <w:lang w:val="en-US" w:eastAsia="zh-CN"/>
        </w:rPr>
        <w:t xml:space="preserve"> </w:t>
      </w:r>
      <w:r>
        <w:rPr>
          <w:rFonts w:hint="default" w:ascii="Arial" w:hAnsi="Arial" w:cs="Arial"/>
          <w:color w:val="auto"/>
          <w:sz w:val="24"/>
          <w:szCs w:val="24"/>
          <w:highlight w:val="none"/>
          <w:lang w:val="en-US" w:eastAsia="zh-CN"/>
        </w:rPr>
        <w:t>3B).</w:t>
      </w:r>
      <w:r>
        <w:rPr>
          <w:rFonts w:hint="eastAsia" w:ascii="Arial" w:hAnsi="Arial" w:cs="Arial"/>
          <w:color w:val="auto"/>
          <w:sz w:val="24"/>
          <w:szCs w:val="24"/>
          <w:highlight w:val="none"/>
          <w:lang w:val="en-US" w:eastAsia="zh-CN"/>
        </w:rPr>
        <w:t xml:space="preserve"> </w:t>
      </w:r>
      <w:r>
        <w:rPr>
          <w:rFonts w:hint="default" w:ascii="Arial" w:hAnsi="Arial" w:cs="Arial"/>
          <w:color w:val="auto"/>
          <w:sz w:val="24"/>
          <w:szCs w:val="24"/>
          <w:highlight w:val="none"/>
          <w:lang w:val="en-US" w:eastAsia="zh-CN"/>
        </w:rPr>
        <w:t xml:space="preserve">These results were similar in multivariable analysis (HR, </w:t>
      </w:r>
      <w:r>
        <w:rPr>
          <w:rFonts w:hint="default" w:ascii="Arial" w:hAnsi="Arial" w:cs="Arial"/>
          <w:color w:val="auto"/>
          <w:sz w:val="24"/>
          <w:szCs w:val="24"/>
          <w:highlight w:val="yellow"/>
          <w:lang w:val="en-US" w:eastAsia="zh-CN"/>
        </w:rPr>
        <w:t>1.0</w:t>
      </w:r>
      <w:r>
        <w:rPr>
          <w:rFonts w:hint="default" w:ascii="Arial" w:hAnsi="Arial" w:cs="Arial"/>
          <w:color w:val="auto"/>
          <w:sz w:val="24"/>
          <w:szCs w:val="24"/>
          <w:highlight w:val="yellow"/>
          <w:lang w:eastAsia="zh-CN"/>
        </w:rPr>
        <w:t>8</w:t>
      </w:r>
      <w:r>
        <w:rPr>
          <w:rFonts w:hint="default" w:ascii="Arial" w:hAnsi="Arial" w:cs="Arial"/>
          <w:color w:val="auto"/>
          <w:sz w:val="24"/>
          <w:szCs w:val="24"/>
          <w:highlight w:val="none"/>
          <w:lang w:val="en-US" w:eastAsia="zh-CN"/>
        </w:rPr>
        <w:t xml:space="preserve">; 95% CI, </w:t>
      </w:r>
      <w:r>
        <w:rPr>
          <w:rFonts w:hint="default" w:ascii="Arial" w:hAnsi="Arial" w:cs="Arial"/>
          <w:color w:val="auto"/>
          <w:sz w:val="24"/>
          <w:szCs w:val="24"/>
          <w:highlight w:val="yellow"/>
          <w:lang w:val="en-US" w:eastAsia="zh-CN"/>
        </w:rPr>
        <w:t>0.</w:t>
      </w:r>
      <w:r>
        <w:rPr>
          <w:rFonts w:hint="default" w:ascii="Arial" w:hAnsi="Arial" w:cs="Arial"/>
          <w:color w:val="auto"/>
          <w:sz w:val="24"/>
          <w:szCs w:val="24"/>
          <w:highlight w:val="yellow"/>
          <w:lang w:eastAsia="zh-CN"/>
        </w:rPr>
        <w:t>73</w:t>
      </w:r>
      <w:r>
        <w:rPr>
          <w:rFonts w:hint="default" w:ascii="Arial" w:hAnsi="Arial" w:cs="Arial"/>
          <w:color w:val="auto"/>
          <w:sz w:val="24"/>
          <w:szCs w:val="24"/>
          <w:highlight w:val="yellow"/>
          <w:lang w:val="en-US" w:eastAsia="zh-CN"/>
        </w:rPr>
        <w:t xml:space="preserve"> to 1.5</w:t>
      </w:r>
      <w:r>
        <w:rPr>
          <w:rFonts w:hint="default" w:ascii="Arial" w:hAnsi="Arial" w:cs="Arial"/>
          <w:color w:val="auto"/>
          <w:sz w:val="24"/>
          <w:szCs w:val="24"/>
          <w:highlight w:val="yellow"/>
          <w:lang w:eastAsia="zh-CN"/>
        </w:rPr>
        <w:t>9</w:t>
      </w:r>
      <w:r>
        <w:rPr>
          <w:rFonts w:hint="default" w:ascii="Arial" w:hAnsi="Arial" w:cs="Arial"/>
          <w:color w:val="auto"/>
          <w:sz w:val="24"/>
          <w:szCs w:val="24"/>
          <w:highlight w:val="yellow"/>
          <w:lang w:val="en-US" w:eastAsia="zh-CN"/>
        </w:rPr>
        <w:t>;</w:t>
      </w:r>
      <w:r>
        <w:rPr>
          <w:rFonts w:hint="default" w:ascii="Arial" w:hAnsi="Arial" w:cs="Arial"/>
          <w:color w:val="auto"/>
          <w:sz w:val="24"/>
          <w:szCs w:val="24"/>
          <w:highlight w:val="none"/>
          <w:lang w:val="en-US" w:eastAsia="zh-CN"/>
        </w:rPr>
        <w:t xml:space="preserve"> </w:t>
      </w:r>
      <w:r>
        <w:rPr>
          <w:rFonts w:hint="default" w:ascii="Arial" w:hAnsi="Arial" w:cs="Arial"/>
          <w:color w:val="auto"/>
          <w:sz w:val="24"/>
          <w:szCs w:val="24"/>
          <w:highlight w:val="yellow"/>
          <w:lang w:val="en-US" w:eastAsia="zh-CN"/>
        </w:rPr>
        <w:t>P=</w:t>
      </w:r>
      <w:r>
        <w:rPr>
          <w:rFonts w:hint="eastAsia" w:ascii="Arial" w:hAnsi="Arial" w:cs="Arial"/>
          <w:color w:val="auto"/>
          <w:sz w:val="24"/>
          <w:szCs w:val="24"/>
          <w:highlight w:val="yellow"/>
          <w:lang w:val="en-US" w:eastAsia="zh-CN"/>
        </w:rPr>
        <w:t>0</w:t>
      </w:r>
      <w:r>
        <w:rPr>
          <w:rFonts w:hint="default" w:ascii="Arial" w:hAnsi="Arial" w:cs="Arial"/>
          <w:color w:val="auto"/>
          <w:sz w:val="24"/>
          <w:szCs w:val="24"/>
          <w:highlight w:val="yellow"/>
          <w:lang w:val="en-US" w:eastAsia="zh-CN"/>
        </w:rPr>
        <w:t>.</w:t>
      </w:r>
      <w:r>
        <w:rPr>
          <w:rFonts w:hint="default" w:ascii="Arial" w:hAnsi="Arial" w:cs="Arial"/>
          <w:color w:val="auto"/>
          <w:sz w:val="24"/>
          <w:szCs w:val="24"/>
          <w:highlight w:val="yellow"/>
          <w:lang w:eastAsia="zh-CN"/>
        </w:rPr>
        <w:t>714</w:t>
      </w:r>
      <w:r>
        <w:rPr>
          <w:rFonts w:hint="default" w:ascii="Arial" w:hAnsi="Arial" w:cs="Arial"/>
          <w:color w:val="auto"/>
          <w:sz w:val="24"/>
          <w:szCs w:val="24"/>
          <w:highlight w:val="none"/>
          <w:lang w:val="en-US" w:eastAsia="zh-CN"/>
        </w:rPr>
        <w:t xml:space="preserve">; Table </w:t>
      </w:r>
      <w:r>
        <w:rPr>
          <w:rFonts w:hint="eastAsia" w:ascii="Arial" w:hAnsi="Arial" w:cs="Arial"/>
          <w:color w:val="auto"/>
          <w:sz w:val="24"/>
          <w:szCs w:val="24"/>
          <w:highlight w:val="none"/>
          <w:lang w:val="en-US" w:eastAsia="zh-CN"/>
        </w:rPr>
        <w:t>4</w:t>
      </w:r>
      <w:r>
        <w:rPr>
          <w:rFonts w:hint="default" w:ascii="Arial" w:hAnsi="Arial" w:cs="Arial"/>
          <w:color w:val="auto"/>
          <w:sz w:val="24"/>
          <w:szCs w:val="24"/>
          <w:highlight w:val="none"/>
          <w:lang w:val="en-US" w:eastAsia="zh-CN"/>
        </w:rPr>
        <w:t xml:space="preserve">). Univariate analysis and multivariable analysis demonstrated that estimated OS and GRFS at 3 years were also not different between those two conditioning regimens (Tables </w:t>
      </w:r>
      <w:r>
        <w:rPr>
          <w:rFonts w:hint="eastAsia" w:ascii="Arial" w:hAnsi="Arial" w:cs="Arial"/>
          <w:color w:val="auto"/>
          <w:sz w:val="24"/>
          <w:szCs w:val="24"/>
          <w:highlight w:val="none"/>
          <w:lang w:val="en-US" w:eastAsia="zh-CN"/>
        </w:rPr>
        <w:t>3</w:t>
      </w:r>
      <w:r>
        <w:rPr>
          <w:rFonts w:hint="default" w:ascii="Arial" w:hAnsi="Arial" w:cs="Arial"/>
          <w:color w:val="auto"/>
          <w:sz w:val="24"/>
          <w:szCs w:val="24"/>
          <w:highlight w:val="none"/>
          <w:lang w:val="en-US" w:eastAsia="zh-CN"/>
        </w:rPr>
        <w:t xml:space="preserve"> and </w:t>
      </w:r>
      <w:r>
        <w:rPr>
          <w:rFonts w:hint="eastAsia" w:ascii="Arial" w:hAnsi="Arial" w:cs="Arial"/>
          <w:color w:val="auto"/>
          <w:sz w:val="24"/>
          <w:szCs w:val="24"/>
          <w:highlight w:val="none"/>
          <w:lang w:val="en-US" w:eastAsia="zh-CN"/>
        </w:rPr>
        <w:t>4</w:t>
      </w:r>
      <w:r>
        <w:rPr>
          <w:rFonts w:hint="default" w:ascii="Arial" w:hAnsi="Arial" w:cs="Arial"/>
          <w:color w:val="auto"/>
          <w:sz w:val="24"/>
          <w:szCs w:val="24"/>
          <w:highlight w:val="none"/>
          <w:lang w:val="en-US" w:eastAsia="zh-CN"/>
        </w:rPr>
        <w:t>; figure 3A and 3C).</w:t>
      </w:r>
    </w:p>
    <w:p>
      <w:pPr>
        <w:widowControl w:val="0"/>
        <w:numPr>
          <w:ilvl w:val="0"/>
          <w:numId w:val="0"/>
        </w:numPr>
        <w:tabs>
          <w:tab w:val="left" w:pos="312"/>
        </w:tabs>
        <w:spacing w:line="480" w:lineRule="auto"/>
        <w:jc w:val="both"/>
        <w:rPr>
          <w:rFonts w:hint="default" w:ascii="Arial" w:hAnsi="Arial" w:cs="Arial"/>
          <w:b/>
          <w:bCs/>
          <w:color w:val="auto"/>
          <w:sz w:val="24"/>
          <w:szCs w:val="24"/>
          <w:lang w:val="en-US" w:eastAsia="zh-CN"/>
        </w:rPr>
      </w:pPr>
    </w:p>
    <w:p>
      <w:pPr>
        <w:widowControl w:val="0"/>
        <w:numPr>
          <w:ilvl w:val="0"/>
          <w:numId w:val="0"/>
        </w:numPr>
        <w:tabs>
          <w:tab w:val="left" w:pos="312"/>
        </w:tabs>
        <w:spacing w:line="480" w:lineRule="auto"/>
        <w:jc w:val="both"/>
        <w:rPr>
          <w:rFonts w:hint="default" w:ascii="Arial" w:hAnsi="Arial" w:cs="Arial"/>
          <w:b/>
          <w:bCs/>
          <w:color w:val="auto"/>
          <w:sz w:val="28"/>
          <w:szCs w:val="28"/>
          <w:lang w:val="en-US" w:eastAsia="zh-CN"/>
        </w:rPr>
      </w:pPr>
      <w:r>
        <w:rPr>
          <w:rFonts w:hint="default" w:ascii="Arial" w:hAnsi="Arial" w:cs="Arial"/>
          <w:b/>
          <w:bCs/>
          <w:color w:val="auto"/>
          <w:sz w:val="28"/>
          <w:szCs w:val="28"/>
          <w:lang w:val="en-US" w:eastAsia="zh-CN"/>
        </w:rPr>
        <w:t>Discussion</w:t>
      </w:r>
    </w:p>
    <w:p>
      <w:pPr>
        <w:numPr>
          <w:ilvl w:val="0"/>
          <w:numId w:val="0"/>
        </w:numPr>
        <w:spacing w:line="480" w:lineRule="auto"/>
        <w:jc w:val="both"/>
        <w:rPr>
          <w:rFonts w:hint="default" w:ascii="Arial" w:hAnsi="Arial" w:cs="Arial"/>
          <w:color w:val="auto"/>
          <w:sz w:val="24"/>
          <w:szCs w:val="24"/>
          <w:highlight w:val="none"/>
          <w:lang w:val="en-US" w:eastAsia="zh-CN"/>
        </w:rPr>
      </w:pPr>
    </w:p>
    <w:p>
      <w:pPr>
        <w:numPr>
          <w:ilvl w:val="0"/>
          <w:numId w:val="0"/>
        </w:numPr>
        <w:spacing w:line="480" w:lineRule="auto"/>
        <w:ind w:firstLine="240" w:firstLineChars="100"/>
        <w:jc w:val="both"/>
        <w:rPr>
          <w:rFonts w:hint="default" w:ascii="Arial" w:hAnsi="Arial" w:cs="Arial"/>
          <w:color w:val="auto"/>
          <w:sz w:val="24"/>
          <w:szCs w:val="24"/>
          <w:highlight w:val="none"/>
          <w:lang w:val="en-US" w:eastAsia="zh-CN"/>
        </w:rPr>
      </w:pPr>
      <w:r>
        <w:rPr>
          <w:rFonts w:hint="default" w:ascii="Arial" w:hAnsi="Arial" w:cs="Arial"/>
          <w:color w:val="auto"/>
          <w:sz w:val="24"/>
          <w:szCs w:val="24"/>
          <w:highlight w:val="none"/>
          <w:lang w:val="en-US" w:eastAsia="zh-CN"/>
        </w:rPr>
        <w:t>A number of retrospective and prospective studies revealed that Cy plus Bu or TBI can be regarded as cornerstone of myeloablative preparative regimens</w:t>
      </w:r>
      <w:r>
        <w:rPr>
          <w:rFonts w:hint="default" w:ascii="Arial" w:hAnsi="Arial" w:cs="Arial" w:eastAsiaTheme="minorEastAsia"/>
          <w:color w:val="auto"/>
          <w:sz w:val="24"/>
          <w:szCs w:val="24"/>
          <w:highlight w:val="none"/>
          <w:vertAlign w:val="superscript"/>
          <w:lang w:val="en-US" w:eastAsia="zh-CN"/>
        </w:rPr>
        <w:t>[13-15]</w:t>
      </w:r>
      <w:r>
        <w:rPr>
          <w:rFonts w:hint="default" w:ascii="Arial" w:hAnsi="Arial" w:cs="Arial"/>
          <w:color w:val="auto"/>
          <w:sz w:val="24"/>
          <w:szCs w:val="24"/>
          <w:highlight w:val="none"/>
          <w:lang w:val="en-US" w:eastAsia="zh-CN"/>
        </w:rPr>
        <w:t>. Those two schemes are also extensively applied in myeloablative conditioning for CBT patients, but few literatures are available on the comparison of them previously</w:t>
      </w:r>
      <w:r>
        <w:rPr>
          <w:rFonts w:hint="default" w:ascii="Arial" w:hAnsi="Arial" w:cs="Arial" w:eastAsiaTheme="minorEastAsia"/>
          <w:color w:val="auto"/>
          <w:sz w:val="24"/>
          <w:szCs w:val="24"/>
          <w:highlight w:val="none"/>
          <w:vertAlign w:val="superscript"/>
          <w:lang w:val="en-US" w:eastAsia="zh-CN"/>
        </w:rPr>
        <w:t>[16,18-20]</w:t>
      </w:r>
      <w:r>
        <w:rPr>
          <w:rFonts w:hint="default" w:ascii="Arial" w:hAnsi="Arial" w:cs="Arial"/>
          <w:color w:val="auto"/>
          <w:sz w:val="24"/>
          <w:szCs w:val="24"/>
          <w:highlight w:val="none"/>
          <w:lang w:val="en-US" w:eastAsia="zh-CN"/>
        </w:rPr>
        <w:t xml:space="preserve">. The present study was performed to retrospectively analysis the superiority following conditioning with IV Bu versus TBI in CBT recipients. </w:t>
      </w:r>
    </w:p>
    <w:p>
      <w:pPr>
        <w:numPr>
          <w:ilvl w:val="0"/>
          <w:numId w:val="0"/>
        </w:numPr>
        <w:spacing w:line="480" w:lineRule="auto"/>
        <w:ind w:firstLine="240" w:firstLineChars="100"/>
        <w:jc w:val="both"/>
        <w:rPr>
          <w:rFonts w:hint="default" w:ascii="Arial" w:hAnsi="Arial" w:cs="Arial"/>
          <w:color w:val="auto"/>
          <w:sz w:val="24"/>
          <w:szCs w:val="24"/>
          <w:highlight w:val="none"/>
          <w:lang w:val="en-US" w:eastAsia="zh-CN"/>
        </w:rPr>
      </w:pPr>
    </w:p>
    <w:p>
      <w:pPr>
        <w:spacing w:beforeLines="0" w:afterLines="0" w:line="480" w:lineRule="auto"/>
        <w:ind w:firstLine="240" w:firstLineChars="100"/>
        <w:jc w:val="both"/>
        <w:rPr>
          <w:rFonts w:hint="default" w:ascii="Arial" w:hAnsi="Arial" w:cs="Arial"/>
          <w:color w:val="auto"/>
          <w:sz w:val="24"/>
          <w:szCs w:val="24"/>
          <w:highlight w:val="none"/>
          <w:lang w:val="en-US" w:eastAsia="zh-CN"/>
        </w:rPr>
      </w:pPr>
      <w:r>
        <w:rPr>
          <w:rFonts w:hint="default" w:ascii="Arial" w:hAnsi="Arial" w:cs="Arial"/>
          <w:color w:val="auto"/>
          <w:sz w:val="24"/>
          <w:szCs w:val="24"/>
          <w:highlight w:val="none"/>
          <w:lang w:val="en-US" w:eastAsia="zh-CN"/>
        </w:rPr>
        <w:t>Due to heterogeneous patient characteristics and disease types, so much as the different resourse of stem cells and variation in dose of TBI and Bu, the available data of the superiority of those two regimens is still controversial. To minimize the variation, all patients eligibled to our study recieved fixed full-dose IV Bu or TBI combined with Cy as conditioning regimens. And the GVHD prophylaxis regimens were exactly the same. Because there’s still no consensus on target exposure lever and extent dose-adjustment of IV Bu, especially for pediatric patient</w:t>
      </w:r>
      <w:r>
        <w:rPr>
          <w:rFonts w:hint="default" w:ascii="Arial" w:hAnsi="Arial" w:cs="Arial" w:eastAsiaTheme="minorEastAsia"/>
          <w:color w:val="auto"/>
          <w:sz w:val="24"/>
          <w:szCs w:val="24"/>
          <w:highlight w:val="none"/>
          <w:vertAlign w:val="baseline"/>
          <w:lang w:val="en-US" w:eastAsia="zh-CN"/>
        </w:rPr>
        <w:t>s</w:t>
      </w:r>
      <w:r>
        <w:rPr>
          <w:rFonts w:hint="default" w:ascii="Arial" w:hAnsi="Arial" w:cs="Arial" w:eastAsiaTheme="minorEastAsia"/>
          <w:color w:val="auto"/>
          <w:sz w:val="24"/>
          <w:szCs w:val="24"/>
          <w:highlight w:val="none"/>
          <w:vertAlign w:val="superscript"/>
          <w:lang w:val="en-US" w:eastAsia="zh-CN"/>
        </w:rPr>
        <w:t>[13,</w:t>
      </w:r>
      <w:r>
        <w:rPr>
          <w:rFonts w:hint="default" w:ascii="Arial" w:hAnsi="Arial" w:cs="Arial" w:eastAsiaTheme="minorEastAsia"/>
          <w:color w:val="auto"/>
          <w:sz w:val="24"/>
          <w:szCs w:val="24"/>
          <w:highlight w:val="yellow"/>
          <w:vertAlign w:val="superscript"/>
          <w:lang w:val="en-US" w:eastAsia="zh-CN"/>
        </w:rPr>
        <w:t>2</w:t>
      </w:r>
      <w:r>
        <w:rPr>
          <w:rFonts w:hint="default" w:ascii="Arial" w:hAnsi="Arial" w:cs="Arial"/>
          <w:color w:val="auto"/>
          <w:sz w:val="24"/>
          <w:szCs w:val="24"/>
          <w:highlight w:val="yellow"/>
          <w:vertAlign w:val="superscript"/>
          <w:lang w:eastAsia="zh-CN"/>
        </w:rPr>
        <w:t>5</w:t>
      </w:r>
      <w:r>
        <w:rPr>
          <w:rFonts w:hint="default" w:ascii="Arial" w:hAnsi="Arial" w:cs="Arial" w:eastAsiaTheme="minorEastAsia"/>
          <w:color w:val="auto"/>
          <w:sz w:val="24"/>
          <w:szCs w:val="24"/>
          <w:highlight w:val="none"/>
          <w:vertAlign w:val="superscript"/>
          <w:lang w:val="en-US" w:eastAsia="zh-CN"/>
        </w:rPr>
        <w:t>]</w:t>
      </w:r>
      <w:r>
        <w:rPr>
          <w:rFonts w:hint="default" w:ascii="Arial" w:hAnsi="Arial" w:cs="Arial"/>
          <w:color w:val="auto"/>
          <w:sz w:val="24"/>
          <w:szCs w:val="24"/>
          <w:highlight w:val="none"/>
          <w:lang w:val="en-US" w:eastAsia="zh-CN"/>
        </w:rPr>
        <w:t>. Even the recommendation of dose-adjustment for pediatric are different in dispensatory from U.S. Food and Drug Administration (FDA) and European Medicinal Agency(EMA). So patients weigh less than 35 kilograms were excluded from the present study. Controversies have been raised about the outcomes of single and double CBT, patients</w:t>
      </w:r>
      <w:r>
        <w:rPr>
          <w:rFonts w:hint="default" w:ascii="Arial" w:hAnsi="Arial" w:cs="Arial"/>
          <w:color w:val="auto"/>
          <w:sz w:val="24"/>
          <w:szCs w:val="24"/>
          <w:highlight w:val="yellow"/>
          <w:lang w:val="en-US" w:eastAsia="zh-CN"/>
        </w:rPr>
        <w:t xml:space="preserve"> rece</w:t>
      </w:r>
      <w:r>
        <w:rPr>
          <w:rFonts w:hint="default" w:ascii="Arial" w:hAnsi="Arial" w:cs="Arial"/>
          <w:color w:val="auto"/>
          <w:sz w:val="24"/>
          <w:szCs w:val="24"/>
          <w:highlight w:val="yellow"/>
          <w:lang w:eastAsia="zh-CN"/>
        </w:rPr>
        <w:t>i</w:t>
      </w:r>
      <w:r>
        <w:rPr>
          <w:rFonts w:hint="default" w:ascii="Arial" w:hAnsi="Arial" w:cs="Arial"/>
          <w:color w:val="auto"/>
          <w:sz w:val="24"/>
          <w:szCs w:val="24"/>
          <w:highlight w:val="yellow"/>
          <w:lang w:val="en-US" w:eastAsia="zh-CN"/>
        </w:rPr>
        <w:t>ved</w:t>
      </w:r>
      <w:r>
        <w:rPr>
          <w:rFonts w:hint="default" w:ascii="Arial" w:hAnsi="Arial" w:cs="Arial"/>
          <w:color w:val="auto"/>
          <w:sz w:val="24"/>
          <w:szCs w:val="24"/>
          <w:highlight w:val="none"/>
          <w:lang w:val="en-US" w:eastAsia="zh-CN"/>
        </w:rPr>
        <w:t xml:space="preserve"> double CBT were also excluded from the present study</w:t>
      </w:r>
      <w:r>
        <w:rPr>
          <w:rFonts w:hint="default" w:ascii="Arial" w:hAnsi="Arial" w:cs="Arial" w:eastAsiaTheme="minorEastAsia"/>
          <w:color w:val="auto"/>
          <w:sz w:val="24"/>
          <w:szCs w:val="24"/>
          <w:highlight w:val="none"/>
          <w:vertAlign w:val="superscript"/>
          <w:lang w:val="en-US" w:eastAsia="zh-CN"/>
        </w:rPr>
        <w:t>[</w:t>
      </w:r>
      <w:r>
        <w:rPr>
          <w:rFonts w:hint="default" w:ascii="Arial" w:hAnsi="Arial" w:cs="Arial" w:eastAsiaTheme="minorEastAsia"/>
          <w:color w:val="auto"/>
          <w:sz w:val="24"/>
          <w:szCs w:val="24"/>
          <w:highlight w:val="yellow"/>
          <w:vertAlign w:val="superscript"/>
          <w:lang w:val="en-US" w:eastAsia="zh-CN"/>
        </w:rPr>
        <w:t>2</w:t>
      </w:r>
      <w:r>
        <w:rPr>
          <w:rFonts w:hint="default" w:ascii="Arial" w:hAnsi="Arial" w:cs="Arial"/>
          <w:color w:val="auto"/>
          <w:sz w:val="24"/>
          <w:szCs w:val="24"/>
          <w:highlight w:val="yellow"/>
          <w:vertAlign w:val="superscript"/>
          <w:lang w:eastAsia="zh-CN"/>
        </w:rPr>
        <w:t>6</w:t>
      </w:r>
      <w:r>
        <w:rPr>
          <w:rFonts w:hint="default" w:ascii="Arial" w:hAnsi="Arial" w:cs="Arial" w:eastAsiaTheme="minorEastAsia"/>
          <w:color w:val="auto"/>
          <w:sz w:val="24"/>
          <w:szCs w:val="24"/>
          <w:highlight w:val="yellow"/>
          <w:vertAlign w:val="superscript"/>
          <w:lang w:val="en-US" w:eastAsia="zh-CN"/>
        </w:rPr>
        <w:t>-2</w:t>
      </w:r>
      <w:r>
        <w:rPr>
          <w:rFonts w:hint="default" w:ascii="Arial" w:hAnsi="Arial" w:cs="Arial"/>
          <w:color w:val="auto"/>
          <w:sz w:val="24"/>
          <w:szCs w:val="24"/>
          <w:highlight w:val="yellow"/>
          <w:vertAlign w:val="superscript"/>
          <w:lang w:eastAsia="zh-CN"/>
        </w:rPr>
        <w:t>8</w:t>
      </w:r>
      <w:r>
        <w:rPr>
          <w:rFonts w:hint="default" w:ascii="Arial" w:hAnsi="Arial" w:cs="Arial" w:eastAsiaTheme="minorEastAsia"/>
          <w:color w:val="auto"/>
          <w:sz w:val="24"/>
          <w:szCs w:val="24"/>
          <w:highlight w:val="none"/>
          <w:vertAlign w:val="superscript"/>
          <w:lang w:val="en-US" w:eastAsia="zh-CN"/>
        </w:rPr>
        <w:t>]</w:t>
      </w:r>
      <w:r>
        <w:rPr>
          <w:rFonts w:hint="default" w:ascii="Arial" w:hAnsi="Arial" w:cs="Arial"/>
          <w:color w:val="auto"/>
          <w:sz w:val="24"/>
          <w:szCs w:val="24"/>
          <w:highlight w:val="none"/>
          <w:lang w:val="en-US" w:eastAsia="zh-CN"/>
        </w:rPr>
        <w:t>.</w:t>
      </w:r>
    </w:p>
    <w:p>
      <w:pPr>
        <w:spacing w:beforeLines="0" w:afterLines="0" w:line="480" w:lineRule="auto"/>
        <w:jc w:val="both"/>
        <w:rPr>
          <w:rFonts w:hint="default" w:ascii="Arial" w:hAnsi="Arial" w:cs="Arial"/>
          <w:color w:val="auto"/>
          <w:sz w:val="24"/>
          <w:szCs w:val="24"/>
          <w:highlight w:val="none"/>
          <w:lang w:val="en-US" w:eastAsia="zh-CN"/>
        </w:rPr>
      </w:pPr>
    </w:p>
    <w:p>
      <w:pPr>
        <w:spacing w:beforeLines="0" w:afterLines="0" w:line="480" w:lineRule="auto"/>
        <w:ind w:firstLine="240" w:firstLineChars="100"/>
        <w:jc w:val="both"/>
        <w:rPr>
          <w:rFonts w:hint="default" w:ascii="Arial" w:hAnsi="Arial" w:cs="Arial"/>
          <w:color w:val="auto"/>
          <w:sz w:val="24"/>
          <w:szCs w:val="24"/>
          <w:highlight w:val="none"/>
          <w:lang w:val="en-US" w:eastAsia="zh-CN"/>
        </w:rPr>
      </w:pPr>
      <w:r>
        <w:rPr>
          <w:rFonts w:hint="default" w:ascii="Arial" w:hAnsi="Arial" w:cs="Arial"/>
          <w:color w:val="auto"/>
          <w:sz w:val="24"/>
          <w:szCs w:val="24"/>
          <w:highlight w:val="none"/>
          <w:lang w:val="en-US" w:eastAsia="zh-CN"/>
        </w:rPr>
        <w:t>In this study, we observed that the median dose of infused total nucleated cells and CD34+ cells was significantly higher in the IV Bu cohort than that in the TBI cohort. However, the cumulative incidence of neutrophil engraftment was lower in IV Bu cohort by univariate analysis and multivariable analysis. Despite of high potential of engraftment, TBI based regimen always correlated with intensive myelosuppression. Consequently, delayed neutropil engraftment may result in fatal infection. Results of our study indicated that the median times to neutrophil engraftment were delayed in TBI cohort, and infection was the leading cause of death in TBI based regimen. Ultimately, although patients who received IV Bu/Cy had a lower incidence of neutrophil engraftment, there were no statistical difference in OS and DFS between two regimens. Different from other types of transplantation, limited to inadequate stem cell doses, CBT is accompanied by high frequency of graft failure and delayed hematopoietic engraftment</w:t>
      </w:r>
      <w:r>
        <w:rPr>
          <w:rFonts w:hint="default" w:ascii="Arial" w:hAnsi="Arial" w:cs="Arial" w:eastAsiaTheme="minorEastAsia"/>
          <w:color w:val="auto"/>
          <w:sz w:val="24"/>
          <w:szCs w:val="24"/>
          <w:highlight w:val="none"/>
          <w:vertAlign w:val="superscript"/>
          <w:lang w:val="en-US" w:eastAsia="zh-CN"/>
        </w:rPr>
        <w:t>[18,19,</w:t>
      </w:r>
      <w:r>
        <w:rPr>
          <w:rFonts w:hint="default" w:ascii="Arial" w:hAnsi="Arial" w:cs="Arial" w:eastAsiaTheme="minorEastAsia"/>
          <w:color w:val="auto"/>
          <w:sz w:val="24"/>
          <w:szCs w:val="24"/>
          <w:highlight w:val="yellow"/>
          <w:vertAlign w:val="superscript"/>
          <w:lang w:val="en-US" w:eastAsia="zh-CN"/>
        </w:rPr>
        <w:t>2</w:t>
      </w:r>
      <w:r>
        <w:rPr>
          <w:rFonts w:hint="default" w:ascii="Arial" w:hAnsi="Arial" w:cs="Arial"/>
          <w:color w:val="auto"/>
          <w:sz w:val="24"/>
          <w:szCs w:val="24"/>
          <w:highlight w:val="yellow"/>
          <w:vertAlign w:val="superscript"/>
          <w:lang w:eastAsia="zh-CN"/>
        </w:rPr>
        <w:t>9</w:t>
      </w:r>
      <w:r>
        <w:rPr>
          <w:rFonts w:hint="default" w:ascii="Arial" w:hAnsi="Arial" w:cs="Arial" w:eastAsiaTheme="minorEastAsia"/>
          <w:color w:val="auto"/>
          <w:sz w:val="24"/>
          <w:szCs w:val="24"/>
          <w:highlight w:val="yellow"/>
          <w:vertAlign w:val="superscript"/>
          <w:lang w:val="en-US" w:eastAsia="zh-CN"/>
        </w:rPr>
        <w:t>,</w:t>
      </w:r>
      <w:r>
        <w:rPr>
          <w:rFonts w:hint="default" w:ascii="Arial" w:hAnsi="Arial" w:cs="Arial"/>
          <w:color w:val="auto"/>
          <w:sz w:val="24"/>
          <w:szCs w:val="24"/>
          <w:highlight w:val="yellow"/>
          <w:vertAlign w:val="superscript"/>
          <w:lang w:eastAsia="zh-CN"/>
        </w:rPr>
        <w:t>30</w:t>
      </w:r>
      <w:r>
        <w:rPr>
          <w:rFonts w:hint="default" w:ascii="Arial" w:hAnsi="Arial" w:cs="Arial" w:eastAsiaTheme="minorEastAsia"/>
          <w:color w:val="auto"/>
          <w:sz w:val="24"/>
          <w:szCs w:val="24"/>
          <w:highlight w:val="none"/>
          <w:vertAlign w:val="superscript"/>
          <w:lang w:val="en-US" w:eastAsia="zh-CN"/>
        </w:rPr>
        <w:t>]</w:t>
      </w:r>
      <w:r>
        <w:rPr>
          <w:rFonts w:hint="default" w:ascii="Arial" w:hAnsi="Arial" w:cs="Arial"/>
          <w:color w:val="auto"/>
          <w:sz w:val="24"/>
          <w:szCs w:val="24"/>
          <w:highlight w:val="none"/>
          <w:lang w:val="en-US" w:eastAsia="zh-CN"/>
        </w:rPr>
        <w:t>. Originally, to overcome the HLA barrier and provide sufficient immunosuppressive and anti-malignancy activity, majority of CBT patients received conditioning with fractionated TBI</w:t>
      </w:r>
      <w:r>
        <w:rPr>
          <w:rFonts w:hint="default" w:ascii="Arial" w:hAnsi="Arial" w:cs="Arial" w:eastAsiaTheme="minorEastAsia"/>
          <w:color w:val="auto"/>
          <w:sz w:val="24"/>
          <w:szCs w:val="24"/>
          <w:highlight w:val="none"/>
          <w:vertAlign w:val="superscript"/>
          <w:lang w:val="en-US" w:eastAsia="zh-CN"/>
        </w:rPr>
        <w:t>[</w:t>
      </w:r>
      <w:r>
        <w:rPr>
          <w:rFonts w:hint="default" w:ascii="Arial" w:hAnsi="Arial" w:cs="Arial" w:eastAsiaTheme="minorEastAsia"/>
          <w:color w:val="auto"/>
          <w:sz w:val="24"/>
          <w:szCs w:val="24"/>
          <w:highlight w:val="yellow"/>
          <w:vertAlign w:val="superscript"/>
          <w:lang w:val="en-US" w:eastAsia="zh-CN"/>
        </w:rPr>
        <w:t>3</w:t>
      </w:r>
      <w:r>
        <w:rPr>
          <w:rFonts w:hint="default" w:ascii="Arial" w:hAnsi="Arial" w:cs="Arial"/>
          <w:color w:val="auto"/>
          <w:sz w:val="24"/>
          <w:szCs w:val="24"/>
          <w:highlight w:val="yellow"/>
          <w:vertAlign w:val="superscript"/>
          <w:lang w:eastAsia="zh-CN"/>
        </w:rPr>
        <w:t>1</w:t>
      </w:r>
      <w:r>
        <w:rPr>
          <w:rFonts w:hint="default" w:ascii="Arial" w:hAnsi="Arial" w:cs="Arial" w:eastAsiaTheme="minorEastAsia"/>
          <w:color w:val="auto"/>
          <w:sz w:val="24"/>
          <w:szCs w:val="24"/>
          <w:highlight w:val="none"/>
          <w:vertAlign w:val="superscript"/>
          <w:lang w:val="en-US" w:eastAsia="zh-CN"/>
        </w:rPr>
        <w:t>]</w:t>
      </w:r>
      <w:r>
        <w:rPr>
          <w:rFonts w:hint="default" w:ascii="Arial" w:hAnsi="Arial" w:cs="Arial"/>
          <w:color w:val="auto"/>
          <w:sz w:val="24"/>
          <w:szCs w:val="24"/>
          <w:highlight w:val="none"/>
          <w:lang w:val="en-US" w:eastAsia="zh-CN"/>
        </w:rPr>
        <w:t>. Our results suggested that IV Bu/Cy can also be efficiently used in patients undergoing CBT.</w:t>
      </w:r>
    </w:p>
    <w:p>
      <w:pPr>
        <w:spacing w:beforeLines="0" w:afterLines="0" w:line="480" w:lineRule="auto"/>
        <w:jc w:val="both"/>
        <w:rPr>
          <w:rFonts w:hint="default" w:ascii="Arial" w:hAnsi="Arial" w:cs="Arial"/>
          <w:color w:val="auto"/>
          <w:sz w:val="24"/>
          <w:szCs w:val="24"/>
          <w:highlight w:val="none"/>
          <w:lang w:val="en-US" w:eastAsia="zh-CN"/>
        </w:rPr>
      </w:pPr>
    </w:p>
    <w:p>
      <w:pPr>
        <w:spacing w:beforeLines="0" w:afterLines="0" w:line="480" w:lineRule="auto"/>
        <w:ind w:firstLine="240" w:firstLineChars="100"/>
        <w:jc w:val="both"/>
        <w:rPr>
          <w:rFonts w:hint="default" w:ascii="Arial" w:hAnsi="Arial" w:cs="Arial"/>
          <w:color w:val="auto"/>
          <w:sz w:val="24"/>
          <w:szCs w:val="24"/>
          <w:highlight w:val="none"/>
          <w:lang w:val="en-US" w:eastAsia="zh-CN"/>
        </w:rPr>
      </w:pPr>
      <w:r>
        <w:rPr>
          <w:rFonts w:hint="default" w:ascii="Arial" w:hAnsi="Arial" w:cs="Arial"/>
          <w:color w:val="auto"/>
          <w:sz w:val="24"/>
          <w:szCs w:val="24"/>
          <w:highlight w:val="none"/>
          <w:lang w:val="en-US" w:eastAsia="zh-CN"/>
        </w:rPr>
        <w:t xml:space="preserve">Limited to the short follow-up period, we can’t make a comprehensive assessment of the long-term side effects of these two schemes. As for transplantation-related toxicity, in univariate analysis, there was a tendency toward lower NRM in IV Bu/Cy. But adjusted for differences between both groups, multivariable analysis in our analysis showed similar NRM. The incidence of </w:t>
      </w:r>
      <w:r>
        <w:rPr>
          <w:rFonts w:hint="default" w:ascii="Arial" w:hAnsi="Arial" w:cs="Arial"/>
          <w:color w:val="auto"/>
          <w:sz w:val="24"/>
          <w:szCs w:val="24"/>
          <w:highlight w:val="none"/>
          <w:lang w:val="en-US" w:eastAsia="zh-CN"/>
        </w:rPr>
        <w:fldChar w:fldCharType="begin"/>
      </w:r>
      <w:r>
        <w:rPr>
          <w:rFonts w:hint="default" w:ascii="Arial" w:hAnsi="Arial" w:cs="Arial"/>
          <w:color w:val="auto"/>
          <w:sz w:val="24"/>
          <w:szCs w:val="24"/>
          <w:highlight w:val="none"/>
          <w:lang w:val="en-US" w:eastAsia="zh-CN"/>
        </w:rPr>
        <w:instrText xml:space="preserve"> HYPERLINK "https://www.ncbi.nlm.nih.gov/pubmed/29519713" </w:instrText>
      </w:r>
      <w:r>
        <w:rPr>
          <w:rFonts w:hint="default" w:ascii="Arial" w:hAnsi="Arial" w:cs="Arial"/>
          <w:color w:val="auto"/>
          <w:sz w:val="24"/>
          <w:szCs w:val="24"/>
          <w:highlight w:val="none"/>
          <w:lang w:val="en-US" w:eastAsia="zh-CN"/>
        </w:rPr>
        <w:fldChar w:fldCharType="separate"/>
      </w:r>
      <w:r>
        <w:rPr>
          <w:rFonts w:hint="default" w:ascii="Arial" w:hAnsi="Arial" w:cs="Arial"/>
          <w:color w:val="auto"/>
          <w:sz w:val="24"/>
          <w:szCs w:val="24"/>
          <w:highlight w:val="none"/>
          <w:lang w:val="en-US" w:eastAsia="zh-CN"/>
        </w:rPr>
        <w:t>sinusoidal obstruction syndrome/veno-occlusive disease</w:t>
      </w:r>
      <w:r>
        <w:rPr>
          <w:rFonts w:hint="default" w:ascii="Arial" w:hAnsi="Arial" w:cs="Arial"/>
          <w:color w:val="auto"/>
          <w:sz w:val="24"/>
          <w:szCs w:val="24"/>
          <w:highlight w:val="none"/>
          <w:lang w:val="en-US" w:eastAsia="zh-CN"/>
        </w:rPr>
        <w:fldChar w:fldCharType="end"/>
      </w:r>
    </w:p>
    <w:p>
      <w:pPr>
        <w:spacing w:beforeLines="0" w:afterLines="0" w:line="480" w:lineRule="auto"/>
        <w:jc w:val="both"/>
        <w:rPr>
          <w:rFonts w:hint="default" w:ascii="Arial" w:hAnsi="Arial" w:cs="Arial"/>
          <w:color w:val="auto"/>
          <w:sz w:val="24"/>
          <w:szCs w:val="24"/>
          <w:highlight w:val="none"/>
          <w:lang w:val="en-US" w:eastAsia="zh-CN"/>
        </w:rPr>
      </w:pPr>
      <w:r>
        <w:rPr>
          <w:rFonts w:hint="default" w:ascii="Arial" w:hAnsi="Arial" w:cs="Arial"/>
          <w:color w:val="auto"/>
          <w:sz w:val="24"/>
          <w:szCs w:val="24"/>
          <w:highlight w:val="none"/>
          <w:lang w:val="en-US" w:eastAsia="zh-CN"/>
        </w:rPr>
        <w:t>(SOS/VOD) was similar between two conditioning regimens in this study, and no patient developed severe SOS/VOD. The low incidence of severe SOS/VOD might be attributed to our prophylaxis protocol with low-dose heparin and PGE1</w:t>
      </w:r>
      <w:r>
        <w:rPr>
          <w:rFonts w:hint="default" w:ascii="Arial" w:hAnsi="Arial" w:cs="Arial" w:eastAsiaTheme="minorEastAsia"/>
          <w:color w:val="auto"/>
          <w:sz w:val="24"/>
          <w:szCs w:val="24"/>
          <w:highlight w:val="none"/>
          <w:vertAlign w:val="superscript"/>
          <w:lang w:val="en-US" w:eastAsia="zh-CN"/>
        </w:rPr>
        <w:t>[</w:t>
      </w:r>
      <w:r>
        <w:rPr>
          <w:rFonts w:hint="default" w:ascii="Arial" w:hAnsi="Arial" w:cs="Arial" w:eastAsiaTheme="minorEastAsia"/>
          <w:color w:val="auto"/>
          <w:sz w:val="24"/>
          <w:szCs w:val="24"/>
          <w:highlight w:val="yellow"/>
          <w:vertAlign w:val="superscript"/>
          <w:lang w:val="en-US" w:eastAsia="zh-CN"/>
        </w:rPr>
        <w:t>3</w:t>
      </w:r>
      <w:r>
        <w:rPr>
          <w:rFonts w:hint="default" w:ascii="Arial" w:hAnsi="Arial" w:cs="Arial"/>
          <w:color w:val="auto"/>
          <w:sz w:val="24"/>
          <w:szCs w:val="24"/>
          <w:highlight w:val="yellow"/>
          <w:vertAlign w:val="superscript"/>
          <w:lang w:eastAsia="zh-CN"/>
        </w:rPr>
        <w:t>2</w:t>
      </w:r>
      <w:r>
        <w:rPr>
          <w:rFonts w:hint="default" w:ascii="Arial" w:hAnsi="Arial" w:cs="Arial" w:eastAsiaTheme="minorEastAsia"/>
          <w:color w:val="auto"/>
          <w:sz w:val="24"/>
          <w:szCs w:val="24"/>
          <w:highlight w:val="yellow"/>
          <w:vertAlign w:val="superscript"/>
          <w:lang w:val="en-US" w:eastAsia="zh-CN"/>
        </w:rPr>
        <w:t>,3</w:t>
      </w:r>
      <w:r>
        <w:rPr>
          <w:rFonts w:hint="default" w:ascii="Arial" w:hAnsi="Arial" w:cs="Arial"/>
          <w:color w:val="auto"/>
          <w:sz w:val="24"/>
          <w:szCs w:val="24"/>
          <w:highlight w:val="yellow"/>
          <w:vertAlign w:val="superscript"/>
          <w:lang w:eastAsia="zh-CN"/>
        </w:rPr>
        <w:t>3</w:t>
      </w:r>
      <w:r>
        <w:rPr>
          <w:rFonts w:hint="default" w:ascii="Arial" w:hAnsi="Arial" w:cs="Arial"/>
          <w:color w:val="auto"/>
          <w:sz w:val="24"/>
          <w:szCs w:val="24"/>
          <w:highlight w:val="yellow"/>
          <w:vertAlign w:val="superscript"/>
          <w:lang w:val="en-US" w:eastAsia="zh-CN"/>
        </w:rPr>
        <w:t>]</w:t>
      </w:r>
      <w:r>
        <w:rPr>
          <w:rFonts w:hint="default" w:ascii="Arial" w:hAnsi="Arial" w:cs="Arial"/>
          <w:color w:val="auto"/>
          <w:sz w:val="24"/>
          <w:szCs w:val="24"/>
          <w:highlight w:val="none"/>
          <w:lang w:val="en-US" w:eastAsia="zh-CN"/>
        </w:rPr>
        <w:t>. There was also no consistent conclusion about the incidence of acute GVHD and chronic GVHD between two regimens</w:t>
      </w:r>
      <w:r>
        <w:rPr>
          <w:rFonts w:hint="default" w:ascii="Arial" w:hAnsi="Arial" w:cs="Arial" w:eastAsiaTheme="minorEastAsia"/>
          <w:color w:val="auto"/>
          <w:sz w:val="24"/>
          <w:szCs w:val="24"/>
          <w:highlight w:val="none"/>
          <w:vertAlign w:val="superscript"/>
          <w:lang w:val="en-US" w:eastAsia="zh-CN"/>
        </w:rPr>
        <w:t>[1,14,15]</w:t>
      </w:r>
      <w:r>
        <w:rPr>
          <w:rFonts w:hint="default" w:ascii="Arial" w:hAnsi="Arial" w:cs="Arial"/>
          <w:color w:val="auto"/>
          <w:sz w:val="24"/>
          <w:szCs w:val="24"/>
          <w:highlight w:val="none"/>
          <w:lang w:val="en-US" w:eastAsia="zh-CN"/>
        </w:rPr>
        <w:t xml:space="preserve">. In our patients undergoing CBT, no different frequencies of acute GVHD and chronic GVHD were observed in our study. </w:t>
      </w:r>
    </w:p>
    <w:p>
      <w:pPr>
        <w:spacing w:beforeLines="0" w:afterLines="0" w:line="480" w:lineRule="auto"/>
        <w:jc w:val="both"/>
        <w:rPr>
          <w:rFonts w:hint="default" w:ascii="Arial" w:hAnsi="Arial" w:cs="Arial"/>
          <w:color w:val="auto"/>
          <w:sz w:val="24"/>
          <w:szCs w:val="24"/>
          <w:highlight w:val="none"/>
          <w:lang w:val="en-US" w:eastAsia="zh-CN"/>
        </w:rPr>
      </w:pPr>
    </w:p>
    <w:p>
      <w:pPr>
        <w:spacing w:beforeLines="0" w:afterLines="0" w:line="480" w:lineRule="auto"/>
        <w:ind w:firstLine="240" w:firstLineChars="100"/>
        <w:jc w:val="both"/>
        <w:rPr>
          <w:rFonts w:hint="default" w:ascii="Arial" w:hAnsi="Arial" w:cs="Arial"/>
          <w:color w:val="auto"/>
          <w:sz w:val="24"/>
          <w:szCs w:val="24"/>
          <w:highlight w:val="none"/>
          <w:lang w:val="en-US" w:eastAsia="zh-CN"/>
        </w:rPr>
      </w:pPr>
      <w:r>
        <w:rPr>
          <w:rFonts w:hint="default" w:ascii="Arial" w:hAnsi="Arial" w:cs="Arial"/>
          <w:color w:val="auto"/>
          <w:sz w:val="24"/>
          <w:szCs w:val="24"/>
          <w:highlight w:val="none"/>
          <w:lang w:val="en-US" w:eastAsia="zh-CN"/>
        </w:rPr>
        <w:t>Previous comparative researches showed similar anti-malignancy effect of IV Bu and TBI in patients transplanted with other sources of stem cells</w:t>
      </w:r>
      <w:r>
        <w:rPr>
          <w:rFonts w:hint="default" w:ascii="Arial" w:hAnsi="Arial" w:cs="Arial" w:eastAsiaTheme="minorEastAsia"/>
          <w:color w:val="auto"/>
          <w:sz w:val="24"/>
          <w:szCs w:val="24"/>
          <w:highlight w:val="none"/>
          <w:vertAlign w:val="superscript"/>
          <w:lang w:val="en-US" w:eastAsia="zh-CN"/>
        </w:rPr>
        <w:t>[1,13-15]</w:t>
      </w:r>
      <w:r>
        <w:rPr>
          <w:rFonts w:hint="default" w:ascii="Arial" w:hAnsi="Arial" w:cs="Arial"/>
          <w:color w:val="auto"/>
          <w:sz w:val="24"/>
          <w:szCs w:val="24"/>
          <w:highlight w:val="none"/>
          <w:lang w:val="en-US" w:eastAsia="zh-CN"/>
        </w:rPr>
        <w:t xml:space="preserve">. Identical with those conclusions, there were no differences in relapse between those two conditioning regimens. Remarkably, we can find that 60(45.8%) patients in the Bu cohort and 83(41.5%) patients in the TBI cohort were diagnosised refactory or relapse acute leukemia at transplantation, the estimated 3 years relapse incidence were 15.5%(95% CI, 9.9%-22.3%) and 13.7%(95% CI, 9.3%-18.9%) in two cohorts, respectively. </w:t>
      </w:r>
    </w:p>
    <w:p>
      <w:pPr>
        <w:pStyle w:val="8"/>
        <w:keepNext w:val="0"/>
        <w:keepLines w:val="0"/>
        <w:widowControl/>
        <w:suppressLineNumbers w:val="0"/>
        <w:spacing w:line="480" w:lineRule="auto"/>
        <w:rPr>
          <w:rFonts w:hint="default" w:ascii="Arial" w:hAnsi="Arial" w:cs="Arial"/>
          <w:color w:val="auto"/>
          <w:sz w:val="24"/>
          <w:szCs w:val="24"/>
          <w:highlight w:val="yellow"/>
          <w:lang w:val="en-US" w:eastAsia="zh-CN"/>
        </w:rPr>
      </w:pPr>
      <w:r>
        <w:rPr>
          <w:rFonts w:hint="default" w:ascii="Arial" w:hAnsi="Arial" w:cs="Arial"/>
          <w:color w:val="auto"/>
          <w:sz w:val="24"/>
          <w:szCs w:val="24"/>
          <w:highlight w:val="yellow"/>
          <w:lang w:val="en-US" w:eastAsia="zh-CN"/>
        </w:rPr>
        <w:t>Although many factors in</w:t>
      </w:r>
      <w:r>
        <w:rPr>
          <w:rFonts w:hint="eastAsia" w:ascii="Arial" w:hAnsi="Arial" w:cs="Arial"/>
          <w:color w:val="auto"/>
          <w:sz w:val="24"/>
          <w:szCs w:val="24"/>
          <w:highlight w:val="yellow"/>
          <w:lang w:val="en-US" w:eastAsia="zh-CN"/>
        </w:rPr>
        <w:t>fl</w:t>
      </w:r>
      <w:r>
        <w:rPr>
          <w:rFonts w:hint="default" w:ascii="Arial" w:hAnsi="Arial" w:cs="Arial"/>
          <w:color w:val="auto"/>
          <w:sz w:val="24"/>
          <w:szCs w:val="24"/>
          <w:highlight w:val="yellow"/>
          <w:lang w:val="en-US" w:eastAsia="zh-CN"/>
        </w:rPr>
        <w:t>uence the outcome of HCT, disease type and status</w:t>
      </w:r>
      <w:r>
        <w:rPr>
          <w:rFonts w:hint="eastAsia" w:ascii="Arial" w:hAnsi="Arial" w:cs="Arial"/>
          <w:color w:val="auto"/>
          <w:sz w:val="24"/>
          <w:szCs w:val="24"/>
          <w:highlight w:val="yellow"/>
          <w:lang w:val="en-US" w:eastAsia="zh-CN"/>
        </w:rPr>
        <w:t xml:space="preserve"> </w:t>
      </w:r>
      <w:r>
        <w:rPr>
          <w:rFonts w:hint="default" w:ascii="Arial" w:hAnsi="Arial" w:cs="Arial"/>
          <w:color w:val="auto"/>
          <w:sz w:val="24"/>
          <w:szCs w:val="24"/>
          <w:highlight w:val="yellow"/>
          <w:lang w:val="en-US" w:eastAsia="zh-CN"/>
        </w:rPr>
        <w:t>at the time of transplantation are the strongest determinants of post-HCT survival. It is therefore essential to categorize patients by</w:t>
      </w:r>
      <w:r>
        <w:rPr>
          <w:rFonts w:hint="eastAsia" w:ascii="Arial" w:hAnsi="Arial" w:cs="Arial"/>
          <w:color w:val="auto"/>
          <w:sz w:val="24"/>
          <w:szCs w:val="24"/>
          <w:highlight w:val="yellow"/>
          <w:lang w:val="en-US" w:eastAsia="zh-CN"/>
        </w:rPr>
        <w:t xml:space="preserve"> </w:t>
      </w:r>
      <w:r>
        <w:rPr>
          <w:rFonts w:hint="default" w:ascii="Arial" w:hAnsi="Arial" w:cs="Arial"/>
          <w:color w:val="auto"/>
          <w:sz w:val="24"/>
          <w:szCs w:val="24"/>
          <w:highlight w:val="yellow"/>
          <w:lang w:val="en-US" w:eastAsia="zh-CN"/>
        </w:rPr>
        <w:t>disease risk in HCT studies. This is already feasible for other variables,</w:t>
      </w:r>
      <w:r>
        <w:rPr>
          <w:rFonts w:hint="eastAsia" w:ascii="Arial" w:hAnsi="Arial" w:cs="Arial"/>
          <w:color w:val="auto"/>
          <w:sz w:val="24"/>
          <w:szCs w:val="24"/>
          <w:highlight w:val="yellow"/>
          <w:lang w:val="en-US" w:eastAsia="zh-CN"/>
        </w:rPr>
        <w:t xml:space="preserve"> </w:t>
      </w:r>
      <w:r>
        <w:rPr>
          <w:rFonts w:hint="default" w:ascii="Arial" w:hAnsi="Arial" w:cs="Arial"/>
          <w:color w:val="auto"/>
          <w:sz w:val="24"/>
          <w:szCs w:val="24"/>
          <w:highlight w:val="yellow"/>
          <w:lang w:val="en-US" w:eastAsia="zh-CN"/>
        </w:rPr>
        <w:t>such as donor HLA match</w:t>
      </w:r>
      <w:r>
        <w:rPr>
          <w:rFonts w:hint="default" w:ascii="Arial" w:hAnsi="Arial" w:cs="Arial"/>
          <w:color w:val="auto"/>
          <w:sz w:val="24"/>
          <w:szCs w:val="24"/>
          <w:highlight w:val="yellow"/>
          <w:lang w:eastAsia="zh-CN"/>
        </w:rPr>
        <w:t xml:space="preserve"> </w:t>
      </w:r>
      <w:r>
        <w:rPr>
          <w:rFonts w:hint="default" w:ascii="Arial" w:hAnsi="Arial" w:cs="Arial"/>
          <w:color w:val="auto"/>
          <w:sz w:val="24"/>
          <w:szCs w:val="24"/>
          <w:highlight w:val="yellow"/>
          <w:lang w:val="en-US" w:eastAsia="zh-CN"/>
        </w:rPr>
        <w:t>or comorbidity burden.The</w:t>
      </w:r>
      <w:r>
        <w:rPr>
          <w:rFonts w:hint="eastAsia" w:ascii="Arial" w:hAnsi="Arial" w:cs="Arial"/>
          <w:color w:val="auto"/>
          <w:sz w:val="24"/>
          <w:szCs w:val="24"/>
          <w:highlight w:val="yellow"/>
          <w:lang w:val="en-US" w:eastAsia="zh-CN"/>
        </w:rPr>
        <w:t xml:space="preserve"> </w:t>
      </w:r>
      <w:r>
        <w:rPr>
          <w:rFonts w:hint="default" w:ascii="Arial" w:hAnsi="Arial" w:cs="Arial"/>
          <w:color w:val="auto"/>
          <w:sz w:val="24"/>
          <w:szCs w:val="24"/>
          <w:highlight w:val="yellow"/>
          <w:lang w:val="en-US" w:eastAsia="zh-CN"/>
        </w:rPr>
        <w:t>Disease Risk Index (DRI) was developed as a tool to assign patients</w:t>
      </w:r>
      <w:r>
        <w:rPr>
          <w:rFonts w:hint="eastAsia" w:ascii="Arial" w:hAnsi="Arial" w:cs="Arial"/>
          <w:color w:val="auto"/>
          <w:sz w:val="24"/>
          <w:szCs w:val="24"/>
          <w:highlight w:val="yellow"/>
          <w:lang w:val="en-US" w:eastAsia="zh-CN"/>
        </w:rPr>
        <w:t xml:space="preserve"> </w:t>
      </w:r>
      <w:r>
        <w:rPr>
          <w:rFonts w:hint="default" w:ascii="Arial" w:hAnsi="Arial" w:cs="Arial"/>
          <w:color w:val="auto"/>
          <w:sz w:val="24"/>
          <w:szCs w:val="24"/>
          <w:highlight w:val="yellow"/>
          <w:lang w:val="en-US" w:eastAsia="zh-CN"/>
        </w:rPr>
        <w:t>into one of 4 OS risk groups based on disease type</w:t>
      </w:r>
      <w:r>
        <w:rPr>
          <w:rFonts w:hint="eastAsia" w:ascii="Arial" w:hAnsi="Arial" w:cs="Arial"/>
          <w:color w:val="auto"/>
          <w:sz w:val="24"/>
          <w:szCs w:val="24"/>
          <w:highlight w:val="yellow"/>
          <w:lang w:val="en-US" w:eastAsia="zh-CN"/>
        </w:rPr>
        <w:t xml:space="preserve"> </w:t>
      </w:r>
      <w:r>
        <w:rPr>
          <w:rFonts w:hint="default" w:ascii="Arial" w:hAnsi="Arial" w:cs="Arial"/>
          <w:color w:val="auto"/>
          <w:sz w:val="24"/>
          <w:szCs w:val="24"/>
          <w:highlight w:val="yellow"/>
          <w:lang w:val="en-US" w:eastAsia="zh-CN"/>
        </w:rPr>
        <w:t>and status at the time of transplantation.This index was developed</w:t>
      </w:r>
      <w:r>
        <w:rPr>
          <w:rFonts w:hint="eastAsia" w:ascii="Arial" w:hAnsi="Arial" w:cs="Arial"/>
          <w:color w:val="auto"/>
          <w:sz w:val="24"/>
          <w:szCs w:val="24"/>
          <w:highlight w:val="yellow"/>
          <w:lang w:val="en-US" w:eastAsia="zh-CN"/>
        </w:rPr>
        <w:t xml:space="preserve"> </w:t>
      </w:r>
      <w:r>
        <w:rPr>
          <w:rFonts w:hint="default" w:ascii="Arial" w:hAnsi="Arial" w:cs="Arial"/>
          <w:color w:val="auto"/>
          <w:sz w:val="24"/>
          <w:szCs w:val="24"/>
          <w:highlight w:val="yellow"/>
          <w:lang w:val="en-US" w:eastAsia="zh-CN"/>
        </w:rPr>
        <w:t>by using a single-institution patient cohort and has since been successfully</w:t>
      </w:r>
      <w:r>
        <w:rPr>
          <w:rFonts w:hint="eastAsia" w:ascii="Arial" w:hAnsi="Arial" w:cs="Arial"/>
          <w:color w:val="auto"/>
          <w:sz w:val="24"/>
          <w:szCs w:val="24"/>
          <w:highlight w:val="yellow"/>
          <w:lang w:val="en-US" w:eastAsia="zh-CN"/>
        </w:rPr>
        <w:t xml:space="preserve"> </w:t>
      </w:r>
      <w:r>
        <w:rPr>
          <w:rFonts w:hint="default" w:ascii="Arial" w:hAnsi="Arial" w:cs="Arial"/>
          <w:color w:val="auto"/>
          <w:sz w:val="24"/>
          <w:szCs w:val="24"/>
          <w:highlight w:val="yellow"/>
          <w:lang w:val="en-US" w:eastAsia="zh-CN"/>
        </w:rPr>
        <w:t>applied in other studies</w:t>
      </w:r>
      <w:r>
        <w:rPr>
          <w:rFonts w:hint="default" w:ascii="Arial" w:hAnsi="Arial" w:cs="Arial"/>
          <w:color w:val="auto"/>
          <w:sz w:val="24"/>
          <w:szCs w:val="24"/>
          <w:highlight w:val="yellow"/>
          <w:vertAlign w:val="superscript"/>
          <w:lang w:eastAsia="zh-CN"/>
        </w:rPr>
        <w:t>[34]</w:t>
      </w:r>
      <w:r>
        <w:rPr>
          <w:rFonts w:hint="default" w:ascii="Arial" w:hAnsi="Arial" w:cs="Arial"/>
          <w:color w:val="auto"/>
          <w:sz w:val="24"/>
          <w:szCs w:val="24"/>
          <w:highlight w:val="yellow"/>
          <w:lang w:val="en-US" w:eastAsia="zh-CN"/>
        </w:rPr>
        <w:t>.</w:t>
      </w:r>
      <w:r>
        <w:rPr>
          <w:rFonts w:hint="default" w:ascii="Arial" w:hAnsi="Arial" w:cs="Arial"/>
          <w:color w:val="auto"/>
          <w:sz w:val="24"/>
          <w:szCs w:val="24"/>
          <w:highlight w:val="yellow"/>
          <w:lang w:eastAsia="zh-CN"/>
        </w:rPr>
        <w:t xml:space="preserve">In our cohort, we also found that </w:t>
      </w:r>
      <w:r>
        <w:rPr>
          <w:rFonts w:hint="default" w:ascii="Arial" w:hAnsi="Arial" w:cs="Arial"/>
          <w:color w:val="auto"/>
          <w:sz w:val="24"/>
          <w:szCs w:val="24"/>
          <w:highlight w:val="yellow"/>
          <w:lang w:val="en-US" w:eastAsia="zh-CN"/>
        </w:rPr>
        <w:t xml:space="preserve">DRI was </w:t>
      </w:r>
      <w:r>
        <w:rPr>
          <w:rFonts w:hint="default" w:ascii="Arial" w:hAnsi="Arial" w:cs="Arial"/>
          <w:color w:val="auto"/>
          <w:sz w:val="24"/>
          <w:szCs w:val="24"/>
          <w:highlight w:val="yellow"/>
          <w:lang w:eastAsia="zh-CN"/>
        </w:rPr>
        <w:t xml:space="preserve">strongly associated with 3-year relapse rate, OS,DFS and GRFS both </w:t>
      </w:r>
      <w:r>
        <w:rPr>
          <w:rFonts w:hint="default" w:ascii="Arial" w:hAnsi="Arial" w:cs="Arial"/>
          <w:color w:val="auto"/>
          <w:sz w:val="24"/>
          <w:szCs w:val="24"/>
          <w:highlight w:val="yellow"/>
          <w:lang w:val="en-US" w:eastAsia="zh-CN"/>
        </w:rPr>
        <w:t xml:space="preserve">in </w:t>
      </w:r>
      <w:r>
        <w:rPr>
          <w:rFonts w:hint="default" w:ascii="Arial" w:hAnsi="Arial" w:cs="Arial"/>
          <w:color w:val="auto"/>
          <w:sz w:val="24"/>
          <w:szCs w:val="24"/>
          <w:highlight w:val="yellow"/>
          <w:lang w:eastAsia="zh-CN"/>
        </w:rPr>
        <w:t>u</w:t>
      </w:r>
      <w:r>
        <w:rPr>
          <w:rFonts w:hint="default" w:ascii="Arial" w:hAnsi="Arial" w:cs="Arial"/>
          <w:color w:val="auto"/>
          <w:sz w:val="24"/>
          <w:szCs w:val="24"/>
          <w:highlight w:val="yellow"/>
          <w:lang w:val="en-US" w:eastAsia="zh-CN"/>
        </w:rPr>
        <w:t>nivariate</w:t>
      </w:r>
      <w:r>
        <w:rPr>
          <w:rFonts w:hint="default" w:ascii="Arial" w:hAnsi="Arial" w:cs="Arial"/>
          <w:color w:val="auto"/>
          <w:sz w:val="24"/>
          <w:szCs w:val="24"/>
          <w:highlight w:val="yellow"/>
          <w:lang w:eastAsia="zh-CN"/>
        </w:rPr>
        <w:t xml:space="preserve"> and </w:t>
      </w:r>
      <w:r>
        <w:rPr>
          <w:rFonts w:hint="default" w:ascii="Arial" w:hAnsi="Arial" w:cs="Arial"/>
          <w:color w:val="auto"/>
          <w:sz w:val="24"/>
          <w:szCs w:val="24"/>
          <w:highlight w:val="yellow"/>
          <w:lang w:val="en-US" w:eastAsia="zh-CN"/>
        </w:rPr>
        <w:t>multivariable modeling</w:t>
      </w:r>
      <w:r>
        <w:rPr>
          <w:rFonts w:hint="default" w:ascii="Arial" w:hAnsi="Arial" w:cs="Arial"/>
          <w:color w:val="auto"/>
          <w:sz w:val="24"/>
          <w:szCs w:val="24"/>
          <w:highlight w:val="yellow"/>
          <w:lang w:eastAsia="zh-CN"/>
        </w:rPr>
        <w:t>.</w:t>
      </w:r>
      <w:r>
        <w:rPr>
          <w:rFonts w:hint="default" w:ascii="Arial" w:hAnsi="Arial" w:cs="Arial"/>
          <w:color w:val="auto"/>
          <w:sz w:val="24"/>
          <w:szCs w:val="24"/>
          <w:highlight w:val="yellow"/>
          <w:lang w:val="en-US" w:eastAsia="zh-CN"/>
        </w:rPr>
        <w:t xml:space="preserve"> </w:t>
      </w:r>
    </w:p>
    <w:p>
      <w:pPr>
        <w:spacing w:beforeLines="0" w:afterLines="0"/>
        <w:jc w:val="left"/>
        <w:rPr>
          <w:rFonts w:hint="default" w:ascii="AdvOT3c2d9f11" w:hAnsi="AdvOT3c2d9f11" w:eastAsia="AdvOT3c2d9f11"/>
          <w:sz w:val="21"/>
          <w:szCs w:val="21"/>
          <w:lang w:val="en-US" w:eastAsia="zh-CN"/>
        </w:rPr>
      </w:pPr>
    </w:p>
    <w:p>
      <w:pPr>
        <w:spacing w:beforeLines="0" w:afterLines="0" w:line="480" w:lineRule="auto"/>
        <w:ind w:firstLine="240" w:firstLineChars="100"/>
        <w:jc w:val="both"/>
        <w:rPr>
          <w:rFonts w:hint="default" w:ascii="Arial" w:hAnsi="Arial" w:cs="Arial"/>
          <w:color w:val="auto"/>
          <w:sz w:val="24"/>
          <w:szCs w:val="24"/>
          <w:highlight w:val="none"/>
          <w:lang w:val="en-US" w:eastAsia="zh-CN"/>
        </w:rPr>
      </w:pPr>
      <w:r>
        <w:rPr>
          <w:rFonts w:hint="default" w:ascii="Arial" w:hAnsi="Arial" w:cs="Arial"/>
          <w:color w:val="auto"/>
          <w:sz w:val="24"/>
          <w:szCs w:val="24"/>
          <w:highlight w:val="none"/>
          <w:lang w:val="en-US" w:eastAsia="zh-CN"/>
        </w:rPr>
        <w:t>The low incidence of relapse in the study may not only be attributable to the myeloablative preparative regimens, the intrinsic graft versus leukemia effect of cord blood may play an important role in it.</w:t>
      </w:r>
    </w:p>
    <w:p>
      <w:pPr>
        <w:spacing w:beforeLines="0" w:afterLines="0" w:line="480" w:lineRule="auto"/>
        <w:jc w:val="both"/>
        <w:rPr>
          <w:rFonts w:hint="default" w:ascii="Arial" w:hAnsi="Arial" w:cs="Arial"/>
          <w:color w:val="auto"/>
          <w:sz w:val="24"/>
          <w:szCs w:val="24"/>
          <w:highlight w:val="none"/>
          <w:lang w:val="en-US" w:eastAsia="zh-CN"/>
        </w:rPr>
      </w:pPr>
    </w:p>
    <w:p>
      <w:pPr>
        <w:numPr>
          <w:ilvl w:val="0"/>
          <w:numId w:val="0"/>
        </w:numPr>
        <w:spacing w:line="480" w:lineRule="auto"/>
        <w:ind w:firstLine="240" w:firstLineChars="100"/>
        <w:jc w:val="both"/>
        <w:rPr>
          <w:rFonts w:hint="default" w:ascii="Arial" w:hAnsi="Arial" w:cs="Arial"/>
          <w:color w:val="auto"/>
          <w:sz w:val="24"/>
          <w:szCs w:val="24"/>
          <w:highlight w:val="yellow"/>
          <w:lang w:eastAsia="zh-CN"/>
        </w:rPr>
      </w:pPr>
      <w:r>
        <w:rPr>
          <w:rFonts w:hint="default" w:ascii="Arial" w:hAnsi="Arial" w:cs="Arial"/>
          <w:color w:val="auto"/>
          <w:sz w:val="24"/>
          <w:szCs w:val="24"/>
          <w:highlight w:val="none"/>
          <w:lang w:val="en-US" w:eastAsia="zh-CN"/>
        </w:rPr>
        <w:t xml:space="preserve">There was several limitations of the present study should be taken into consideration. Firstly, it is a retrospective study with inherent biases for patients selection and lack of randomization. </w:t>
      </w:r>
      <w:r>
        <w:rPr>
          <w:rFonts w:hint="default" w:ascii="Arial" w:hAnsi="Arial" w:cs="Arial"/>
          <w:color w:val="auto"/>
          <w:sz w:val="24"/>
          <w:szCs w:val="24"/>
          <w:highlight w:val="yellow"/>
          <w:lang w:val="en-US" w:eastAsia="zh-CN"/>
        </w:rPr>
        <w:t>Fu</w:t>
      </w:r>
      <w:r>
        <w:rPr>
          <w:rFonts w:hint="default" w:ascii="Arial" w:hAnsi="Arial" w:cs="Arial"/>
          <w:color w:val="auto"/>
          <w:sz w:val="24"/>
          <w:szCs w:val="24"/>
          <w:highlight w:val="yellow"/>
          <w:lang w:eastAsia="zh-CN"/>
        </w:rPr>
        <w:t>r</w:t>
      </w:r>
      <w:r>
        <w:rPr>
          <w:rFonts w:hint="default" w:ascii="Arial" w:hAnsi="Arial" w:cs="Arial"/>
          <w:color w:val="auto"/>
          <w:sz w:val="24"/>
          <w:szCs w:val="24"/>
          <w:highlight w:val="yellow"/>
          <w:lang w:val="en-US" w:eastAsia="zh-CN"/>
        </w:rPr>
        <w:t>ther</w:t>
      </w:r>
      <w:r>
        <w:rPr>
          <w:rFonts w:hint="default" w:ascii="Arial" w:hAnsi="Arial" w:cs="Arial"/>
          <w:color w:val="auto"/>
          <w:sz w:val="24"/>
          <w:szCs w:val="24"/>
          <w:highlight w:val="none"/>
          <w:lang w:val="en-US" w:eastAsia="zh-CN"/>
        </w:rPr>
        <w:t xml:space="preserve"> more, in China, more than 40% of the umbilical cord blood transplants were treated at a single center. And some centers used only one regimen bacause of lack of considerable technical requirements of TBI. Secondly, patients in IV Bu/Cy cohort was younger with less weigh than </w:t>
      </w:r>
      <w:r>
        <w:rPr>
          <w:rFonts w:hint="eastAsia" w:ascii="Arial" w:hAnsi="Arial" w:cs="Arial"/>
          <w:color w:val="auto"/>
          <w:sz w:val="24"/>
          <w:szCs w:val="24"/>
          <w:highlight w:val="none"/>
          <w:lang w:val="en-US" w:eastAsia="zh-CN"/>
        </w:rPr>
        <w:t>Cy/TBI</w:t>
      </w:r>
      <w:r>
        <w:rPr>
          <w:rFonts w:hint="default" w:ascii="Arial" w:hAnsi="Arial" w:cs="Arial"/>
          <w:color w:val="auto"/>
          <w:sz w:val="24"/>
          <w:szCs w:val="24"/>
          <w:highlight w:val="none"/>
          <w:lang w:val="en-US" w:eastAsia="zh-CN"/>
        </w:rPr>
        <w:t xml:space="preserve"> cohort, accompany with higher infused TNC, multivariate analyses have been performed to correct for these differences. But data on HCT-CI score of recipients was not available, therefore we can’t know if there was an imbalance between those two </w:t>
      </w:r>
      <w:r>
        <w:rPr>
          <w:rFonts w:hint="eastAsia" w:ascii="Arial" w:hAnsi="Arial" w:cs="Arial"/>
          <w:color w:val="auto"/>
          <w:sz w:val="24"/>
          <w:szCs w:val="24"/>
          <w:highlight w:val="none"/>
          <w:lang w:val="en-US" w:eastAsia="zh-CN"/>
        </w:rPr>
        <w:t>regimen</w:t>
      </w:r>
      <w:r>
        <w:rPr>
          <w:rFonts w:hint="default" w:ascii="Arial" w:hAnsi="Arial" w:cs="Arial"/>
          <w:color w:val="auto"/>
          <w:sz w:val="24"/>
          <w:szCs w:val="24"/>
          <w:highlight w:val="none"/>
          <w:lang w:val="en-US" w:eastAsia="zh-CN"/>
        </w:rPr>
        <w:t xml:space="preserve">s. </w:t>
      </w:r>
      <w:r>
        <w:rPr>
          <w:rFonts w:hint="default" w:ascii="Arial" w:hAnsi="Arial" w:cs="Arial"/>
          <w:color w:val="auto"/>
          <w:sz w:val="24"/>
          <w:szCs w:val="24"/>
          <w:highlight w:val="none"/>
          <w:lang w:eastAsia="zh-CN"/>
        </w:rPr>
        <w:t xml:space="preserve">Third, since </w:t>
      </w:r>
      <w:r>
        <w:rPr>
          <w:rFonts w:hint="eastAsia" w:ascii="Arial" w:hAnsi="Arial" w:cs="Arial"/>
          <w:color w:val="auto"/>
          <w:sz w:val="24"/>
          <w:szCs w:val="24"/>
          <w:highlight w:val="none"/>
          <w:lang w:val="en-US" w:eastAsia="zh-CN"/>
        </w:rPr>
        <w:t xml:space="preserve">BU was approved by SFDA of China later than </w:t>
      </w:r>
      <w:r>
        <w:rPr>
          <w:rFonts w:hint="default" w:ascii="Arial" w:hAnsi="Arial" w:cs="Arial"/>
          <w:color w:val="auto"/>
          <w:sz w:val="24"/>
          <w:szCs w:val="24"/>
          <w:highlight w:val="none"/>
          <w:lang w:eastAsia="zh-CN"/>
        </w:rPr>
        <w:t>many other countries and regions</w:t>
      </w:r>
      <w:r>
        <w:rPr>
          <w:rFonts w:hint="eastAsia" w:ascii="Arial" w:hAnsi="Arial" w:cs="Arial"/>
          <w:color w:val="auto"/>
          <w:sz w:val="24"/>
          <w:szCs w:val="24"/>
          <w:highlight w:val="none"/>
          <w:lang w:val="en-US" w:eastAsia="zh-CN"/>
        </w:rPr>
        <w:t>,</w:t>
      </w:r>
      <w:r>
        <w:rPr>
          <w:rFonts w:hint="default" w:ascii="Arial" w:hAnsi="Arial" w:cs="Arial"/>
          <w:color w:val="auto"/>
          <w:sz w:val="24"/>
          <w:szCs w:val="24"/>
          <w:highlight w:val="none"/>
          <w:lang w:eastAsia="zh-CN"/>
        </w:rPr>
        <w:t>the Bu based cohort has significantly shorter follow up than the TBI based regimen. In order to know whether year of UCBT had the impact on transplantation outcome, we compared transplantation results before 2014 and 2014 and beyond. U</w:t>
      </w:r>
      <w:r>
        <w:rPr>
          <w:rFonts w:hint="default" w:ascii="Arial" w:hAnsi="Arial" w:cs="Arial"/>
          <w:color w:val="auto"/>
          <w:sz w:val="24"/>
          <w:szCs w:val="24"/>
          <w:highlight w:val="yellow"/>
          <w:lang w:val="en-US" w:eastAsia="zh-CN"/>
        </w:rPr>
        <w:t>nivariat</w:t>
      </w:r>
      <w:r>
        <w:rPr>
          <w:rFonts w:hint="default" w:ascii="Arial" w:hAnsi="Arial" w:cs="Arial"/>
          <w:color w:val="auto"/>
          <w:sz w:val="24"/>
          <w:szCs w:val="24"/>
          <w:highlight w:val="yellow"/>
          <w:lang w:eastAsia="zh-CN"/>
        </w:rPr>
        <w:t>e analysis showed that the cumulative incidence of 3-year NRM was significantly lower in the year 2014 and beyond than before 2014(22</w:t>
      </w:r>
      <w:r>
        <w:rPr>
          <w:rFonts w:hint="eastAsia" w:ascii="Arial" w:hAnsi="Arial" w:cs="Arial"/>
          <w:color w:val="auto"/>
          <w:sz w:val="24"/>
          <w:szCs w:val="24"/>
          <w:highlight w:val="yellow"/>
          <w:lang w:val="en-US" w:eastAsia="zh-CN"/>
        </w:rPr>
        <w:t>.</w:t>
      </w:r>
      <w:r>
        <w:rPr>
          <w:rFonts w:hint="default" w:ascii="Arial" w:hAnsi="Arial" w:cs="Arial"/>
          <w:color w:val="auto"/>
          <w:sz w:val="24"/>
          <w:szCs w:val="24"/>
          <w:highlight w:val="yellow"/>
          <w:lang w:eastAsia="zh-CN"/>
        </w:rPr>
        <w:t>2% vs 33</w:t>
      </w:r>
      <w:r>
        <w:rPr>
          <w:rFonts w:hint="eastAsia" w:ascii="Arial" w:hAnsi="Arial" w:cs="Arial"/>
          <w:color w:val="auto"/>
          <w:sz w:val="24"/>
          <w:szCs w:val="24"/>
          <w:highlight w:val="yellow"/>
          <w:lang w:val="en-US" w:eastAsia="zh-CN"/>
        </w:rPr>
        <w:t>.</w:t>
      </w:r>
      <w:r>
        <w:rPr>
          <w:rFonts w:hint="default" w:ascii="Arial" w:hAnsi="Arial" w:cs="Arial"/>
          <w:color w:val="auto"/>
          <w:sz w:val="24"/>
          <w:szCs w:val="24"/>
          <w:highlight w:val="yellow"/>
          <w:lang w:eastAsia="zh-CN"/>
        </w:rPr>
        <w:t>3%, P=0.0484). But multivariate analysis did not show statistical difference.</w:t>
      </w:r>
    </w:p>
    <w:p>
      <w:pPr>
        <w:numPr>
          <w:ilvl w:val="0"/>
          <w:numId w:val="0"/>
        </w:numPr>
        <w:spacing w:line="480" w:lineRule="auto"/>
        <w:ind w:firstLine="240" w:firstLineChars="100"/>
        <w:jc w:val="both"/>
        <w:rPr>
          <w:rFonts w:hint="default" w:ascii="Arial" w:hAnsi="Arial" w:cs="Arial"/>
          <w:color w:val="auto"/>
          <w:sz w:val="24"/>
          <w:szCs w:val="24"/>
          <w:highlight w:val="yellow"/>
          <w:lang w:val="en-US" w:eastAsia="zh-CN"/>
        </w:rPr>
      </w:pPr>
    </w:p>
    <w:p>
      <w:pPr>
        <w:numPr>
          <w:ilvl w:val="0"/>
          <w:numId w:val="0"/>
        </w:numPr>
        <w:spacing w:line="480" w:lineRule="auto"/>
        <w:ind w:firstLine="360" w:firstLineChars="150"/>
        <w:jc w:val="both"/>
        <w:rPr>
          <w:rFonts w:hint="default" w:ascii="Arial" w:hAnsi="Arial" w:cs="Arial"/>
          <w:color w:val="auto"/>
          <w:sz w:val="24"/>
          <w:szCs w:val="24"/>
          <w:highlight w:val="none"/>
          <w:lang w:val="en-US" w:eastAsia="zh-CN"/>
        </w:rPr>
      </w:pPr>
      <w:r>
        <w:rPr>
          <w:rFonts w:hint="default" w:ascii="Arial" w:hAnsi="Arial" w:cs="Arial"/>
          <w:color w:val="auto"/>
          <w:sz w:val="24"/>
          <w:szCs w:val="24"/>
          <w:highlight w:val="none"/>
          <w:lang w:val="en-US" w:eastAsia="zh-CN"/>
        </w:rPr>
        <w:t xml:space="preserve">Finally, all patients were treated with identical full dose Bu or TBI and unified GVHD </w:t>
      </w:r>
      <w:r>
        <w:rPr>
          <w:rFonts w:hint="default" w:ascii="Arial" w:hAnsi="Arial" w:cs="Arial"/>
          <w:color w:val="auto"/>
          <w:sz w:val="24"/>
          <w:szCs w:val="24"/>
          <w:highlight w:val="none"/>
        </w:rPr>
        <w:t>prophylaxis</w:t>
      </w:r>
      <w:r>
        <w:rPr>
          <w:rFonts w:hint="default" w:ascii="Arial" w:hAnsi="Arial" w:cs="Arial"/>
          <w:color w:val="auto"/>
          <w:sz w:val="24"/>
          <w:szCs w:val="24"/>
          <w:highlight w:val="none"/>
          <w:lang w:val="en-US" w:eastAsia="zh-CN"/>
        </w:rPr>
        <w:t xml:space="preserve">. </w:t>
      </w:r>
      <w:r>
        <w:rPr>
          <w:rFonts w:hint="eastAsia" w:ascii="Arial" w:hAnsi="Arial" w:cs="Arial"/>
          <w:color w:val="auto"/>
          <w:sz w:val="24"/>
          <w:szCs w:val="24"/>
          <w:highlight w:val="none"/>
          <w:lang w:val="en-US" w:eastAsia="zh-CN"/>
        </w:rPr>
        <w:t>However</w:t>
      </w:r>
      <w:r>
        <w:rPr>
          <w:rFonts w:hint="default" w:ascii="Arial" w:hAnsi="Arial" w:cs="Arial"/>
          <w:color w:val="auto"/>
          <w:sz w:val="24"/>
          <w:szCs w:val="24"/>
          <w:highlight w:val="none"/>
          <w:lang w:val="en-US" w:eastAsia="zh-CN"/>
        </w:rPr>
        <w:t xml:space="preserve">, in </w:t>
      </w:r>
      <w:r>
        <w:rPr>
          <w:rFonts w:hint="eastAsia" w:ascii="Arial" w:hAnsi="Arial" w:cs="Arial"/>
          <w:color w:val="auto"/>
          <w:sz w:val="24"/>
          <w:szCs w:val="24"/>
          <w:highlight w:val="none"/>
          <w:lang w:val="en-US" w:eastAsia="zh-CN"/>
        </w:rPr>
        <w:t>Cy/TBI</w:t>
      </w:r>
      <w:r>
        <w:rPr>
          <w:rFonts w:hint="default" w:ascii="Arial" w:hAnsi="Arial" w:cs="Arial"/>
          <w:color w:val="auto"/>
          <w:sz w:val="24"/>
          <w:szCs w:val="24"/>
          <w:highlight w:val="none"/>
          <w:lang w:val="en-US" w:eastAsia="zh-CN"/>
        </w:rPr>
        <w:t xml:space="preserve"> cohort, all patients </w:t>
      </w:r>
      <w:r>
        <w:rPr>
          <w:rFonts w:hint="default" w:ascii="Arial" w:hAnsi="Arial" w:cs="Arial"/>
          <w:color w:val="auto"/>
          <w:sz w:val="24"/>
          <w:szCs w:val="24"/>
          <w:highlight w:val="yellow"/>
          <w:lang w:val="en-US" w:eastAsia="zh-CN"/>
        </w:rPr>
        <w:t>re</w:t>
      </w:r>
      <w:r>
        <w:rPr>
          <w:rFonts w:hint="default" w:ascii="Arial" w:hAnsi="Arial" w:cs="Arial"/>
          <w:color w:val="auto"/>
          <w:sz w:val="24"/>
          <w:szCs w:val="24"/>
          <w:highlight w:val="yellow"/>
          <w:lang w:eastAsia="zh-CN"/>
        </w:rPr>
        <w:t>c</w:t>
      </w:r>
      <w:r>
        <w:rPr>
          <w:rFonts w:hint="default" w:ascii="Arial" w:hAnsi="Arial" w:cs="Arial"/>
          <w:color w:val="auto"/>
          <w:sz w:val="24"/>
          <w:szCs w:val="24"/>
          <w:highlight w:val="yellow"/>
          <w:lang w:val="en-US" w:eastAsia="zh-CN"/>
        </w:rPr>
        <w:t>e</w:t>
      </w:r>
      <w:r>
        <w:rPr>
          <w:rFonts w:hint="default" w:ascii="Arial" w:hAnsi="Arial" w:cs="Arial"/>
          <w:color w:val="auto"/>
          <w:sz w:val="24"/>
          <w:szCs w:val="24"/>
          <w:highlight w:val="yellow"/>
          <w:lang w:eastAsia="zh-CN"/>
        </w:rPr>
        <w:t>i</w:t>
      </w:r>
      <w:r>
        <w:rPr>
          <w:rFonts w:hint="default" w:ascii="Arial" w:hAnsi="Arial" w:cs="Arial"/>
          <w:color w:val="auto"/>
          <w:sz w:val="24"/>
          <w:szCs w:val="24"/>
          <w:highlight w:val="yellow"/>
          <w:lang w:val="en-US" w:eastAsia="zh-CN"/>
        </w:rPr>
        <w:t>ved</w:t>
      </w:r>
      <w:r>
        <w:rPr>
          <w:rFonts w:hint="default" w:ascii="Arial" w:hAnsi="Arial" w:cs="Arial"/>
          <w:color w:val="auto"/>
          <w:sz w:val="24"/>
          <w:szCs w:val="24"/>
          <w:highlight w:val="none"/>
          <w:lang w:val="en-US" w:eastAsia="zh-CN"/>
        </w:rPr>
        <w:t xml:space="preserve"> </w:t>
      </w:r>
      <w:r>
        <w:rPr>
          <w:rFonts w:hint="eastAsia" w:ascii="Arial" w:hAnsi="Arial" w:cs="Arial"/>
          <w:color w:val="auto"/>
          <w:sz w:val="24"/>
          <w:szCs w:val="24"/>
          <w:highlight w:val="none"/>
          <w:lang w:val="en-US" w:eastAsia="zh-CN"/>
        </w:rPr>
        <w:t>h</w:t>
      </w:r>
      <w:r>
        <w:rPr>
          <w:rFonts w:hint="default" w:ascii="Arial" w:hAnsi="Arial" w:cs="Arial"/>
          <w:color w:val="auto"/>
          <w:sz w:val="24"/>
          <w:szCs w:val="24"/>
          <w:highlight w:val="none"/>
          <w:lang w:val="en-US" w:eastAsia="zh-CN"/>
        </w:rPr>
        <w:t>igh-dose</w:t>
      </w:r>
      <w:r>
        <w:rPr>
          <w:rFonts w:hint="eastAsia" w:ascii="Arial" w:hAnsi="Arial" w:cs="Arial"/>
          <w:color w:val="auto"/>
          <w:sz w:val="24"/>
          <w:szCs w:val="24"/>
          <w:highlight w:val="none"/>
          <w:lang w:val="en-US" w:eastAsia="zh-CN"/>
        </w:rPr>
        <w:t xml:space="preserve"> </w:t>
      </w:r>
      <w:r>
        <w:rPr>
          <w:rFonts w:hint="default" w:ascii="Arial" w:hAnsi="Arial" w:cs="Arial"/>
          <w:color w:val="auto"/>
          <w:sz w:val="24"/>
          <w:szCs w:val="24"/>
          <w:highlight w:val="none"/>
          <w:lang w:val="en-US" w:eastAsia="zh-CN"/>
        </w:rPr>
        <w:t xml:space="preserve">cytarabine as a third agent for conditioning. While in Bu/Cy cohort, 103(78.6%) and 28(21.4%) patients individually </w:t>
      </w:r>
      <w:r>
        <w:rPr>
          <w:rFonts w:hint="default" w:ascii="Arial" w:hAnsi="Arial" w:cs="Arial"/>
          <w:color w:val="auto"/>
          <w:sz w:val="24"/>
          <w:szCs w:val="24"/>
          <w:highlight w:val="yellow"/>
          <w:lang w:val="en-US" w:eastAsia="zh-CN"/>
        </w:rPr>
        <w:t>re</w:t>
      </w:r>
      <w:r>
        <w:rPr>
          <w:rFonts w:hint="default" w:ascii="Arial" w:hAnsi="Arial" w:cs="Arial"/>
          <w:color w:val="auto"/>
          <w:sz w:val="24"/>
          <w:szCs w:val="24"/>
          <w:highlight w:val="yellow"/>
          <w:lang w:eastAsia="zh-CN"/>
        </w:rPr>
        <w:t>c</w:t>
      </w:r>
      <w:r>
        <w:rPr>
          <w:rFonts w:hint="default" w:ascii="Arial" w:hAnsi="Arial" w:cs="Arial"/>
          <w:color w:val="auto"/>
          <w:sz w:val="24"/>
          <w:szCs w:val="24"/>
          <w:highlight w:val="yellow"/>
          <w:lang w:val="en-US" w:eastAsia="zh-CN"/>
        </w:rPr>
        <w:t>e</w:t>
      </w:r>
      <w:r>
        <w:rPr>
          <w:rFonts w:hint="default" w:ascii="Arial" w:hAnsi="Arial" w:cs="Arial"/>
          <w:color w:val="auto"/>
          <w:sz w:val="24"/>
          <w:szCs w:val="24"/>
          <w:highlight w:val="yellow"/>
          <w:lang w:eastAsia="zh-CN"/>
        </w:rPr>
        <w:t>i</w:t>
      </w:r>
      <w:r>
        <w:rPr>
          <w:rFonts w:hint="default" w:ascii="Arial" w:hAnsi="Arial" w:cs="Arial"/>
          <w:color w:val="auto"/>
          <w:sz w:val="24"/>
          <w:szCs w:val="24"/>
          <w:highlight w:val="yellow"/>
          <w:lang w:val="en-US" w:eastAsia="zh-CN"/>
        </w:rPr>
        <w:t>ved</w:t>
      </w:r>
      <w:r>
        <w:rPr>
          <w:rFonts w:hint="default" w:ascii="Arial" w:hAnsi="Arial" w:cs="Arial"/>
          <w:color w:val="auto"/>
          <w:sz w:val="24"/>
          <w:szCs w:val="24"/>
          <w:highlight w:val="none"/>
          <w:lang w:val="en-US" w:eastAsia="zh-CN"/>
        </w:rPr>
        <w:t xml:space="preserve"> fludarabine and </w:t>
      </w:r>
      <w:r>
        <w:rPr>
          <w:rFonts w:hint="eastAsia" w:ascii="Arial" w:hAnsi="Arial" w:cs="Arial"/>
          <w:color w:val="auto"/>
          <w:sz w:val="24"/>
          <w:szCs w:val="24"/>
          <w:highlight w:val="none"/>
          <w:lang w:val="en-US" w:eastAsia="zh-CN"/>
        </w:rPr>
        <w:t>h</w:t>
      </w:r>
      <w:r>
        <w:rPr>
          <w:rFonts w:hint="default" w:ascii="Arial" w:hAnsi="Arial" w:cs="Arial"/>
          <w:color w:val="auto"/>
          <w:sz w:val="24"/>
          <w:szCs w:val="24"/>
          <w:highlight w:val="none"/>
          <w:lang w:val="en-US" w:eastAsia="zh-CN"/>
        </w:rPr>
        <w:t>igh-dose</w:t>
      </w:r>
      <w:r>
        <w:rPr>
          <w:rFonts w:hint="eastAsia" w:ascii="Arial" w:hAnsi="Arial" w:cs="Arial"/>
          <w:color w:val="auto"/>
          <w:sz w:val="24"/>
          <w:szCs w:val="24"/>
          <w:highlight w:val="none"/>
          <w:lang w:val="en-US" w:eastAsia="zh-CN"/>
        </w:rPr>
        <w:t xml:space="preserve"> </w:t>
      </w:r>
      <w:r>
        <w:rPr>
          <w:rFonts w:hint="default" w:ascii="Arial" w:hAnsi="Arial" w:cs="Arial"/>
          <w:color w:val="auto"/>
          <w:sz w:val="24"/>
          <w:szCs w:val="24"/>
          <w:highlight w:val="none"/>
          <w:lang w:val="en-US" w:eastAsia="zh-CN"/>
        </w:rPr>
        <w:t>cytarabine.</w:t>
      </w:r>
    </w:p>
    <w:p>
      <w:pPr>
        <w:numPr>
          <w:ilvl w:val="0"/>
          <w:numId w:val="0"/>
        </w:numPr>
        <w:spacing w:line="480" w:lineRule="auto"/>
        <w:jc w:val="both"/>
        <w:rPr>
          <w:rFonts w:hint="default" w:ascii="Arial" w:hAnsi="Arial" w:cs="Arial"/>
          <w:color w:val="auto"/>
          <w:sz w:val="24"/>
          <w:szCs w:val="24"/>
          <w:highlight w:val="none"/>
          <w:lang w:val="en-US" w:eastAsia="zh-CN"/>
        </w:rPr>
      </w:pPr>
    </w:p>
    <w:p>
      <w:pPr>
        <w:numPr>
          <w:ilvl w:val="0"/>
          <w:numId w:val="0"/>
        </w:numPr>
        <w:spacing w:line="480" w:lineRule="auto"/>
        <w:ind w:firstLine="240" w:firstLineChars="100"/>
        <w:jc w:val="both"/>
        <w:rPr>
          <w:rFonts w:hint="default" w:ascii="Arial" w:hAnsi="Arial" w:cs="Arial"/>
          <w:color w:val="auto"/>
          <w:sz w:val="24"/>
          <w:szCs w:val="24"/>
          <w:lang w:val="en-US" w:eastAsia="zh-CN"/>
        </w:rPr>
      </w:pPr>
      <w:r>
        <w:rPr>
          <w:rFonts w:hint="default" w:ascii="Arial" w:hAnsi="Arial" w:cs="Arial"/>
          <w:color w:val="auto"/>
          <w:sz w:val="24"/>
          <w:szCs w:val="24"/>
          <w:highlight w:val="none"/>
          <w:lang w:val="en-US" w:eastAsia="zh-CN"/>
        </w:rPr>
        <w:t xml:space="preserve">In the absence of existing literature for direct comparison of BU and TBI-based myeloablative conditioning in patients undergoing CBT, our study may provide useful information to them. Our </w:t>
      </w:r>
      <w:r>
        <w:rPr>
          <w:rFonts w:hint="default" w:ascii="Arial" w:hAnsi="Arial" w:cs="Arial"/>
          <w:color w:val="auto"/>
          <w:sz w:val="24"/>
          <w:szCs w:val="24"/>
          <w:highlight w:val="yellow"/>
          <w:lang w:val="en-US" w:eastAsia="zh-CN"/>
        </w:rPr>
        <w:t>resu</w:t>
      </w:r>
      <w:r>
        <w:rPr>
          <w:rFonts w:hint="default" w:ascii="Arial" w:hAnsi="Arial" w:cs="Arial"/>
          <w:color w:val="auto"/>
          <w:sz w:val="24"/>
          <w:szCs w:val="24"/>
          <w:highlight w:val="yellow"/>
          <w:lang w:eastAsia="zh-CN"/>
        </w:rPr>
        <w:t>l</w:t>
      </w:r>
      <w:r>
        <w:rPr>
          <w:rFonts w:hint="default" w:ascii="Arial" w:hAnsi="Arial" w:cs="Arial"/>
          <w:color w:val="auto"/>
          <w:sz w:val="24"/>
          <w:szCs w:val="24"/>
          <w:highlight w:val="yellow"/>
          <w:lang w:val="en-US" w:eastAsia="zh-CN"/>
        </w:rPr>
        <w:t>ts</w:t>
      </w:r>
      <w:r>
        <w:rPr>
          <w:rFonts w:hint="default" w:ascii="Arial" w:hAnsi="Arial" w:cs="Arial"/>
          <w:color w:val="auto"/>
          <w:sz w:val="24"/>
          <w:szCs w:val="24"/>
          <w:highlight w:val="none"/>
          <w:lang w:val="en-US" w:eastAsia="zh-CN"/>
        </w:rPr>
        <w:t xml:space="preserve"> demonstrates that, compared with TBI, IV Bu regimen was associated with a higher incidence of graft rejection in CBT. But there was no difference in survival with no increased risk fo</w:t>
      </w:r>
      <w:r>
        <w:rPr>
          <w:rFonts w:hint="default" w:ascii="Arial" w:hAnsi="Arial" w:cs="Arial"/>
          <w:color w:val="auto"/>
          <w:sz w:val="24"/>
          <w:szCs w:val="24"/>
          <w:lang w:val="en-US" w:eastAsia="zh-CN"/>
        </w:rPr>
        <w:t xml:space="preserve">r NRM or relapse between two regimens. For those centers lack of radiation facilities, IV Bu may be a valid and efficient alternative to TBI. With the restriction of a retrospective registry analysis and limited patient munbers, rigorously designed prospective randomized controlled trials are needed to further investigated the availability of IV Bu and TBI for CBT. </w:t>
      </w:r>
    </w:p>
    <w:p>
      <w:pPr>
        <w:numPr>
          <w:ilvl w:val="0"/>
          <w:numId w:val="0"/>
        </w:numPr>
        <w:spacing w:line="480" w:lineRule="auto"/>
        <w:ind w:firstLine="240" w:firstLineChars="100"/>
        <w:jc w:val="both"/>
        <w:rPr>
          <w:rFonts w:hint="default" w:ascii="Arial" w:hAnsi="Arial" w:cs="Arial"/>
          <w:color w:val="auto"/>
          <w:sz w:val="24"/>
          <w:szCs w:val="24"/>
          <w:lang w:val="en-US" w:eastAsia="zh-CN"/>
        </w:rPr>
      </w:pPr>
    </w:p>
    <w:p>
      <w:pPr>
        <w:widowControl w:val="0"/>
        <w:numPr>
          <w:ilvl w:val="0"/>
          <w:numId w:val="0"/>
        </w:numPr>
        <w:tabs>
          <w:tab w:val="left" w:pos="312"/>
        </w:tabs>
        <w:spacing w:line="480" w:lineRule="auto"/>
        <w:jc w:val="both"/>
        <w:rPr>
          <w:rFonts w:hint="default" w:ascii="Arial" w:hAnsi="Arial" w:cs="Arial"/>
          <w:b/>
          <w:bCs/>
          <w:color w:val="auto"/>
          <w:sz w:val="24"/>
          <w:szCs w:val="24"/>
          <w:lang w:val="en-US" w:eastAsia="zh-CN"/>
        </w:rPr>
      </w:pPr>
      <w:r>
        <w:rPr>
          <w:rFonts w:hint="default" w:ascii="Arial" w:hAnsi="Arial" w:cs="Arial"/>
          <w:b/>
          <w:bCs/>
          <w:color w:val="auto"/>
          <w:sz w:val="24"/>
          <w:szCs w:val="24"/>
          <w:lang w:val="en-US" w:eastAsia="zh-CN"/>
        </w:rPr>
        <w:t>Acknowledgments</w:t>
      </w:r>
    </w:p>
    <w:p>
      <w:pPr>
        <w:widowControl w:val="0"/>
        <w:numPr>
          <w:ilvl w:val="0"/>
          <w:numId w:val="0"/>
        </w:numPr>
        <w:tabs>
          <w:tab w:val="left" w:pos="312"/>
        </w:tabs>
        <w:spacing w:line="480" w:lineRule="auto"/>
        <w:jc w:val="both"/>
        <w:rPr>
          <w:rFonts w:hint="default" w:ascii="Arial" w:hAnsi="Arial" w:eastAsia="宋体" w:cs="Arial"/>
          <w:b w:val="0"/>
          <w:bCs/>
          <w:color w:val="auto"/>
          <w:sz w:val="24"/>
          <w:szCs w:val="24"/>
          <w:highlight w:val="none"/>
          <w:lang w:val="en-US" w:eastAsia="zh-CN"/>
        </w:rPr>
      </w:pPr>
      <w:r>
        <w:rPr>
          <w:rFonts w:hint="default" w:ascii="Arial" w:hAnsi="Arial" w:cs="Arial"/>
          <w:b w:val="0"/>
          <w:bCs w:val="0"/>
          <w:color w:val="auto"/>
          <w:sz w:val="24"/>
          <w:szCs w:val="24"/>
          <w:lang w:val="en-US" w:eastAsia="zh-CN"/>
        </w:rPr>
        <w:t>We thank all China Umbilical Cord Blood Transplantation Cooperation centers and national registries for contributing patients to the study and data managers for their superb work. This work was supported by grants from the National Natural Science Foundation of China (No.81670165 and 81470350).</w:t>
      </w:r>
    </w:p>
    <w:p>
      <w:pPr>
        <w:widowControl w:val="0"/>
        <w:numPr>
          <w:ilvl w:val="0"/>
          <w:numId w:val="0"/>
        </w:numPr>
        <w:tabs>
          <w:tab w:val="left" w:pos="312"/>
        </w:tabs>
        <w:spacing w:line="480" w:lineRule="auto"/>
        <w:jc w:val="both"/>
        <w:rPr>
          <w:rFonts w:hint="default" w:ascii="Arial" w:hAnsi="Arial" w:cs="Arial"/>
          <w:b/>
          <w:bCs/>
          <w:color w:val="auto"/>
          <w:sz w:val="24"/>
          <w:szCs w:val="24"/>
          <w:lang w:val="en-US" w:eastAsia="zh-CN"/>
        </w:rPr>
      </w:pPr>
    </w:p>
    <w:p>
      <w:pPr>
        <w:widowControl w:val="0"/>
        <w:numPr>
          <w:ilvl w:val="0"/>
          <w:numId w:val="0"/>
        </w:numPr>
        <w:tabs>
          <w:tab w:val="left" w:pos="312"/>
        </w:tabs>
        <w:spacing w:line="480" w:lineRule="auto"/>
        <w:jc w:val="both"/>
        <w:rPr>
          <w:rFonts w:hint="default" w:ascii="Arial" w:hAnsi="Arial" w:cs="Arial"/>
          <w:b/>
          <w:bCs/>
          <w:color w:val="auto"/>
          <w:sz w:val="28"/>
          <w:szCs w:val="28"/>
          <w:lang w:val="en-US" w:eastAsia="zh-CN"/>
        </w:rPr>
      </w:pPr>
      <w:r>
        <w:rPr>
          <w:rFonts w:hint="default" w:ascii="Arial" w:hAnsi="Arial" w:cs="Arial"/>
          <w:b/>
          <w:bCs/>
          <w:color w:val="auto"/>
          <w:sz w:val="28"/>
          <w:szCs w:val="28"/>
          <w:lang w:val="en-US" w:eastAsia="zh-CN"/>
        </w:rPr>
        <w:t>Compliance with ethical standards</w:t>
      </w:r>
    </w:p>
    <w:p>
      <w:pPr>
        <w:widowControl w:val="0"/>
        <w:numPr>
          <w:ilvl w:val="0"/>
          <w:numId w:val="0"/>
        </w:numPr>
        <w:tabs>
          <w:tab w:val="left" w:pos="312"/>
        </w:tabs>
        <w:spacing w:line="480" w:lineRule="auto"/>
        <w:jc w:val="both"/>
        <w:rPr>
          <w:rFonts w:hint="eastAsia" w:ascii="Arial" w:hAnsi="Arial" w:cs="Arial"/>
          <w:b/>
          <w:bCs/>
          <w:color w:val="auto"/>
          <w:sz w:val="24"/>
          <w:szCs w:val="24"/>
          <w:lang w:val="en-US" w:eastAsia="zh-CN"/>
        </w:rPr>
      </w:pPr>
      <w:r>
        <w:rPr>
          <w:rFonts w:hint="default" w:ascii="Arial" w:hAnsi="Arial" w:cs="Arial"/>
          <w:b/>
          <w:bCs/>
          <w:color w:val="auto"/>
          <w:sz w:val="24"/>
          <w:szCs w:val="24"/>
          <w:lang w:val="en-US" w:eastAsia="zh-CN"/>
        </w:rPr>
        <w:t>Con</w:t>
      </w:r>
      <w:r>
        <w:rPr>
          <w:rFonts w:hint="eastAsia" w:ascii="Arial" w:hAnsi="Arial" w:cs="Arial"/>
          <w:b/>
          <w:bCs/>
          <w:color w:val="auto"/>
          <w:sz w:val="24"/>
          <w:szCs w:val="24"/>
          <w:lang w:val="en-US" w:eastAsia="zh-CN"/>
        </w:rPr>
        <w:t>fl</w:t>
      </w:r>
      <w:r>
        <w:rPr>
          <w:rFonts w:hint="default" w:ascii="Arial" w:hAnsi="Arial" w:cs="Arial"/>
          <w:b/>
          <w:bCs/>
          <w:color w:val="auto"/>
          <w:sz w:val="24"/>
          <w:szCs w:val="24"/>
          <w:lang w:val="en-US" w:eastAsia="zh-CN"/>
        </w:rPr>
        <w:t>ict-of-interest disclosure</w:t>
      </w:r>
      <w:r>
        <w:rPr>
          <w:rFonts w:hint="eastAsia" w:ascii="Arial" w:hAnsi="Arial" w:cs="Arial"/>
          <w:b/>
          <w:bCs/>
          <w:color w:val="auto"/>
          <w:sz w:val="24"/>
          <w:szCs w:val="24"/>
          <w:lang w:val="en-US" w:eastAsia="zh-CN"/>
        </w:rPr>
        <w:t xml:space="preserve"> </w:t>
      </w:r>
    </w:p>
    <w:p>
      <w:pPr>
        <w:widowControl w:val="0"/>
        <w:numPr>
          <w:ilvl w:val="0"/>
          <w:numId w:val="0"/>
        </w:numPr>
        <w:tabs>
          <w:tab w:val="left" w:pos="312"/>
        </w:tabs>
        <w:spacing w:line="480" w:lineRule="auto"/>
        <w:jc w:val="both"/>
        <w:rPr>
          <w:rFonts w:hint="default" w:ascii="Arial" w:hAnsi="Arial" w:cs="Arial"/>
          <w:b w:val="0"/>
          <w:bCs w:val="0"/>
          <w:color w:val="auto"/>
          <w:sz w:val="24"/>
          <w:szCs w:val="24"/>
          <w:lang w:val="en-US" w:eastAsia="zh-CN"/>
        </w:rPr>
      </w:pPr>
      <w:r>
        <w:rPr>
          <w:rFonts w:hint="default" w:ascii="Arial" w:hAnsi="Arial" w:cs="Arial"/>
          <w:b w:val="0"/>
          <w:bCs w:val="0"/>
          <w:color w:val="auto"/>
          <w:sz w:val="24"/>
          <w:szCs w:val="24"/>
          <w:lang w:val="en-US" w:eastAsia="zh-CN"/>
        </w:rPr>
        <w:t>The authors declare no competing</w:t>
      </w:r>
      <w:r>
        <w:rPr>
          <w:rFonts w:hint="eastAsia" w:ascii="Arial" w:hAnsi="Arial" w:cs="Arial"/>
          <w:b w:val="0"/>
          <w:bCs w:val="0"/>
          <w:color w:val="auto"/>
          <w:sz w:val="24"/>
          <w:szCs w:val="24"/>
          <w:lang w:val="en-US" w:eastAsia="zh-CN"/>
        </w:rPr>
        <w:t xml:space="preserve"> fi</w:t>
      </w:r>
      <w:r>
        <w:rPr>
          <w:rFonts w:hint="default" w:ascii="Arial" w:hAnsi="Arial" w:cs="Arial"/>
          <w:b w:val="0"/>
          <w:bCs w:val="0"/>
          <w:color w:val="auto"/>
          <w:sz w:val="24"/>
          <w:szCs w:val="24"/>
          <w:lang w:val="en-US" w:eastAsia="zh-CN"/>
        </w:rPr>
        <w:t>nancial interests.</w:t>
      </w:r>
    </w:p>
    <w:p>
      <w:pPr>
        <w:spacing w:beforeLines="0" w:afterLines="0" w:line="480" w:lineRule="auto"/>
        <w:jc w:val="left"/>
        <w:rPr>
          <w:rFonts w:hint="default" w:ascii="Arial" w:hAnsi="Arial" w:eastAsia="宋体" w:cs="Arial"/>
          <w:b w:val="0"/>
          <w:bCs/>
          <w:color w:val="auto"/>
          <w:sz w:val="21"/>
          <w:szCs w:val="21"/>
          <w:lang w:val="en-US" w:eastAsia="zh-CN"/>
        </w:rPr>
      </w:pPr>
    </w:p>
    <w:p>
      <w:pPr>
        <w:spacing w:line="480" w:lineRule="auto"/>
        <w:jc w:val="center"/>
        <w:rPr>
          <w:rFonts w:hint="default" w:ascii="Arial" w:hAnsi="Arial" w:eastAsia="宋体" w:cs="Arial"/>
          <w:b w:val="0"/>
          <w:bCs/>
          <w:color w:val="auto"/>
          <w:sz w:val="21"/>
          <w:szCs w:val="21"/>
          <w:lang w:val="en-US" w:eastAsia="zh-CN"/>
        </w:rPr>
      </w:pPr>
      <w:bookmarkStart w:id="0" w:name="_GoBack"/>
      <w:bookmarkEnd w:id="0"/>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00000000" w:usb1="00000000" w:usb2="00000000" w:usb3="00000000" w:csb0="00000000"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3">
    <w:altName w:val="Nanum Brush Script"/>
    <w:panose1 w:val="00000000000000000000"/>
    <w:charset w:val="80"/>
    <w:family w:val="swiss"/>
    <w:pitch w:val="default"/>
    <w:sig w:usb0="00000000" w:usb1="00000000" w:usb2="00000000" w:usb3="00000000" w:csb0="00020000" w:csb1="00000000"/>
  </w:font>
  <w:font w:name="AdvPS6EC0">
    <w:altName w:val="苹方-简"/>
    <w:panose1 w:val="00000000000000000000"/>
    <w:charset w:val="00"/>
    <w:family w:val="swiss"/>
    <w:pitch w:val="default"/>
    <w:sig w:usb0="00000000" w:usb1="00000000" w:usb2="00000000" w:usb3="00000000" w:csb0="00000001" w:csb1="00000000"/>
  </w:font>
  <w:font w:name="Yu Gothic">
    <w:altName w:val="Nanum Myeongjo"/>
    <w:panose1 w:val="020B0400000000000000"/>
    <w:charset w:val="80"/>
    <w:family w:val="auto"/>
    <w:pitch w:val="default"/>
    <w:sig w:usb0="00000000" w:usb1="00000000" w:usb2="00000016" w:usb3="00000000" w:csb0="2002009F" w:csb1="00000000"/>
  </w:font>
  <w:font w:name="Segoe Print">
    <w:altName w:val="苹方-简"/>
    <w:panose1 w:val="02000600000000000000"/>
    <w:charset w:val="00"/>
    <w:family w:val="auto"/>
    <w:pitch w:val="default"/>
    <w:sig w:usb0="00000000" w:usb1="00000000" w:usb2="00000000" w:usb3="00000000" w:csb0="2000009F" w:csb1="47010000"/>
  </w:font>
  <w:font w:name="AdvOT3c2d9f11">
    <w:altName w:val="苹方-简"/>
    <w:panose1 w:val="00000000000000000000"/>
    <w:charset w:val="00"/>
    <w:family w:val="roman"/>
    <w:pitch w:val="default"/>
    <w:sig w:usb0="00000000" w:usb1="00000000" w:usb2="00000000" w:usb3="00000000" w:csb0="00000001" w:csb1="00000000"/>
  </w:font>
  <w:font w:name="AdvOT3c2d9f11+fb">
    <w:altName w:val="苹方-简"/>
    <w:panose1 w:val="00000000000000000000"/>
    <w:charset w:val="86"/>
    <w:family w:val="auto"/>
    <w:pitch w:val="default"/>
    <w:sig w:usb0="00000000" w:usb1="00000000" w:usb2="00000000" w:usb3="00000000" w:csb0="00040000" w:csb1="00000000"/>
  </w:font>
  <w:font w:name="Arial">
    <w:panose1 w:val="020B0604020202020204"/>
    <w:charset w:val="00"/>
    <w:family w:val="auto"/>
    <w:pitch w:val="default"/>
    <w:sig w:usb0="00000000" w:usb1="00000000" w:usb2="00000000" w:usb3="00000000" w:csb0="00000000" w:csb1="00000000"/>
  </w:font>
  <w:font w:name="AdvOTd40fda3b.B">
    <w:altName w:val="苹方-简"/>
    <w:panose1 w:val="00000000000000000000"/>
    <w:charset w:val="00"/>
    <w:family w:val="roman"/>
    <w:pitch w:val="default"/>
    <w:sig w:usb0="00000000" w:usb1="00000000" w:usb2="00000000" w:usb3="00000000" w:csb0="00000001"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Nanum Brush Script">
    <w:panose1 w:val="03060600000000000000"/>
    <w:charset w:val="80"/>
    <w:family w:val="auto"/>
    <w:pitch w:val="default"/>
    <w:sig w:usb0="00000000" w:usb1="00000000" w:usb2="00000000" w:usb3="00000000" w:csb0="002A0000" w:csb1="00000000"/>
  </w:font>
  <w:font w:name="Apple SD Gothic Neo">
    <w:panose1 w:val="02000300000000000000"/>
    <w:charset w:val="86"/>
    <w:family w:val="auto"/>
    <w:pitch w:val="default"/>
    <w:sig w:usb0="00000000" w:usb1="00000000" w:usb2="00000000" w:usb3="00000000" w:csb0="003E0000" w:csb1="00000000"/>
  </w:font>
  <w:font w:name="黑体-简">
    <w:panose1 w:val="02000000000000000000"/>
    <w:charset w:val="86"/>
    <w:family w:val="auto"/>
    <w:pitch w:val="default"/>
    <w:sig w:usb0="00000000" w:usb1="00000000" w:usb2="00000000" w:usb3="00000000" w:csb0="00160000" w:csb1="00000000"/>
  </w:font>
  <w:font w:name="Nanum Myeongjo">
    <w:panose1 w:val="02020603020101020101"/>
    <w:charset w:val="80"/>
    <w:family w:val="auto"/>
    <w:pitch w:val="default"/>
    <w:sig w:usb0="00000000" w:usb1="00000000" w:usb2="00000000" w:usb3="00000000" w:csb0="002A0000" w:csb1="00000000"/>
  </w:font>
  <w:font w:name="Times">
    <w:panose1 w:val="0000050000000002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2050" o:spid="_x0000_s2050"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1B0DEC"/>
    <w:rsid w:val="002A1EC5"/>
    <w:rsid w:val="00680A5B"/>
    <w:rsid w:val="009C7E3B"/>
    <w:rsid w:val="00B63365"/>
    <w:rsid w:val="00BA5604"/>
    <w:rsid w:val="00C07BF3"/>
    <w:rsid w:val="00E16F06"/>
    <w:rsid w:val="014C49F9"/>
    <w:rsid w:val="016079E6"/>
    <w:rsid w:val="02C37EA7"/>
    <w:rsid w:val="0426122B"/>
    <w:rsid w:val="04707534"/>
    <w:rsid w:val="049E1F98"/>
    <w:rsid w:val="04B848D6"/>
    <w:rsid w:val="04C9622A"/>
    <w:rsid w:val="05652775"/>
    <w:rsid w:val="06D53FF3"/>
    <w:rsid w:val="06F846C0"/>
    <w:rsid w:val="087717FF"/>
    <w:rsid w:val="089B1353"/>
    <w:rsid w:val="0AB90C8F"/>
    <w:rsid w:val="0BD27281"/>
    <w:rsid w:val="0C2F4E87"/>
    <w:rsid w:val="0CF45225"/>
    <w:rsid w:val="0E2400C2"/>
    <w:rsid w:val="0E4D61A2"/>
    <w:rsid w:val="0F4522D0"/>
    <w:rsid w:val="0F8F311F"/>
    <w:rsid w:val="1030420F"/>
    <w:rsid w:val="10BC40D6"/>
    <w:rsid w:val="10C47F1A"/>
    <w:rsid w:val="11D36744"/>
    <w:rsid w:val="129332F7"/>
    <w:rsid w:val="13992B31"/>
    <w:rsid w:val="14E6105C"/>
    <w:rsid w:val="14E670DE"/>
    <w:rsid w:val="14F162CE"/>
    <w:rsid w:val="16C2694B"/>
    <w:rsid w:val="16D20379"/>
    <w:rsid w:val="16D2169E"/>
    <w:rsid w:val="179760D9"/>
    <w:rsid w:val="18637D2F"/>
    <w:rsid w:val="1A863579"/>
    <w:rsid w:val="1B4C1BAE"/>
    <w:rsid w:val="1C9170E5"/>
    <w:rsid w:val="1C9177D7"/>
    <w:rsid w:val="1D1D15A7"/>
    <w:rsid w:val="1EE13C53"/>
    <w:rsid w:val="20A15DDD"/>
    <w:rsid w:val="226A3252"/>
    <w:rsid w:val="22F245C3"/>
    <w:rsid w:val="25B257AB"/>
    <w:rsid w:val="27AB469D"/>
    <w:rsid w:val="29CC457B"/>
    <w:rsid w:val="29FB2511"/>
    <w:rsid w:val="2A05409A"/>
    <w:rsid w:val="2A247557"/>
    <w:rsid w:val="2A433633"/>
    <w:rsid w:val="2B0F4C6C"/>
    <w:rsid w:val="2B932AAC"/>
    <w:rsid w:val="2E961161"/>
    <w:rsid w:val="2EF345D6"/>
    <w:rsid w:val="2F540EAD"/>
    <w:rsid w:val="2FDD1B0B"/>
    <w:rsid w:val="30302BDC"/>
    <w:rsid w:val="318A775E"/>
    <w:rsid w:val="31921B73"/>
    <w:rsid w:val="31FD2F02"/>
    <w:rsid w:val="32F523C2"/>
    <w:rsid w:val="33072355"/>
    <w:rsid w:val="33543521"/>
    <w:rsid w:val="33B348D1"/>
    <w:rsid w:val="34FB3FD4"/>
    <w:rsid w:val="350C0FA2"/>
    <w:rsid w:val="35B75D44"/>
    <w:rsid w:val="35F847AD"/>
    <w:rsid w:val="37592B2D"/>
    <w:rsid w:val="39A06882"/>
    <w:rsid w:val="3A7B2BFF"/>
    <w:rsid w:val="3AB165EA"/>
    <w:rsid w:val="3C972CA8"/>
    <w:rsid w:val="3D54274A"/>
    <w:rsid w:val="3EC2248B"/>
    <w:rsid w:val="3F520ACA"/>
    <w:rsid w:val="3FD9636B"/>
    <w:rsid w:val="40263268"/>
    <w:rsid w:val="4072260C"/>
    <w:rsid w:val="40A46034"/>
    <w:rsid w:val="40E83C74"/>
    <w:rsid w:val="41B026F6"/>
    <w:rsid w:val="41C7464A"/>
    <w:rsid w:val="426A6E40"/>
    <w:rsid w:val="438B3893"/>
    <w:rsid w:val="44225A08"/>
    <w:rsid w:val="44DE5941"/>
    <w:rsid w:val="45366C52"/>
    <w:rsid w:val="46124FBE"/>
    <w:rsid w:val="46F358D0"/>
    <w:rsid w:val="47741E89"/>
    <w:rsid w:val="47C66238"/>
    <w:rsid w:val="48830579"/>
    <w:rsid w:val="48905F5C"/>
    <w:rsid w:val="48F75692"/>
    <w:rsid w:val="49BB0986"/>
    <w:rsid w:val="49D20B7C"/>
    <w:rsid w:val="4A214016"/>
    <w:rsid w:val="4E4E089E"/>
    <w:rsid w:val="4E9071FE"/>
    <w:rsid w:val="4F1C6085"/>
    <w:rsid w:val="4FEC22BE"/>
    <w:rsid w:val="511240BF"/>
    <w:rsid w:val="5219250A"/>
    <w:rsid w:val="526221B5"/>
    <w:rsid w:val="528D7B69"/>
    <w:rsid w:val="52B60D78"/>
    <w:rsid w:val="52F34022"/>
    <w:rsid w:val="531F266E"/>
    <w:rsid w:val="53CA6CF5"/>
    <w:rsid w:val="54A422B8"/>
    <w:rsid w:val="54C6195E"/>
    <w:rsid w:val="55C64F0F"/>
    <w:rsid w:val="57AD09C5"/>
    <w:rsid w:val="57E033AF"/>
    <w:rsid w:val="57F05128"/>
    <w:rsid w:val="586B1BDB"/>
    <w:rsid w:val="5BBD3C71"/>
    <w:rsid w:val="5C2852BB"/>
    <w:rsid w:val="5EE64968"/>
    <w:rsid w:val="5F391143"/>
    <w:rsid w:val="5F4E4C12"/>
    <w:rsid w:val="5FEF62B1"/>
    <w:rsid w:val="60866D4D"/>
    <w:rsid w:val="610C5611"/>
    <w:rsid w:val="61D1122F"/>
    <w:rsid w:val="62B23641"/>
    <w:rsid w:val="62F53B1F"/>
    <w:rsid w:val="633D3D35"/>
    <w:rsid w:val="661A0379"/>
    <w:rsid w:val="6740654E"/>
    <w:rsid w:val="6ABA536F"/>
    <w:rsid w:val="6D731FB8"/>
    <w:rsid w:val="6F662113"/>
    <w:rsid w:val="71795E10"/>
    <w:rsid w:val="719057E2"/>
    <w:rsid w:val="71995A9B"/>
    <w:rsid w:val="73844795"/>
    <w:rsid w:val="73F39CA6"/>
    <w:rsid w:val="7407740A"/>
    <w:rsid w:val="74D406BD"/>
    <w:rsid w:val="75A403C0"/>
    <w:rsid w:val="75A720BE"/>
    <w:rsid w:val="75DA6CCE"/>
    <w:rsid w:val="775F0925"/>
    <w:rsid w:val="7833603A"/>
    <w:rsid w:val="783A5758"/>
    <w:rsid w:val="7AFB7DDA"/>
    <w:rsid w:val="7B5C2738"/>
    <w:rsid w:val="7CEC0EDE"/>
    <w:rsid w:val="7DA3211C"/>
    <w:rsid w:val="7EEF7E8E"/>
    <w:rsid w:val="7F402875"/>
    <w:rsid w:val="7FFFE23A"/>
    <w:rsid w:val="BFFE6F04"/>
    <w:rsid w:val="D6166D0E"/>
    <w:rsid w:val="EF29D5C9"/>
    <w:rsid w:val="F5FF824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Emphasis"/>
    <w:basedOn w:val="9"/>
    <w:qFormat/>
    <w:uiPriority w:val="0"/>
    <w:rPr>
      <w:i/>
    </w:rPr>
  </w:style>
  <w:style w:type="character" w:styleId="11">
    <w:name w:val="Hyperlink"/>
    <w:basedOn w:val="9"/>
    <w:qFormat/>
    <w:uiPriority w:val="0"/>
    <w:rPr>
      <w:color w:val="0000FF"/>
      <w:u w:val="single"/>
    </w:rPr>
  </w:style>
  <w:style w:type="character" w:customStyle="1" w:styleId="13">
    <w:name w:val="页眉 Char"/>
    <w:basedOn w:val="9"/>
    <w:link w:val="6"/>
    <w:qFormat/>
    <w:uiPriority w:val="0"/>
    <w:rPr>
      <w:kern w:val="2"/>
      <w:sz w:val="18"/>
      <w:szCs w:val="18"/>
    </w:rPr>
  </w:style>
  <w:style w:type="character" w:customStyle="1" w:styleId="14">
    <w:name w:val="页脚 Char"/>
    <w:basedOn w:val="9"/>
    <w:link w:val="5"/>
    <w:qFormat/>
    <w:uiPriority w:val="0"/>
    <w:rPr>
      <w:kern w:val="2"/>
      <w:sz w:val="18"/>
      <w:szCs w:val="18"/>
    </w:rPr>
  </w:style>
  <w:style w:type="paragraph" w:customStyle="1" w:styleId="15">
    <w:name w:val="Default"/>
    <w:unhideWhenUsed/>
    <w:qFormat/>
    <w:uiPriority w:val="99"/>
    <w:pPr>
      <w:widowControl w:val="0"/>
      <w:autoSpaceDE w:val="0"/>
      <w:autoSpaceDN w:val="0"/>
      <w:adjustRightInd w:val="0"/>
      <w:spacing w:beforeLines="0" w:afterLines="0"/>
    </w:pPr>
    <w:rPr>
      <w:rFonts w:hint="eastAsia" w:ascii="Arial" w:hAnsi="Arial" w:eastAsia="宋体" w:cs="Times New Roman"/>
      <w:color w:val="00000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 R C</Company>
  <Pages>30</Pages>
  <Words>5810</Words>
  <Characters>34324</Characters>
  <Lines>1</Lines>
  <Paragraphs>1</Paragraphs>
  <ScaleCrop>false</ScaleCrop>
  <LinksUpToDate>false</LinksUpToDate>
  <CharactersWithSpaces>39204</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2014-10-30T12:08:00Z</dcterms:created>
  <dc:creator>win10</dc:creator>
  <cp:lastModifiedBy>zhuxiaoyu</cp:lastModifiedBy>
  <dcterms:modified xsi:type="dcterms:W3CDTF">2018-10-25T21:42:57Z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