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9C460" w14:textId="0063B3B1" w:rsidR="00286C8D" w:rsidRPr="00E22828" w:rsidRDefault="00286C8D" w:rsidP="00C65152">
      <w:pPr>
        <w:pStyle w:val="Heading1"/>
        <w:tabs>
          <w:tab w:val="left" w:pos="1980"/>
        </w:tabs>
        <w:jc w:val="center"/>
        <w:rPr>
          <w:color w:val="000000" w:themeColor="text1"/>
          <w:sz w:val="36"/>
          <w:szCs w:val="36"/>
        </w:rPr>
      </w:pPr>
      <w:r>
        <w:rPr>
          <w:color w:val="000000" w:themeColor="text1"/>
          <w:sz w:val="36"/>
          <w:szCs w:val="36"/>
        </w:rPr>
        <w:t>The Effect of University Affiliation on the Productivity of Scientists</w:t>
      </w:r>
      <w:r w:rsidRPr="00E22828">
        <w:rPr>
          <w:color w:val="000000" w:themeColor="text1"/>
          <w:sz w:val="36"/>
          <w:szCs w:val="36"/>
        </w:rPr>
        <w:t xml:space="preserve"> </w:t>
      </w:r>
    </w:p>
    <w:p w14:paraId="1D2422D8" w14:textId="5DE41656" w:rsidR="00C04A09" w:rsidRPr="00E22828" w:rsidRDefault="00C04A09" w:rsidP="001A087C">
      <w:pPr>
        <w:pStyle w:val="Heading1"/>
        <w:jc w:val="center"/>
        <w:rPr>
          <w:color w:val="000000" w:themeColor="text1"/>
          <w:sz w:val="36"/>
          <w:szCs w:val="36"/>
        </w:rPr>
      </w:pPr>
      <w:r w:rsidRPr="00E22828">
        <w:rPr>
          <w:color w:val="000000" w:themeColor="text1"/>
          <w:sz w:val="36"/>
          <w:szCs w:val="36"/>
        </w:rPr>
        <w:t xml:space="preserve">  </w:t>
      </w:r>
      <w:bookmarkStart w:id="0" w:name="_GoBack"/>
      <w:bookmarkEnd w:id="0"/>
    </w:p>
    <w:p w14:paraId="504C1920" w14:textId="16E14C42" w:rsidR="00B06883" w:rsidRPr="00E22828" w:rsidRDefault="00B06883" w:rsidP="00985DE1">
      <w:pPr>
        <w:spacing w:line="360" w:lineRule="auto"/>
        <w:ind w:firstLine="720"/>
        <w:jc w:val="center"/>
        <w:rPr>
          <w:b/>
          <w:sz w:val="36"/>
          <w:szCs w:val="36"/>
        </w:rPr>
      </w:pPr>
    </w:p>
    <w:p w14:paraId="76381DD6" w14:textId="11DAE7F1" w:rsidR="007730E8" w:rsidRPr="00E22828" w:rsidRDefault="007730E8" w:rsidP="00F62B9D">
      <w:pPr>
        <w:spacing w:line="360" w:lineRule="auto"/>
        <w:ind w:firstLine="720"/>
        <w:jc w:val="center"/>
        <w:rPr>
          <w:b/>
          <w:sz w:val="36"/>
          <w:szCs w:val="36"/>
        </w:rPr>
      </w:pPr>
      <w:r w:rsidRPr="00E22828">
        <w:rPr>
          <w:bCs/>
          <w:szCs w:val="32"/>
        </w:rPr>
        <w:t xml:space="preserve">Amir Rubin and </w:t>
      </w:r>
      <w:r w:rsidR="000F58BA" w:rsidRPr="00E22828">
        <w:rPr>
          <w:bCs/>
          <w:szCs w:val="32"/>
        </w:rPr>
        <w:t>Eran Rubin</w:t>
      </w:r>
      <w:r w:rsidRPr="00E22828">
        <w:rPr>
          <w:rStyle w:val="FootnoteReference"/>
          <w:b/>
          <w:sz w:val="36"/>
          <w:szCs w:val="36"/>
        </w:rPr>
        <w:footnoteReference w:customMarkFollows="1" w:id="1"/>
        <w:t>*</w:t>
      </w:r>
    </w:p>
    <w:p w14:paraId="709ED460" w14:textId="77777777" w:rsidR="00B06883" w:rsidRPr="00E22828" w:rsidRDefault="00B06883">
      <w:pPr>
        <w:spacing w:line="360" w:lineRule="auto"/>
        <w:ind w:firstLine="720"/>
        <w:jc w:val="center"/>
        <w:rPr>
          <w:bCs/>
        </w:rPr>
      </w:pPr>
    </w:p>
    <w:p w14:paraId="5B7DCF05" w14:textId="77777777" w:rsidR="00B06883" w:rsidRPr="00E22828" w:rsidRDefault="00B06883">
      <w:pPr>
        <w:ind w:firstLine="720"/>
        <w:jc w:val="center"/>
      </w:pPr>
    </w:p>
    <w:p w14:paraId="047BDCC5" w14:textId="77777777" w:rsidR="00B06883" w:rsidRPr="00E22828" w:rsidRDefault="00E907AE">
      <w:pPr>
        <w:pStyle w:val="BodyText"/>
        <w:ind w:firstLine="720"/>
        <w:jc w:val="center"/>
      </w:pPr>
      <w:r w:rsidRPr="00E22828">
        <w:rPr>
          <w:noProof/>
          <w:lang w:bidi="he-IL"/>
        </w:rPr>
        <mc:AlternateContent>
          <mc:Choice Requires="wps">
            <w:drawing>
              <wp:anchor distT="0" distB="0" distL="114300" distR="114300" simplePos="0" relativeHeight="251659264" behindDoc="0" locked="0" layoutInCell="1" allowOverlap="1" wp14:anchorId="182CBD4E" wp14:editId="5CF8CD18">
                <wp:simplePos x="0" y="0"/>
                <wp:positionH relativeFrom="column">
                  <wp:posOffset>0</wp:posOffset>
                </wp:positionH>
                <wp:positionV relativeFrom="paragraph">
                  <wp:posOffset>54610</wp:posOffset>
                </wp:positionV>
                <wp:extent cx="5852160" cy="0"/>
                <wp:effectExtent l="0" t="0" r="3429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577D07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60.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6N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eOtMbV0BApXY21EbP6sVsNf3ukNJVS9SBR4avFwNpWchI3qSEjTOAv++/aAYx5Oh1bNO5&#10;sV2AhAagc1TjcleDnz2icDidTyfZDESjgy8hxZBorPOfue5QMEosgXMEJqet84EIKYaQcI/SGyFl&#10;FFsq1Jd4MZ1MY4LTUrDgDGHOHvaVtOhEwrjEL1YFnscwq4+KRbCWE7a+2Z4IebXhcqkCHpQCdG7W&#10;dR5+LNLFer6e56N8MluP8rSuR582VT6abbKP0/pDXVV19jNQy/KiFYxxFdgNs5nlf6f97ZVcp+o+&#10;nfc2JG/RY7+A7PCPpKOWQb7rIOw1u+zsoDGMYwy+PZ0w7497sB8f+OoXAAAA//8DAFBLAwQUAAYA&#10;CAAAACEAbRGUCdkAAAAEAQAADwAAAGRycy9kb3ducmV2LnhtbEyPQU/CQBCF7yb8h82YeCGypSYE&#10;a7eEqL15ESRch+7YNnZnS3eB6q939KK39/Im732Tr0bXqTMNofVsYD5LQBFX3rZcG3jblrdLUCEi&#10;W+w8k4FPCrAqJlc5ZtZf+JXOm1grKeGQoYEmxj7TOlQNOQwz3xNL9u4Hh1HsUGs74EXKXafTJFlo&#10;hy3LQoM9PTZUfWxOzkAod3Qsv6bVNNnf1Z7S49PLMxpzcz2uH0BFGuPfMfzgCzoUwnTwJ7ZBdQbk&#10;kWhguQAl4X06F3H49brI9X/44hsAAP//AwBQSwECLQAUAAYACAAAACEAtoM4kv4AAADhAQAAEwAA&#10;AAAAAAAAAAAAAAAAAAAAW0NvbnRlbnRfVHlwZXNdLnhtbFBLAQItABQABgAIAAAAIQA4/SH/1gAA&#10;AJQBAAALAAAAAAAAAAAAAAAAAC8BAABfcmVscy8ucmVsc1BLAQItABQABgAIAAAAIQBzm46NEgIA&#10;ACgEAAAOAAAAAAAAAAAAAAAAAC4CAABkcnMvZTJvRG9jLnhtbFBLAQItABQABgAIAAAAIQBtEZQJ&#10;2QAAAAQBAAAPAAAAAAAAAAAAAAAAAGwEAABkcnMvZG93bnJldi54bWxQSwUGAAAAAAQABADzAAAA&#10;cgUAAAAA&#10;"/>
            </w:pict>
          </mc:Fallback>
        </mc:AlternateContent>
      </w:r>
    </w:p>
    <w:p w14:paraId="1ED11EE6" w14:textId="77777777" w:rsidR="00B06883" w:rsidRPr="00E22828" w:rsidRDefault="00E907AE">
      <w:pPr>
        <w:rPr>
          <w:b/>
          <w:bCs/>
        </w:rPr>
      </w:pPr>
      <w:r w:rsidRPr="00E22828">
        <w:rPr>
          <w:b/>
          <w:bCs/>
        </w:rPr>
        <w:t>Abstract:</w:t>
      </w:r>
    </w:p>
    <w:p w14:paraId="0945FEFA" w14:textId="5760738E" w:rsidR="00B3202C" w:rsidRPr="00E22828" w:rsidRDefault="00735ECE" w:rsidP="00862781">
      <w:pPr>
        <w:jc w:val="both"/>
        <w:rPr>
          <w:rFonts w:asciiTheme="majorBidi" w:hAnsiTheme="majorBidi" w:cstheme="majorBidi"/>
        </w:rPr>
      </w:pPr>
      <w:r>
        <w:rPr>
          <w:rFonts w:asciiTheme="majorBidi" w:hAnsiTheme="majorBidi" w:cstheme="majorBidi"/>
          <w:lang w:bidi="he-IL"/>
        </w:rPr>
        <w:t xml:space="preserve">While knowledge production is central to economic growth, little is known on how universities contribute to the productivity of </w:t>
      </w:r>
      <w:r w:rsidR="00E004EC">
        <w:rPr>
          <w:rFonts w:asciiTheme="majorBidi" w:hAnsiTheme="majorBidi" w:cstheme="majorBidi"/>
          <w:lang w:bidi="he-IL"/>
        </w:rPr>
        <w:t>their faculty</w:t>
      </w:r>
      <w:r>
        <w:rPr>
          <w:rFonts w:asciiTheme="majorBidi" w:hAnsiTheme="majorBidi" w:cstheme="majorBidi"/>
          <w:lang w:bidi="he-IL"/>
        </w:rPr>
        <w:t xml:space="preserve">. </w:t>
      </w:r>
      <w:r w:rsidR="00F83F9A">
        <w:rPr>
          <w:rFonts w:asciiTheme="majorBidi" w:hAnsiTheme="majorBidi" w:cstheme="majorBidi"/>
          <w:lang w:bidi="he-IL"/>
        </w:rPr>
        <w:t>Answering this question is difficult because scientists are not randomly</w:t>
      </w:r>
      <w:r w:rsidR="008D7F1E">
        <w:rPr>
          <w:rFonts w:asciiTheme="majorBidi" w:hAnsiTheme="majorBidi" w:cstheme="majorBidi"/>
          <w:lang w:bidi="he-IL"/>
        </w:rPr>
        <w:t xml:space="preserve"> </w:t>
      </w:r>
      <w:r w:rsidR="008D7F1E" w:rsidRPr="008D7F1E">
        <w:rPr>
          <w:rFonts w:asciiTheme="majorBidi" w:hAnsiTheme="majorBidi" w:cstheme="majorBidi"/>
          <w:lang w:bidi="he-IL"/>
        </w:rPr>
        <w:t>allocated</w:t>
      </w:r>
      <w:r w:rsidR="00F83F9A">
        <w:rPr>
          <w:rFonts w:asciiTheme="majorBidi" w:hAnsiTheme="majorBidi" w:cstheme="majorBidi"/>
          <w:lang w:bidi="he-IL"/>
        </w:rPr>
        <w:t xml:space="preserve"> to universities</w:t>
      </w:r>
      <w:r w:rsidR="007C29DB">
        <w:rPr>
          <w:rFonts w:asciiTheme="majorBidi" w:hAnsiTheme="majorBidi" w:cstheme="majorBidi"/>
        </w:rPr>
        <w:t>; r</w:t>
      </w:r>
      <w:r w:rsidR="00F83F9A">
        <w:rPr>
          <w:rFonts w:asciiTheme="majorBidi" w:hAnsiTheme="majorBidi" w:cstheme="majorBidi"/>
        </w:rPr>
        <w:t>ather, top-tier universities hi</w:t>
      </w:r>
      <w:r w:rsidR="0032025B">
        <w:rPr>
          <w:rFonts w:asciiTheme="majorBidi" w:hAnsiTheme="majorBidi" w:cstheme="majorBidi"/>
        </w:rPr>
        <w:t xml:space="preserve">re </w:t>
      </w:r>
      <w:r w:rsidR="00F83F9A">
        <w:rPr>
          <w:rFonts w:asciiTheme="majorBidi" w:hAnsiTheme="majorBidi" w:cstheme="majorBidi"/>
        </w:rPr>
        <w:t xml:space="preserve">the more talented scientists. In this paper we </w:t>
      </w:r>
      <w:r w:rsidR="00C31492">
        <w:rPr>
          <w:rFonts w:asciiTheme="majorBidi" w:hAnsiTheme="majorBidi" w:cstheme="majorBidi"/>
        </w:rPr>
        <w:t xml:space="preserve">employ a method to </w:t>
      </w:r>
      <w:r w:rsidR="00F83F9A">
        <w:rPr>
          <w:rFonts w:asciiTheme="majorBidi" w:hAnsiTheme="majorBidi" w:cstheme="majorBidi"/>
        </w:rPr>
        <w:t xml:space="preserve">correct for this bias and show that regardless of the scientists' talent </w:t>
      </w:r>
      <w:r w:rsidR="00C31492">
        <w:rPr>
          <w:rFonts w:asciiTheme="majorBidi" w:hAnsiTheme="majorBidi" w:cstheme="majorBidi"/>
        </w:rPr>
        <w:t>upon PhD completion</w:t>
      </w:r>
      <w:r w:rsidR="00F83F9A">
        <w:rPr>
          <w:rFonts w:asciiTheme="majorBidi" w:hAnsiTheme="majorBidi" w:cstheme="majorBidi"/>
        </w:rPr>
        <w:t xml:space="preserve">, the nurturing effect of the </w:t>
      </w:r>
      <w:r w:rsidR="00C31492">
        <w:rPr>
          <w:rFonts w:asciiTheme="majorBidi" w:hAnsiTheme="majorBidi" w:cstheme="majorBidi"/>
        </w:rPr>
        <w:t xml:space="preserve">university </w:t>
      </w:r>
      <w:r w:rsidR="00250D07">
        <w:rPr>
          <w:rFonts w:asciiTheme="majorBidi" w:hAnsiTheme="majorBidi" w:cstheme="majorBidi"/>
        </w:rPr>
        <w:t xml:space="preserve">tier-level </w:t>
      </w:r>
      <w:r w:rsidR="00F83F9A">
        <w:rPr>
          <w:rFonts w:asciiTheme="majorBidi" w:hAnsiTheme="majorBidi" w:cstheme="majorBidi"/>
        </w:rPr>
        <w:t xml:space="preserve">is </w:t>
      </w:r>
      <w:r w:rsidR="0032025B">
        <w:rPr>
          <w:rFonts w:asciiTheme="majorBidi" w:hAnsiTheme="majorBidi" w:cstheme="majorBidi"/>
        </w:rPr>
        <w:t xml:space="preserve">responsible for </w:t>
      </w:r>
      <w:r w:rsidR="00F83F9A">
        <w:rPr>
          <w:rFonts w:asciiTheme="majorBidi" w:hAnsiTheme="majorBidi" w:cstheme="majorBidi"/>
        </w:rPr>
        <w:t xml:space="preserve">at-least 30% of the productivity </w:t>
      </w:r>
      <w:r w:rsidR="0032025B">
        <w:rPr>
          <w:rFonts w:asciiTheme="majorBidi" w:hAnsiTheme="majorBidi" w:cstheme="majorBidi"/>
        </w:rPr>
        <w:t>of scientists</w:t>
      </w:r>
      <w:r w:rsidR="000B7E6C">
        <w:rPr>
          <w:rFonts w:asciiTheme="majorBidi" w:hAnsiTheme="majorBidi" w:cstheme="majorBidi"/>
        </w:rPr>
        <w:t xml:space="preserve">. Our results </w:t>
      </w:r>
      <w:r w:rsidR="00CC29FC">
        <w:rPr>
          <w:rFonts w:asciiTheme="majorBidi" w:hAnsiTheme="majorBidi" w:cstheme="majorBidi"/>
        </w:rPr>
        <w:t>provide</w:t>
      </w:r>
      <w:r w:rsidR="000B7E6C">
        <w:rPr>
          <w:rFonts w:asciiTheme="majorBidi" w:hAnsiTheme="majorBidi" w:cstheme="majorBidi"/>
        </w:rPr>
        <w:t xml:space="preserve"> evidence </w:t>
      </w:r>
      <w:r w:rsidR="00CC29FC">
        <w:rPr>
          <w:rFonts w:asciiTheme="majorBidi" w:hAnsiTheme="majorBidi" w:cstheme="majorBidi"/>
        </w:rPr>
        <w:t>on the</w:t>
      </w:r>
      <w:r w:rsidR="000B7E6C">
        <w:rPr>
          <w:rFonts w:asciiTheme="majorBidi" w:hAnsiTheme="majorBidi" w:cstheme="majorBidi"/>
        </w:rPr>
        <w:t xml:space="preserve"> </w:t>
      </w:r>
      <w:r w:rsidR="00CC29FC">
        <w:rPr>
          <w:rFonts w:asciiTheme="majorBidi" w:hAnsiTheme="majorBidi" w:cstheme="majorBidi"/>
        </w:rPr>
        <w:t>importance</w:t>
      </w:r>
      <w:r w:rsidR="000B7E6C">
        <w:rPr>
          <w:rFonts w:asciiTheme="majorBidi" w:hAnsiTheme="majorBidi" w:cstheme="majorBidi"/>
        </w:rPr>
        <w:t xml:space="preserve"> of </w:t>
      </w:r>
      <w:r w:rsidR="003E1EFB">
        <w:rPr>
          <w:rFonts w:asciiTheme="majorBidi" w:hAnsiTheme="majorBidi" w:cstheme="majorBidi"/>
        </w:rPr>
        <w:t>institutions</w:t>
      </w:r>
      <w:r w:rsidR="000B7E6C">
        <w:rPr>
          <w:rFonts w:asciiTheme="majorBidi" w:hAnsiTheme="majorBidi" w:cstheme="majorBidi"/>
        </w:rPr>
        <w:t xml:space="preserve"> on academic productivity, </w:t>
      </w:r>
      <w:r w:rsidR="004E7B68">
        <w:rPr>
          <w:bCs/>
          <w:lang w:bidi="he-IL"/>
        </w:rPr>
        <w:t xml:space="preserve">implying that </w:t>
      </w:r>
      <w:r w:rsidR="004E7B68" w:rsidRPr="00526B6B">
        <w:rPr>
          <w:bCs/>
          <w:lang w:bidi="he-IL"/>
        </w:rPr>
        <w:t>initial plac</w:t>
      </w:r>
      <w:r w:rsidR="004E7B68">
        <w:rPr>
          <w:bCs/>
          <w:lang w:bidi="he-IL"/>
        </w:rPr>
        <w:t>ement</w:t>
      </w:r>
      <w:r w:rsidR="001A087C">
        <w:rPr>
          <w:bCs/>
          <w:lang w:bidi="he-IL"/>
        </w:rPr>
        <w:t>s</w:t>
      </w:r>
      <w:r w:rsidR="00CC29FC">
        <w:rPr>
          <w:bCs/>
          <w:lang w:bidi="he-IL"/>
        </w:rPr>
        <w:t xml:space="preserve"> to universities</w:t>
      </w:r>
      <w:r w:rsidR="004E7B68">
        <w:rPr>
          <w:bCs/>
          <w:lang w:bidi="he-IL"/>
        </w:rPr>
        <w:t xml:space="preserve"> </w:t>
      </w:r>
      <w:r w:rsidR="00860154">
        <w:rPr>
          <w:bCs/>
          <w:lang w:bidi="he-IL"/>
        </w:rPr>
        <w:t>have</w:t>
      </w:r>
      <w:r w:rsidR="00860154" w:rsidRPr="00526B6B">
        <w:rPr>
          <w:bCs/>
          <w:lang w:bidi="he-IL"/>
        </w:rPr>
        <w:t xml:space="preserve"> </w:t>
      </w:r>
      <w:r w:rsidR="004E7B68" w:rsidRPr="00526B6B">
        <w:rPr>
          <w:bCs/>
          <w:lang w:bidi="he-IL"/>
        </w:rPr>
        <w:t xml:space="preserve">a significant role in </w:t>
      </w:r>
      <w:r w:rsidR="004E7B68">
        <w:rPr>
          <w:bCs/>
          <w:lang w:bidi="he-IL"/>
        </w:rPr>
        <w:t>scholarly</w:t>
      </w:r>
      <w:r w:rsidR="004E7B68" w:rsidRPr="00526B6B">
        <w:rPr>
          <w:bCs/>
          <w:lang w:bidi="he-IL"/>
        </w:rPr>
        <w:t xml:space="preserve"> performance.</w:t>
      </w:r>
    </w:p>
    <w:p w14:paraId="780AD679" w14:textId="77777777" w:rsidR="00B06883" w:rsidRPr="00E22828" w:rsidRDefault="00B06883">
      <w:pPr>
        <w:rPr>
          <w:rFonts w:asciiTheme="majorBidi" w:hAnsiTheme="majorBidi" w:cstheme="majorBidi"/>
          <w:sz w:val="22"/>
        </w:rPr>
      </w:pPr>
    </w:p>
    <w:p w14:paraId="52D2DC30" w14:textId="77777777" w:rsidR="00B06883" w:rsidRPr="00E22828" w:rsidRDefault="00B06883">
      <w:pPr>
        <w:ind w:firstLine="720"/>
      </w:pPr>
    </w:p>
    <w:p w14:paraId="39C2D08B" w14:textId="77777777" w:rsidR="005E2BC4" w:rsidRPr="00E22828" w:rsidRDefault="005E2BC4">
      <w:pPr>
        <w:ind w:firstLine="720"/>
      </w:pPr>
    </w:p>
    <w:p w14:paraId="01C7332D" w14:textId="77777777" w:rsidR="005E2BC4" w:rsidRPr="00E22828" w:rsidRDefault="005E2BC4">
      <w:pPr>
        <w:ind w:firstLine="720"/>
      </w:pPr>
    </w:p>
    <w:p w14:paraId="43046556" w14:textId="0954141E" w:rsidR="00721669" w:rsidRPr="002A31AD" w:rsidRDefault="00A44D66" w:rsidP="00D95AB7">
      <w:r w:rsidRPr="00E22828">
        <w:rPr>
          <w:b/>
          <w:bCs/>
        </w:rPr>
        <w:t>JEL Classification</w:t>
      </w:r>
      <w:r w:rsidR="002D5217">
        <w:rPr>
          <w:b/>
          <w:bCs/>
        </w:rPr>
        <w:t xml:space="preserve">: </w:t>
      </w:r>
    </w:p>
    <w:p w14:paraId="60E9170F" w14:textId="77777777" w:rsidR="00AA59B9" w:rsidRPr="00E22828" w:rsidRDefault="00721669" w:rsidP="002D5217">
      <w:pPr>
        <w:rPr>
          <w:b/>
          <w:bCs/>
        </w:rPr>
      </w:pPr>
      <w:r>
        <w:t xml:space="preserve"> </w:t>
      </w:r>
      <w:r w:rsidR="002D5217">
        <w:rPr>
          <w:b/>
          <w:bCs/>
        </w:rPr>
        <w:t xml:space="preserve">  </w:t>
      </w:r>
    </w:p>
    <w:p w14:paraId="0C899CE7" w14:textId="3A9E2B1F" w:rsidR="00A44D66" w:rsidRPr="00E22828" w:rsidRDefault="00A44D66" w:rsidP="002D5217">
      <w:pPr>
        <w:rPr>
          <w:b/>
          <w:bCs/>
        </w:rPr>
      </w:pPr>
    </w:p>
    <w:p w14:paraId="1655063D" w14:textId="77777777" w:rsidR="00A44D66" w:rsidRPr="00E22828" w:rsidRDefault="00A44D66">
      <w:pPr>
        <w:ind w:firstLine="720"/>
        <w:rPr>
          <w:b/>
          <w:bCs/>
        </w:rPr>
      </w:pPr>
    </w:p>
    <w:p w14:paraId="56DD0E1A" w14:textId="16DF2326" w:rsidR="00A44D66" w:rsidRPr="00E22828" w:rsidRDefault="00A44D66" w:rsidP="00D95AB7">
      <w:r w:rsidRPr="00E22828">
        <w:rPr>
          <w:b/>
          <w:bCs/>
        </w:rPr>
        <w:t>Keywords:</w:t>
      </w:r>
      <w:r w:rsidRPr="00E22828">
        <w:t xml:space="preserve"> </w:t>
      </w:r>
    </w:p>
    <w:p w14:paraId="33CC905C" w14:textId="77777777" w:rsidR="00721F2B" w:rsidRDefault="00721F2B" w:rsidP="008D2EE2">
      <w:pPr>
        <w:spacing w:line="408" w:lineRule="auto"/>
        <w:ind w:firstLine="720"/>
        <w:jc w:val="both"/>
        <w:rPr>
          <w:b/>
        </w:rPr>
      </w:pPr>
    </w:p>
    <w:p w14:paraId="49CAF881" w14:textId="39E6DF6D" w:rsidR="00721F2B" w:rsidRDefault="00721F2B" w:rsidP="008D2EE2">
      <w:pPr>
        <w:spacing w:line="408" w:lineRule="auto"/>
        <w:ind w:firstLine="720"/>
        <w:jc w:val="both"/>
        <w:rPr>
          <w:b/>
        </w:rPr>
      </w:pPr>
    </w:p>
    <w:p w14:paraId="55B7CE92" w14:textId="4969B728" w:rsidR="003B3877" w:rsidRPr="00526B6B" w:rsidRDefault="00C70C84" w:rsidP="002624EB">
      <w:pPr>
        <w:autoSpaceDE w:val="0"/>
        <w:autoSpaceDN w:val="0"/>
        <w:adjustRightInd w:val="0"/>
        <w:spacing w:line="480" w:lineRule="auto"/>
        <w:ind w:firstLine="720"/>
        <w:jc w:val="both"/>
        <w:rPr>
          <w:bCs/>
          <w:lang w:bidi="he-IL"/>
        </w:rPr>
      </w:pPr>
      <w:r w:rsidRPr="009804B8">
        <w:rPr>
          <w:bCs/>
          <w:lang w:bidi="he-IL"/>
        </w:rPr>
        <w:lastRenderedPageBreak/>
        <w:t xml:space="preserve">Top </w:t>
      </w:r>
      <w:r>
        <w:rPr>
          <w:bCs/>
          <w:lang w:bidi="he-IL"/>
        </w:rPr>
        <w:t>tier universities</w:t>
      </w:r>
      <w:r w:rsidRPr="009804B8">
        <w:rPr>
          <w:bCs/>
          <w:lang w:bidi="he-IL"/>
        </w:rPr>
        <w:t xml:space="preserve"> like </w:t>
      </w:r>
      <w:r>
        <w:rPr>
          <w:bCs/>
          <w:lang w:bidi="he-IL"/>
        </w:rPr>
        <w:t>Harvard</w:t>
      </w:r>
      <w:r w:rsidRPr="009804B8">
        <w:rPr>
          <w:bCs/>
          <w:lang w:bidi="he-IL"/>
        </w:rPr>
        <w:t xml:space="preserve">, </w:t>
      </w:r>
      <w:r w:rsidR="008574FA">
        <w:rPr>
          <w:bCs/>
          <w:lang w:bidi="he-IL"/>
        </w:rPr>
        <w:t xml:space="preserve">MIT, and </w:t>
      </w:r>
      <w:r w:rsidR="003C363D">
        <w:rPr>
          <w:bCs/>
          <w:lang w:bidi="he-IL"/>
        </w:rPr>
        <w:t>Stanford</w:t>
      </w:r>
      <w:r w:rsidR="008574FA">
        <w:rPr>
          <w:bCs/>
          <w:lang w:bidi="he-IL"/>
        </w:rPr>
        <w:t xml:space="preserve"> </w:t>
      </w:r>
      <w:r w:rsidRPr="009804B8">
        <w:rPr>
          <w:bCs/>
          <w:lang w:bidi="he-IL"/>
        </w:rPr>
        <w:t xml:space="preserve">are leading the list of </w:t>
      </w:r>
      <w:r w:rsidR="008574FA">
        <w:rPr>
          <w:bCs/>
          <w:lang w:bidi="he-IL"/>
        </w:rPr>
        <w:t>universities</w:t>
      </w:r>
      <w:r w:rsidRPr="009804B8">
        <w:rPr>
          <w:bCs/>
          <w:lang w:bidi="he-IL"/>
        </w:rPr>
        <w:t xml:space="preserve"> that </w:t>
      </w:r>
      <w:r w:rsidR="008574FA">
        <w:rPr>
          <w:bCs/>
          <w:lang w:bidi="he-IL"/>
        </w:rPr>
        <w:t>scientists</w:t>
      </w:r>
      <w:r w:rsidRPr="009804B8">
        <w:rPr>
          <w:bCs/>
          <w:lang w:bidi="he-IL"/>
        </w:rPr>
        <w:t xml:space="preserve"> want to work for</w:t>
      </w:r>
      <w:r w:rsidR="003C363D">
        <w:rPr>
          <w:bCs/>
          <w:lang w:bidi="he-IL"/>
        </w:rPr>
        <w:t xml:space="preserve"> because of the</w:t>
      </w:r>
      <w:r w:rsidR="00D335E8">
        <w:rPr>
          <w:bCs/>
          <w:lang w:bidi="he-IL"/>
        </w:rPr>
        <w:t>ir</w:t>
      </w:r>
      <w:r w:rsidR="003C363D">
        <w:rPr>
          <w:bCs/>
          <w:lang w:bidi="he-IL"/>
        </w:rPr>
        <w:t xml:space="preserve"> </w:t>
      </w:r>
      <w:r w:rsidR="00E46985">
        <w:rPr>
          <w:bCs/>
          <w:lang w:bidi="he-IL"/>
        </w:rPr>
        <w:t>high-quality</w:t>
      </w:r>
      <w:r w:rsidR="003C363D">
        <w:rPr>
          <w:bCs/>
          <w:lang w:bidi="he-IL"/>
        </w:rPr>
        <w:t xml:space="preserve"> research environment</w:t>
      </w:r>
      <w:r w:rsidRPr="009804B8">
        <w:rPr>
          <w:bCs/>
          <w:lang w:bidi="he-IL"/>
        </w:rPr>
        <w:t xml:space="preserve">. </w:t>
      </w:r>
      <w:r w:rsidR="00AD689D">
        <w:rPr>
          <w:bCs/>
          <w:lang w:bidi="he-IL"/>
        </w:rPr>
        <w:t>Considering the</w:t>
      </w:r>
      <w:r w:rsidR="00AB2014">
        <w:rPr>
          <w:bCs/>
          <w:lang w:bidi="he-IL"/>
        </w:rPr>
        <w:t xml:space="preserve"> relatively</w:t>
      </w:r>
      <w:r w:rsidR="0030604F">
        <w:rPr>
          <w:bCs/>
          <w:lang w:bidi="he-IL"/>
        </w:rPr>
        <w:t xml:space="preserve"> </w:t>
      </w:r>
      <w:r w:rsidR="00A852F7">
        <w:rPr>
          <w:bCs/>
          <w:lang w:bidi="he-IL"/>
        </w:rPr>
        <w:t xml:space="preserve">large supply of PhD candidates </w:t>
      </w:r>
      <w:r w:rsidR="00AB2014">
        <w:rPr>
          <w:bCs/>
          <w:lang w:bidi="he-IL"/>
        </w:rPr>
        <w:t>compared to</w:t>
      </w:r>
      <w:r w:rsidR="00A852F7">
        <w:rPr>
          <w:bCs/>
          <w:lang w:bidi="he-IL"/>
        </w:rPr>
        <w:t xml:space="preserve"> number of faculty openings in these schools, one</w:t>
      </w:r>
      <w:r w:rsidR="00AD689D">
        <w:rPr>
          <w:bCs/>
          <w:lang w:bidi="he-IL"/>
        </w:rPr>
        <w:t xml:space="preserve"> expect</w:t>
      </w:r>
      <w:r w:rsidR="00A852F7">
        <w:rPr>
          <w:bCs/>
          <w:lang w:bidi="he-IL"/>
        </w:rPr>
        <w:t xml:space="preserve">s that the most talented individuals end up being hired by these top-tier universities. </w:t>
      </w:r>
      <w:r w:rsidR="00AD689D">
        <w:rPr>
          <w:bCs/>
          <w:lang w:bidi="he-IL"/>
        </w:rPr>
        <w:t>It is therefore not surprising that f</w:t>
      </w:r>
      <w:r w:rsidR="003C363D">
        <w:rPr>
          <w:bCs/>
          <w:lang w:bidi="he-IL"/>
        </w:rPr>
        <w:t>aculty in these</w:t>
      </w:r>
      <w:r w:rsidR="008574FA">
        <w:rPr>
          <w:bCs/>
          <w:lang w:bidi="he-IL"/>
        </w:rPr>
        <w:t xml:space="preserve"> </w:t>
      </w:r>
      <w:r w:rsidR="003C363D">
        <w:rPr>
          <w:bCs/>
          <w:lang w:bidi="he-IL"/>
        </w:rPr>
        <w:t>universities</w:t>
      </w:r>
      <w:r w:rsidR="008574FA">
        <w:rPr>
          <w:bCs/>
          <w:lang w:bidi="he-IL"/>
        </w:rPr>
        <w:t xml:space="preserve"> </w:t>
      </w:r>
      <w:r w:rsidR="00D335E8">
        <w:rPr>
          <w:bCs/>
          <w:lang w:bidi="he-IL"/>
        </w:rPr>
        <w:t xml:space="preserve">are known to </w:t>
      </w:r>
      <w:r w:rsidR="003B3877">
        <w:rPr>
          <w:bCs/>
          <w:lang w:bidi="he-IL"/>
        </w:rPr>
        <w:t>produce more quality research than</w:t>
      </w:r>
      <w:r w:rsidR="001A087C">
        <w:rPr>
          <w:bCs/>
          <w:lang w:bidi="he-IL"/>
        </w:rPr>
        <w:t xml:space="preserve"> faculty in</w:t>
      </w:r>
      <w:r w:rsidR="003B3877">
        <w:rPr>
          <w:bCs/>
          <w:lang w:bidi="he-IL"/>
        </w:rPr>
        <w:t xml:space="preserve"> </w:t>
      </w:r>
      <w:r w:rsidR="003B3877" w:rsidRPr="00526B6B">
        <w:rPr>
          <w:bCs/>
          <w:lang w:bidi="he-IL"/>
        </w:rPr>
        <w:t xml:space="preserve">lower ranked </w:t>
      </w:r>
      <w:r w:rsidR="008574FA">
        <w:rPr>
          <w:bCs/>
          <w:lang w:bidi="he-IL"/>
        </w:rPr>
        <w:t>universities</w:t>
      </w:r>
      <w:r w:rsidR="00D335E8">
        <w:rPr>
          <w:bCs/>
          <w:lang w:bidi="he-IL"/>
        </w:rPr>
        <w:t>, and are</w:t>
      </w:r>
      <w:r w:rsidR="003C363D">
        <w:rPr>
          <w:bCs/>
          <w:lang w:bidi="he-IL"/>
        </w:rPr>
        <w:t xml:space="preserve"> </w:t>
      </w:r>
      <w:r w:rsidR="00D335E8">
        <w:rPr>
          <w:bCs/>
          <w:lang w:bidi="he-IL"/>
        </w:rPr>
        <w:t>typically</w:t>
      </w:r>
      <w:r w:rsidR="003C363D">
        <w:rPr>
          <w:bCs/>
          <w:lang w:bidi="he-IL"/>
        </w:rPr>
        <w:t xml:space="preserve"> </w:t>
      </w:r>
      <w:r w:rsidR="00603679">
        <w:rPr>
          <w:bCs/>
          <w:lang w:bidi="he-IL"/>
        </w:rPr>
        <w:t>belie</w:t>
      </w:r>
      <w:r w:rsidR="00D335E8">
        <w:rPr>
          <w:bCs/>
          <w:lang w:bidi="he-IL"/>
        </w:rPr>
        <w:t>ved to be</w:t>
      </w:r>
      <w:r w:rsidR="003B3877" w:rsidRPr="00526B6B">
        <w:rPr>
          <w:bCs/>
          <w:lang w:bidi="he-IL"/>
        </w:rPr>
        <w:t xml:space="preserve"> more </w:t>
      </w:r>
      <w:r w:rsidR="003B3877">
        <w:rPr>
          <w:bCs/>
          <w:lang w:bidi="he-IL"/>
        </w:rPr>
        <w:t xml:space="preserve">talented than </w:t>
      </w:r>
      <w:r w:rsidR="00250D07">
        <w:rPr>
          <w:bCs/>
          <w:lang w:bidi="he-IL"/>
        </w:rPr>
        <w:t>th</w:t>
      </w:r>
      <w:r w:rsidR="00D335E8">
        <w:rPr>
          <w:bCs/>
          <w:lang w:bidi="he-IL"/>
        </w:rPr>
        <w:t>eir peers</w:t>
      </w:r>
      <w:r w:rsidR="00250D07">
        <w:rPr>
          <w:bCs/>
          <w:lang w:bidi="he-IL"/>
        </w:rPr>
        <w:t xml:space="preserve"> </w:t>
      </w:r>
      <w:r w:rsidR="003B3877">
        <w:rPr>
          <w:bCs/>
          <w:lang w:bidi="he-IL"/>
        </w:rPr>
        <w:t xml:space="preserve">in lower tier </w:t>
      </w:r>
      <w:r w:rsidR="002F426D">
        <w:rPr>
          <w:bCs/>
          <w:lang w:bidi="he-IL"/>
        </w:rPr>
        <w:t>universities</w:t>
      </w:r>
      <w:r w:rsidR="003B3877">
        <w:rPr>
          <w:bCs/>
          <w:lang w:bidi="he-IL"/>
        </w:rPr>
        <w:t xml:space="preserve">. </w:t>
      </w:r>
      <w:r w:rsidR="00AD689D">
        <w:rPr>
          <w:bCs/>
          <w:lang w:bidi="he-IL"/>
        </w:rPr>
        <w:t xml:space="preserve">However, </w:t>
      </w:r>
      <w:r w:rsidR="00B12226">
        <w:rPr>
          <w:bCs/>
          <w:lang w:bidi="he-IL"/>
        </w:rPr>
        <w:t>t</w:t>
      </w:r>
      <w:r w:rsidR="00B12226" w:rsidRPr="00526B6B">
        <w:rPr>
          <w:bCs/>
          <w:lang w:bidi="he-IL"/>
        </w:rPr>
        <w:t xml:space="preserve">his </w:t>
      </w:r>
      <w:r w:rsidR="00603679">
        <w:rPr>
          <w:bCs/>
          <w:lang w:bidi="he-IL"/>
        </w:rPr>
        <w:t>belief</w:t>
      </w:r>
      <w:r w:rsidR="00603679" w:rsidRPr="00526B6B">
        <w:rPr>
          <w:bCs/>
          <w:lang w:bidi="he-IL"/>
        </w:rPr>
        <w:t xml:space="preserve"> </w:t>
      </w:r>
      <w:r w:rsidR="00A852F7">
        <w:rPr>
          <w:bCs/>
          <w:lang w:bidi="he-IL"/>
        </w:rPr>
        <w:t>of accurate matching between talent and university tier-level</w:t>
      </w:r>
      <w:r w:rsidR="00B12226">
        <w:rPr>
          <w:bCs/>
          <w:lang w:bidi="he-IL"/>
        </w:rPr>
        <w:t xml:space="preserve"> </w:t>
      </w:r>
      <w:r w:rsidR="003B3877" w:rsidRPr="00526B6B">
        <w:rPr>
          <w:bCs/>
          <w:lang w:bidi="he-IL"/>
        </w:rPr>
        <w:t>should not be taken lightly as it has major economic consequences.</w:t>
      </w:r>
      <w:r w:rsidR="003B3877">
        <w:rPr>
          <w:bCs/>
          <w:lang w:bidi="he-IL"/>
        </w:rPr>
        <w:t xml:space="preserve"> </w:t>
      </w:r>
      <w:r w:rsidR="00250D07">
        <w:rPr>
          <w:bCs/>
          <w:lang w:bidi="he-IL"/>
        </w:rPr>
        <w:t xml:space="preserve">Faculty </w:t>
      </w:r>
      <w:r w:rsidR="003B3877">
        <w:rPr>
          <w:bCs/>
          <w:lang w:bidi="he-IL"/>
        </w:rPr>
        <w:t>of t</w:t>
      </w:r>
      <w:r w:rsidR="003B3877" w:rsidRPr="00526B6B">
        <w:rPr>
          <w:bCs/>
          <w:lang w:bidi="he-IL"/>
        </w:rPr>
        <w:t>op</w:t>
      </w:r>
      <w:r w:rsidR="002F426D">
        <w:rPr>
          <w:bCs/>
          <w:lang w:bidi="he-IL"/>
        </w:rPr>
        <w:t>-tier</w:t>
      </w:r>
      <w:r w:rsidR="003B3877" w:rsidRPr="00526B6B">
        <w:rPr>
          <w:bCs/>
          <w:lang w:bidi="he-IL"/>
        </w:rPr>
        <w:t xml:space="preserve"> </w:t>
      </w:r>
      <w:r w:rsidR="003B3877">
        <w:rPr>
          <w:bCs/>
          <w:lang w:bidi="he-IL"/>
        </w:rPr>
        <w:t xml:space="preserve">universities </w:t>
      </w:r>
      <w:r w:rsidR="003B3877" w:rsidRPr="00526B6B">
        <w:rPr>
          <w:bCs/>
          <w:lang w:bidi="he-IL"/>
        </w:rPr>
        <w:t xml:space="preserve">are </w:t>
      </w:r>
      <w:r w:rsidR="003B3877">
        <w:rPr>
          <w:bCs/>
          <w:lang w:bidi="he-IL"/>
        </w:rPr>
        <w:t>able to solicit</w:t>
      </w:r>
      <w:r w:rsidR="003B3877" w:rsidRPr="00526B6B">
        <w:rPr>
          <w:bCs/>
          <w:lang w:bidi="he-IL"/>
        </w:rPr>
        <w:t xml:space="preserve"> </w:t>
      </w:r>
      <w:r w:rsidR="003B3877">
        <w:rPr>
          <w:bCs/>
          <w:lang w:bidi="he-IL"/>
        </w:rPr>
        <w:t>larger amount</w:t>
      </w:r>
      <w:r w:rsidR="00D335E8">
        <w:rPr>
          <w:bCs/>
          <w:lang w:bidi="he-IL"/>
        </w:rPr>
        <w:t>s</w:t>
      </w:r>
      <w:r w:rsidR="003B3877">
        <w:rPr>
          <w:bCs/>
          <w:lang w:bidi="he-IL"/>
        </w:rPr>
        <w:t xml:space="preserve"> of </w:t>
      </w:r>
      <w:r w:rsidR="003B3877" w:rsidRPr="00526B6B">
        <w:rPr>
          <w:bCs/>
          <w:lang w:bidi="he-IL"/>
        </w:rPr>
        <w:t>funds</w:t>
      </w:r>
      <w:r w:rsidR="003B3877">
        <w:rPr>
          <w:bCs/>
          <w:lang w:bidi="he-IL"/>
        </w:rPr>
        <w:t xml:space="preserve"> to support research, and </w:t>
      </w:r>
      <w:r w:rsidR="003B3877" w:rsidRPr="00526B6B">
        <w:rPr>
          <w:bCs/>
          <w:lang w:bidi="he-IL"/>
        </w:rPr>
        <w:t xml:space="preserve">are provided privileges </w:t>
      </w:r>
      <w:r w:rsidR="003B3877">
        <w:rPr>
          <w:bCs/>
          <w:lang w:bidi="he-IL"/>
        </w:rPr>
        <w:t xml:space="preserve">such as extra research </w:t>
      </w:r>
      <w:r w:rsidR="003B3877" w:rsidRPr="00526B6B">
        <w:rPr>
          <w:bCs/>
          <w:lang w:bidi="he-IL"/>
        </w:rPr>
        <w:t>support</w:t>
      </w:r>
      <w:r w:rsidR="00735ECE">
        <w:rPr>
          <w:bCs/>
          <w:lang w:bidi="he-IL"/>
        </w:rPr>
        <w:t xml:space="preserve"> and</w:t>
      </w:r>
      <w:r w:rsidR="003B3877">
        <w:rPr>
          <w:bCs/>
          <w:lang w:bidi="he-IL"/>
        </w:rPr>
        <w:t xml:space="preserve"> </w:t>
      </w:r>
      <w:r w:rsidR="003B3877" w:rsidRPr="00526B6B">
        <w:rPr>
          <w:bCs/>
          <w:lang w:bidi="he-IL"/>
        </w:rPr>
        <w:t xml:space="preserve">reduced teaching loads, which are not equally available </w:t>
      </w:r>
      <w:r w:rsidR="003B3877">
        <w:rPr>
          <w:bCs/>
          <w:lang w:bidi="he-IL"/>
        </w:rPr>
        <w:t xml:space="preserve">for faculty in lower ranked </w:t>
      </w:r>
      <w:r w:rsidR="002F426D">
        <w:rPr>
          <w:bCs/>
          <w:lang w:bidi="he-IL"/>
        </w:rPr>
        <w:t>universities</w:t>
      </w:r>
      <w:r w:rsidR="003B3877" w:rsidRPr="00526B6B">
        <w:rPr>
          <w:bCs/>
          <w:lang w:bidi="he-IL"/>
        </w:rPr>
        <w:t>.</w:t>
      </w:r>
      <w:r w:rsidR="00B12226">
        <w:rPr>
          <w:bCs/>
          <w:lang w:bidi="he-IL"/>
        </w:rPr>
        <w:t xml:space="preserve"> </w:t>
      </w:r>
      <w:r w:rsidR="00425968">
        <w:rPr>
          <w:bCs/>
          <w:lang w:bidi="he-IL"/>
        </w:rPr>
        <w:t>T</w:t>
      </w:r>
      <w:r w:rsidR="00B12226">
        <w:rPr>
          <w:bCs/>
          <w:lang w:bidi="he-IL"/>
        </w:rPr>
        <w:t xml:space="preserve">hey are </w:t>
      </w:r>
      <w:r w:rsidR="00B90AD2">
        <w:rPr>
          <w:bCs/>
          <w:lang w:bidi="he-IL"/>
        </w:rPr>
        <w:t>further</w:t>
      </w:r>
      <w:r w:rsidR="00B12226">
        <w:rPr>
          <w:bCs/>
          <w:lang w:bidi="he-IL"/>
        </w:rPr>
        <w:t xml:space="preserve"> armed with learning opportunities, purpose and pride not equally present in other universities.</w:t>
      </w:r>
      <w:r w:rsidR="003B3877" w:rsidRPr="00526B6B">
        <w:rPr>
          <w:bCs/>
          <w:lang w:bidi="he-IL"/>
        </w:rPr>
        <w:t xml:space="preserve"> This brings about the chicken and egg dilemma: To what extent can the </w:t>
      </w:r>
      <w:r w:rsidR="003B3877">
        <w:rPr>
          <w:bCs/>
          <w:lang w:bidi="he-IL"/>
        </w:rPr>
        <w:t xml:space="preserve">relatively high </w:t>
      </w:r>
      <w:r w:rsidR="003B3877" w:rsidRPr="00526B6B">
        <w:rPr>
          <w:bCs/>
          <w:lang w:bidi="he-IL"/>
        </w:rPr>
        <w:t>productivity of researchers in top</w:t>
      </w:r>
      <w:r w:rsidR="002F426D">
        <w:rPr>
          <w:bCs/>
          <w:lang w:bidi="he-IL"/>
        </w:rPr>
        <w:t>-tier</w:t>
      </w:r>
      <w:r w:rsidR="003B3877" w:rsidRPr="00526B6B">
        <w:rPr>
          <w:bCs/>
          <w:lang w:bidi="he-IL"/>
        </w:rPr>
        <w:t xml:space="preserve"> </w:t>
      </w:r>
      <w:r w:rsidR="002F426D">
        <w:rPr>
          <w:bCs/>
          <w:lang w:bidi="he-IL"/>
        </w:rPr>
        <w:t>universities</w:t>
      </w:r>
      <w:r w:rsidR="002F426D" w:rsidRPr="00526B6B">
        <w:rPr>
          <w:bCs/>
          <w:lang w:bidi="he-IL"/>
        </w:rPr>
        <w:t xml:space="preserve"> </w:t>
      </w:r>
      <w:r w:rsidR="003B3877" w:rsidRPr="00526B6B">
        <w:rPr>
          <w:bCs/>
          <w:lang w:bidi="he-IL"/>
        </w:rPr>
        <w:t xml:space="preserve">be attributed to the researchers’ talent rather than the superior </w:t>
      </w:r>
      <w:r w:rsidR="00D335E8">
        <w:rPr>
          <w:bCs/>
          <w:lang w:bidi="he-IL"/>
        </w:rPr>
        <w:t>research</w:t>
      </w:r>
      <w:r w:rsidR="00D335E8" w:rsidRPr="00526B6B">
        <w:rPr>
          <w:bCs/>
          <w:lang w:bidi="he-IL"/>
        </w:rPr>
        <w:t xml:space="preserve"> </w:t>
      </w:r>
      <w:r w:rsidR="003B3877" w:rsidRPr="00526B6B">
        <w:rPr>
          <w:bCs/>
          <w:lang w:bidi="he-IL"/>
        </w:rPr>
        <w:t xml:space="preserve">environment </w:t>
      </w:r>
      <w:r w:rsidR="00D335E8">
        <w:rPr>
          <w:bCs/>
          <w:lang w:bidi="he-IL"/>
        </w:rPr>
        <w:t xml:space="preserve">of their </w:t>
      </w:r>
      <w:r w:rsidR="00425968">
        <w:rPr>
          <w:bCs/>
          <w:lang w:bidi="he-IL"/>
        </w:rPr>
        <w:t>universities</w:t>
      </w:r>
      <w:r w:rsidR="003B3877" w:rsidRPr="00526B6B">
        <w:rPr>
          <w:bCs/>
          <w:lang w:bidi="he-IL"/>
        </w:rPr>
        <w:t>?</w:t>
      </w:r>
      <w:r w:rsidR="00B753A2" w:rsidRPr="00B753A2">
        <w:rPr>
          <w:rStyle w:val="FootnoteReference"/>
          <w:bCs/>
          <w:lang w:bidi="he-IL"/>
        </w:rPr>
        <w:t xml:space="preserve"> </w:t>
      </w:r>
    </w:p>
    <w:p w14:paraId="077C98C0" w14:textId="07C48AB3" w:rsidR="003B3877" w:rsidRDefault="003B3877" w:rsidP="009C6ED6">
      <w:pPr>
        <w:autoSpaceDE w:val="0"/>
        <w:autoSpaceDN w:val="0"/>
        <w:adjustRightInd w:val="0"/>
        <w:spacing w:line="480" w:lineRule="auto"/>
        <w:ind w:firstLine="720"/>
        <w:jc w:val="both"/>
        <w:rPr>
          <w:bCs/>
          <w:lang w:bidi="he-IL"/>
        </w:rPr>
      </w:pPr>
      <w:r>
        <w:rPr>
          <w:bCs/>
          <w:lang w:bidi="he-IL"/>
        </w:rPr>
        <w:t>Our objective in this paper is to infer how much of a researcher</w:t>
      </w:r>
      <w:r w:rsidR="009C6ED6">
        <w:rPr>
          <w:bCs/>
          <w:lang w:bidi="he-IL"/>
        </w:rPr>
        <w:t>’</w:t>
      </w:r>
      <w:r>
        <w:rPr>
          <w:bCs/>
          <w:lang w:bidi="he-IL"/>
        </w:rPr>
        <w:t xml:space="preserve">s productivity can be attributed to </w:t>
      </w:r>
      <w:r w:rsidR="00DD5DE5">
        <w:rPr>
          <w:bCs/>
          <w:lang w:bidi="he-IL"/>
        </w:rPr>
        <w:t>talent</w:t>
      </w:r>
      <w:r>
        <w:rPr>
          <w:bCs/>
          <w:lang w:bidi="he-IL"/>
        </w:rPr>
        <w:t xml:space="preserve"> (</w:t>
      </w:r>
      <w:r w:rsidR="00DD5DE5">
        <w:rPr>
          <w:bCs/>
          <w:lang w:bidi="he-IL"/>
        </w:rPr>
        <w:t xml:space="preserve">defined as </w:t>
      </w:r>
      <w:r w:rsidR="00B753A2">
        <w:rPr>
          <w:bCs/>
          <w:lang w:bidi="he-IL"/>
        </w:rPr>
        <w:t xml:space="preserve">research </w:t>
      </w:r>
      <w:r>
        <w:rPr>
          <w:bCs/>
          <w:lang w:bidi="he-IL"/>
        </w:rPr>
        <w:t>abilities</w:t>
      </w:r>
      <w:r w:rsidR="00032DD7">
        <w:rPr>
          <w:bCs/>
          <w:lang w:bidi="he-IL"/>
        </w:rPr>
        <w:t xml:space="preserve"> at PhD completion</w:t>
      </w:r>
      <w:r>
        <w:rPr>
          <w:bCs/>
          <w:lang w:bidi="he-IL"/>
        </w:rPr>
        <w:t>)</w:t>
      </w:r>
      <w:r w:rsidR="00212A29">
        <w:rPr>
          <w:rStyle w:val="FootnoteReference"/>
          <w:bCs/>
          <w:lang w:bidi="he-IL"/>
        </w:rPr>
        <w:footnoteReference w:id="2"/>
      </w:r>
      <w:r w:rsidR="00212A29" w:rsidRPr="00526B6B">
        <w:rPr>
          <w:bCs/>
          <w:lang w:bidi="he-IL"/>
        </w:rPr>
        <w:t xml:space="preserve"> </w:t>
      </w:r>
      <w:r>
        <w:rPr>
          <w:bCs/>
          <w:lang w:bidi="he-IL"/>
        </w:rPr>
        <w:t>and how much can be attributed to the nurturing of the university</w:t>
      </w:r>
      <w:r w:rsidR="00286C8D">
        <w:rPr>
          <w:bCs/>
          <w:lang w:bidi="he-IL"/>
        </w:rPr>
        <w:t xml:space="preserve"> that employed the researcher</w:t>
      </w:r>
      <w:r>
        <w:rPr>
          <w:bCs/>
          <w:lang w:bidi="he-IL"/>
        </w:rPr>
        <w:t>. Namely, there are two non-exclusive perspectives concerning the determinants of research productivity</w:t>
      </w:r>
      <w:r w:rsidR="009C6ED6">
        <w:rPr>
          <w:bCs/>
          <w:lang w:bidi="he-IL"/>
        </w:rPr>
        <w:t>, whose relative contribution we aim to quantify</w:t>
      </w:r>
      <w:r>
        <w:rPr>
          <w:bCs/>
          <w:lang w:bidi="he-IL"/>
        </w:rPr>
        <w:t xml:space="preserve">. The </w:t>
      </w:r>
      <w:r w:rsidR="00032DD7" w:rsidRPr="00475E54">
        <w:rPr>
          <w:bCs/>
          <w:i/>
          <w:iCs/>
          <w:lang w:bidi="he-IL"/>
        </w:rPr>
        <w:t>talent</w:t>
      </w:r>
      <w:r w:rsidRPr="00475E54">
        <w:rPr>
          <w:bCs/>
          <w:i/>
          <w:iCs/>
          <w:lang w:bidi="he-IL"/>
        </w:rPr>
        <w:t xml:space="preserve"> perspective </w:t>
      </w:r>
      <w:r>
        <w:rPr>
          <w:bCs/>
          <w:lang w:bidi="he-IL"/>
        </w:rPr>
        <w:t xml:space="preserve">is that </w:t>
      </w:r>
      <w:r w:rsidRPr="00526B6B">
        <w:rPr>
          <w:bCs/>
          <w:lang w:bidi="he-IL"/>
        </w:rPr>
        <w:t xml:space="preserve">research abilities are </w:t>
      </w:r>
      <w:r>
        <w:rPr>
          <w:bCs/>
          <w:lang w:bidi="he-IL"/>
        </w:rPr>
        <w:t xml:space="preserve">predominantly determined by </w:t>
      </w:r>
      <w:r w:rsidR="00032DD7">
        <w:rPr>
          <w:bCs/>
          <w:lang w:bidi="he-IL"/>
        </w:rPr>
        <w:t>the time a researcher completed his/her PhD studies</w:t>
      </w:r>
      <w:r>
        <w:rPr>
          <w:bCs/>
          <w:lang w:bidi="he-IL"/>
        </w:rPr>
        <w:t xml:space="preserve">, and thus, scholarly productivity is not related to the </w:t>
      </w:r>
      <w:r w:rsidR="00845EF7">
        <w:rPr>
          <w:bCs/>
          <w:lang w:bidi="he-IL"/>
        </w:rPr>
        <w:t>identity of the university</w:t>
      </w:r>
      <w:r>
        <w:rPr>
          <w:bCs/>
          <w:lang w:bidi="he-IL"/>
        </w:rPr>
        <w:t xml:space="preserve"> </w:t>
      </w:r>
      <w:r w:rsidR="00845EF7">
        <w:rPr>
          <w:bCs/>
          <w:lang w:bidi="he-IL"/>
        </w:rPr>
        <w:t xml:space="preserve">which hired </w:t>
      </w:r>
      <w:r>
        <w:rPr>
          <w:bCs/>
          <w:lang w:bidi="he-IL"/>
        </w:rPr>
        <w:t>the researcher</w:t>
      </w:r>
      <w:r w:rsidR="00845EF7">
        <w:rPr>
          <w:bCs/>
          <w:lang w:bidi="he-IL"/>
        </w:rPr>
        <w:t xml:space="preserve"> upon PhD completion</w:t>
      </w:r>
      <w:r>
        <w:rPr>
          <w:bCs/>
          <w:lang w:bidi="he-IL"/>
        </w:rPr>
        <w:t xml:space="preserve">. Perhaps the most famous </w:t>
      </w:r>
      <w:r>
        <w:rPr>
          <w:bCs/>
          <w:lang w:bidi="he-IL"/>
        </w:rPr>
        <w:lastRenderedPageBreak/>
        <w:t>example supporting this notion is that of Nobel laureate Albert Einstein, who made extraordinary academic contributions during his initial career, even though he was not affiliated with a top-</w:t>
      </w:r>
      <w:r w:rsidR="002F426D">
        <w:rPr>
          <w:bCs/>
          <w:lang w:bidi="he-IL"/>
        </w:rPr>
        <w:t>tier</w:t>
      </w:r>
      <w:r>
        <w:rPr>
          <w:bCs/>
          <w:lang w:bidi="he-IL"/>
        </w:rPr>
        <w:t xml:space="preserve"> university.</w:t>
      </w:r>
      <w:r>
        <w:rPr>
          <w:rStyle w:val="FootnoteReference"/>
          <w:bCs/>
          <w:lang w:bidi="he-IL"/>
        </w:rPr>
        <w:footnoteReference w:id="3"/>
      </w:r>
      <w:r>
        <w:rPr>
          <w:bCs/>
          <w:lang w:bidi="he-IL"/>
        </w:rPr>
        <w:t xml:space="preserve"> </w:t>
      </w:r>
      <w:r w:rsidRPr="00526B6B">
        <w:rPr>
          <w:bCs/>
          <w:lang w:bidi="he-IL"/>
        </w:rPr>
        <w:t xml:space="preserve">On the other hand, </w:t>
      </w:r>
      <w:r>
        <w:rPr>
          <w:bCs/>
          <w:lang w:bidi="he-IL"/>
        </w:rPr>
        <w:t xml:space="preserve">one must agree that research </w:t>
      </w:r>
      <w:r w:rsidRPr="00526B6B">
        <w:rPr>
          <w:bCs/>
          <w:lang w:bidi="he-IL"/>
        </w:rPr>
        <w:t xml:space="preserve">productivity of scholars </w:t>
      </w:r>
      <w:r w:rsidR="00475E54">
        <w:rPr>
          <w:bCs/>
          <w:lang w:bidi="he-IL"/>
        </w:rPr>
        <w:t>at</w:t>
      </w:r>
      <w:r w:rsidRPr="00526B6B">
        <w:rPr>
          <w:bCs/>
          <w:lang w:bidi="he-IL"/>
        </w:rPr>
        <w:t xml:space="preserve"> top</w:t>
      </w:r>
      <w:r w:rsidR="002F426D">
        <w:rPr>
          <w:bCs/>
          <w:lang w:bidi="he-IL"/>
        </w:rPr>
        <w:t>-tier</w:t>
      </w:r>
      <w:r w:rsidRPr="00526B6B">
        <w:rPr>
          <w:bCs/>
          <w:lang w:bidi="he-IL"/>
        </w:rPr>
        <w:t xml:space="preserve"> </w:t>
      </w:r>
      <w:r w:rsidR="002F426D">
        <w:rPr>
          <w:bCs/>
          <w:lang w:bidi="he-IL"/>
        </w:rPr>
        <w:t>universities</w:t>
      </w:r>
      <w:r w:rsidR="002F426D" w:rsidRPr="00526B6B">
        <w:rPr>
          <w:bCs/>
          <w:lang w:bidi="he-IL"/>
        </w:rPr>
        <w:t xml:space="preserve"> </w:t>
      </w:r>
      <w:r w:rsidRPr="00526B6B">
        <w:rPr>
          <w:bCs/>
          <w:lang w:bidi="he-IL"/>
        </w:rPr>
        <w:t xml:space="preserve">is achieved in an uneven playing field, under a highly supporting </w:t>
      </w:r>
      <w:r>
        <w:rPr>
          <w:bCs/>
          <w:lang w:bidi="he-IL"/>
        </w:rPr>
        <w:t xml:space="preserve">research </w:t>
      </w:r>
      <w:r w:rsidRPr="00526B6B">
        <w:rPr>
          <w:bCs/>
          <w:lang w:bidi="he-IL"/>
        </w:rPr>
        <w:t xml:space="preserve">environment. </w:t>
      </w:r>
      <w:r>
        <w:rPr>
          <w:bCs/>
          <w:lang w:bidi="he-IL"/>
        </w:rPr>
        <w:t xml:space="preserve">This observation supports the </w:t>
      </w:r>
      <w:r w:rsidRPr="00475E54">
        <w:rPr>
          <w:bCs/>
          <w:i/>
          <w:iCs/>
          <w:lang w:bidi="he-IL"/>
        </w:rPr>
        <w:t>nurtur</w:t>
      </w:r>
      <w:r w:rsidR="00475E54" w:rsidRPr="00475E54">
        <w:rPr>
          <w:bCs/>
          <w:i/>
          <w:iCs/>
          <w:lang w:bidi="he-IL"/>
        </w:rPr>
        <w:t>ing</w:t>
      </w:r>
      <w:r w:rsidRPr="00475E54">
        <w:rPr>
          <w:bCs/>
          <w:i/>
          <w:iCs/>
          <w:lang w:bidi="he-IL"/>
        </w:rPr>
        <w:t xml:space="preserve"> perspective</w:t>
      </w:r>
      <w:r w:rsidR="009C6ED6" w:rsidRPr="00425968">
        <w:rPr>
          <w:bCs/>
          <w:lang w:bidi="he-IL"/>
        </w:rPr>
        <w:t>,</w:t>
      </w:r>
      <w:r w:rsidR="00475E54">
        <w:rPr>
          <w:bCs/>
          <w:lang w:bidi="he-IL"/>
        </w:rPr>
        <w:t xml:space="preserve"> which claims that scholarly productivity is determined by </w:t>
      </w:r>
      <w:r w:rsidR="004E7B68">
        <w:rPr>
          <w:bCs/>
          <w:lang w:bidi="he-IL"/>
        </w:rPr>
        <w:t xml:space="preserve">the </w:t>
      </w:r>
      <w:r w:rsidR="00475E54">
        <w:rPr>
          <w:bCs/>
          <w:lang w:bidi="he-IL"/>
        </w:rPr>
        <w:t>environment</w:t>
      </w:r>
      <w:r w:rsidR="004E7B68">
        <w:rPr>
          <w:bCs/>
          <w:lang w:bidi="he-IL"/>
        </w:rPr>
        <w:t xml:space="preserve"> in which the researcher conducts research</w:t>
      </w:r>
      <w:r w:rsidR="00475E54">
        <w:rPr>
          <w:bCs/>
          <w:lang w:bidi="he-IL"/>
        </w:rPr>
        <w:t>. According to this perspective</w:t>
      </w:r>
      <w:r>
        <w:rPr>
          <w:bCs/>
          <w:lang w:bidi="he-IL"/>
        </w:rPr>
        <w:t xml:space="preserve">, many </w:t>
      </w:r>
      <w:r w:rsidRPr="00526B6B">
        <w:rPr>
          <w:bCs/>
          <w:lang w:bidi="he-IL"/>
        </w:rPr>
        <w:t xml:space="preserve">scholars in lower ranked </w:t>
      </w:r>
      <w:r w:rsidR="002F426D">
        <w:rPr>
          <w:bCs/>
          <w:lang w:bidi="he-IL"/>
        </w:rPr>
        <w:t xml:space="preserve">universities </w:t>
      </w:r>
      <w:r w:rsidR="00475E54">
        <w:rPr>
          <w:bCs/>
          <w:lang w:bidi="he-IL"/>
        </w:rPr>
        <w:t>w</w:t>
      </w:r>
      <w:r w:rsidRPr="00526B6B">
        <w:rPr>
          <w:bCs/>
          <w:lang w:bidi="he-IL"/>
        </w:rPr>
        <w:t xml:space="preserve">ould </w:t>
      </w:r>
      <w:r>
        <w:rPr>
          <w:bCs/>
          <w:lang w:bidi="he-IL"/>
        </w:rPr>
        <w:t xml:space="preserve">have </w:t>
      </w:r>
      <w:r w:rsidRPr="00526B6B">
        <w:rPr>
          <w:bCs/>
          <w:lang w:bidi="he-IL"/>
        </w:rPr>
        <w:t>reach</w:t>
      </w:r>
      <w:r>
        <w:rPr>
          <w:bCs/>
          <w:lang w:bidi="he-IL"/>
        </w:rPr>
        <w:t>ed</w:t>
      </w:r>
      <w:r w:rsidRPr="00526B6B">
        <w:rPr>
          <w:bCs/>
          <w:lang w:bidi="he-IL"/>
        </w:rPr>
        <w:t xml:space="preserve"> similar </w:t>
      </w:r>
      <w:r>
        <w:rPr>
          <w:bCs/>
          <w:lang w:bidi="he-IL"/>
        </w:rPr>
        <w:t>scholarly achievements</w:t>
      </w:r>
      <w:r w:rsidRPr="00526B6B">
        <w:rPr>
          <w:bCs/>
          <w:lang w:bidi="he-IL"/>
        </w:rPr>
        <w:t xml:space="preserve"> </w:t>
      </w:r>
      <w:r w:rsidR="00475E54">
        <w:rPr>
          <w:bCs/>
          <w:lang w:bidi="he-IL"/>
        </w:rPr>
        <w:t xml:space="preserve">as </w:t>
      </w:r>
      <w:r w:rsidR="009C6ED6">
        <w:rPr>
          <w:bCs/>
          <w:lang w:bidi="he-IL"/>
        </w:rPr>
        <w:t xml:space="preserve">those </w:t>
      </w:r>
      <w:r w:rsidR="00475E54">
        <w:rPr>
          <w:bCs/>
          <w:lang w:bidi="he-IL"/>
        </w:rPr>
        <w:t xml:space="preserve">of researchers in top-tier </w:t>
      </w:r>
      <w:r w:rsidR="002F426D">
        <w:rPr>
          <w:bCs/>
          <w:lang w:bidi="he-IL"/>
        </w:rPr>
        <w:t>universities</w:t>
      </w:r>
      <w:r w:rsidR="009C6ED6">
        <w:rPr>
          <w:bCs/>
          <w:lang w:bidi="he-IL"/>
        </w:rPr>
        <w:t>,</w:t>
      </w:r>
      <w:r w:rsidR="002F426D" w:rsidRPr="00526B6B">
        <w:rPr>
          <w:bCs/>
          <w:lang w:bidi="he-IL"/>
        </w:rPr>
        <w:t xml:space="preserve"> </w:t>
      </w:r>
      <w:r w:rsidRPr="00526B6B">
        <w:rPr>
          <w:bCs/>
          <w:lang w:bidi="he-IL"/>
        </w:rPr>
        <w:t xml:space="preserve">if granted </w:t>
      </w:r>
      <w:r w:rsidR="005F39BB">
        <w:rPr>
          <w:bCs/>
          <w:lang w:bidi="he-IL"/>
        </w:rPr>
        <w:t xml:space="preserve">a </w:t>
      </w:r>
      <w:r w:rsidRPr="00526B6B">
        <w:rPr>
          <w:bCs/>
          <w:lang w:bidi="he-IL"/>
        </w:rPr>
        <w:t>similar</w:t>
      </w:r>
      <w:r w:rsidR="009C6ED6">
        <w:rPr>
          <w:bCs/>
          <w:lang w:bidi="he-IL"/>
        </w:rPr>
        <w:t xml:space="preserve">, top-tier, </w:t>
      </w:r>
      <w:r>
        <w:rPr>
          <w:bCs/>
          <w:lang w:bidi="he-IL"/>
        </w:rPr>
        <w:t xml:space="preserve">nurturing </w:t>
      </w:r>
      <w:r w:rsidR="009C6ED6">
        <w:rPr>
          <w:bCs/>
          <w:lang w:bidi="he-IL"/>
        </w:rPr>
        <w:t>environment</w:t>
      </w:r>
      <w:r>
        <w:rPr>
          <w:bCs/>
          <w:lang w:bidi="he-IL"/>
        </w:rPr>
        <w:t xml:space="preserve">. If the nurture component is significant it would imply that </w:t>
      </w:r>
      <w:r w:rsidRPr="00526B6B">
        <w:rPr>
          <w:bCs/>
          <w:lang w:bidi="he-IL"/>
        </w:rPr>
        <w:t>initial plac</w:t>
      </w:r>
      <w:r>
        <w:rPr>
          <w:bCs/>
          <w:lang w:bidi="he-IL"/>
        </w:rPr>
        <w:t>ement decisions</w:t>
      </w:r>
      <w:r w:rsidRPr="00526B6B">
        <w:rPr>
          <w:bCs/>
          <w:lang w:bidi="he-IL"/>
        </w:rPr>
        <w:t xml:space="preserve"> have a significant role in </w:t>
      </w:r>
      <w:r>
        <w:rPr>
          <w:bCs/>
          <w:lang w:bidi="he-IL"/>
        </w:rPr>
        <w:t>scholarly</w:t>
      </w:r>
      <w:r w:rsidRPr="00526B6B">
        <w:rPr>
          <w:bCs/>
          <w:lang w:bidi="he-IL"/>
        </w:rPr>
        <w:t xml:space="preserve"> performance. A role which is much more significant than commonly perceived. </w:t>
      </w:r>
      <w:r w:rsidR="00557D4F">
        <w:rPr>
          <w:bCs/>
          <w:lang w:bidi="he-IL"/>
        </w:rPr>
        <w:t xml:space="preserve">Accordingly, in this research we ask what </w:t>
      </w:r>
      <w:r w:rsidR="00530BA8">
        <w:rPr>
          <w:bCs/>
          <w:lang w:bidi="he-IL"/>
        </w:rPr>
        <w:t xml:space="preserve">is </w:t>
      </w:r>
      <w:r w:rsidR="00557D4F">
        <w:rPr>
          <w:bCs/>
          <w:lang w:bidi="he-IL"/>
        </w:rPr>
        <w:t>the relative role of university nurturing</w:t>
      </w:r>
      <w:r w:rsidR="00530BA8">
        <w:rPr>
          <w:bCs/>
          <w:lang w:bidi="he-IL"/>
        </w:rPr>
        <w:t xml:space="preserve"> (</w:t>
      </w:r>
      <w:r w:rsidR="00557D4F">
        <w:rPr>
          <w:bCs/>
          <w:lang w:bidi="he-IL"/>
        </w:rPr>
        <w:t>vs talent</w:t>
      </w:r>
      <w:r w:rsidR="00530BA8">
        <w:rPr>
          <w:bCs/>
          <w:lang w:bidi="he-IL"/>
        </w:rPr>
        <w:t>),</w:t>
      </w:r>
      <w:r w:rsidR="00557D4F">
        <w:rPr>
          <w:bCs/>
          <w:lang w:bidi="he-IL"/>
        </w:rPr>
        <w:t xml:space="preserve"> in research productivity.</w:t>
      </w:r>
    </w:p>
    <w:p w14:paraId="51FCABD5" w14:textId="4CD1E4DE" w:rsidR="003B3877" w:rsidRDefault="00946F92" w:rsidP="0030604F">
      <w:pPr>
        <w:autoSpaceDE w:val="0"/>
        <w:autoSpaceDN w:val="0"/>
        <w:adjustRightInd w:val="0"/>
        <w:spacing w:line="480" w:lineRule="auto"/>
        <w:ind w:firstLine="720"/>
        <w:jc w:val="both"/>
        <w:rPr>
          <w:bCs/>
          <w:lang w:bidi="he-IL"/>
        </w:rPr>
      </w:pPr>
      <w:r>
        <w:rPr>
          <w:bCs/>
          <w:lang w:bidi="he-IL"/>
        </w:rPr>
        <w:t>Our empirical analysis concerns analyzing the research productivity of faculty over their academic career. In particular,</w:t>
      </w:r>
      <w:r w:rsidR="00BD0753">
        <w:rPr>
          <w:bCs/>
          <w:lang w:bidi="he-IL"/>
        </w:rPr>
        <w:t xml:space="preserve"> we analyze</w:t>
      </w:r>
      <w:r w:rsidR="003B3877">
        <w:rPr>
          <w:bCs/>
          <w:lang w:bidi="he-IL"/>
        </w:rPr>
        <w:t xml:space="preserve"> finance</w:t>
      </w:r>
      <w:r w:rsidR="00990F0D">
        <w:rPr>
          <w:rStyle w:val="FootnoteReference"/>
          <w:bCs/>
          <w:lang w:bidi="he-IL"/>
        </w:rPr>
        <w:footnoteReference w:id="4"/>
      </w:r>
      <w:r w:rsidR="003B3877">
        <w:rPr>
          <w:bCs/>
          <w:lang w:bidi="he-IL"/>
        </w:rPr>
        <w:t xml:space="preserve"> researchers whose first affiliation is in </w:t>
      </w:r>
      <w:r w:rsidR="005F39BB">
        <w:rPr>
          <w:bCs/>
          <w:lang w:bidi="he-IL"/>
        </w:rPr>
        <w:t xml:space="preserve">one of the </w:t>
      </w:r>
      <w:r w:rsidR="003B3877">
        <w:rPr>
          <w:bCs/>
          <w:lang w:bidi="he-IL"/>
        </w:rPr>
        <w:t>top</w:t>
      </w:r>
      <w:r w:rsidR="002F426D">
        <w:rPr>
          <w:bCs/>
          <w:lang w:bidi="he-IL"/>
        </w:rPr>
        <w:t>-</w:t>
      </w:r>
      <w:r w:rsidR="003B3877">
        <w:rPr>
          <w:bCs/>
          <w:lang w:bidi="he-IL"/>
        </w:rPr>
        <w:t xml:space="preserve">tier </w:t>
      </w:r>
      <w:r w:rsidR="002F426D">
        <w:rPr>
          <w:bCs/>
          <w:lang w:bidi="he-IL"/>
        </w:rPr>
        <w:t xml:space="preserve">universities </w:t>
      </w:r>
      <w:r w:rsidR="003B3877">
        <w:rPr>
          <w:bCs/>
          <w:lang w:bidi="he-IL"/>
        </w:rPr>
        <w:t>(</w:t>
      </w:r>
      <w:r w:rsidR="002F426D">
        <w:rPr>
          <w:bCs/>
          <w:lang w:bidi="he-IL"/>
        </w:rPr>
        <w:t xml:space="preserve">defined as the </w:t>
      </w:r>
      <w:r w:rsidR="003B3877">
        <w:rPr>
          <w:bCs/>
          <w:lang w:bidi="he-IL"/>
        </w:rPr>
        <w:t xml:space="preserve">top 20 ranked universities) and compare it against that of finance researchers whose first affiliation is in </w:t>
      </w:r>
      <w:r w:rsidR="005F39BB">
        <w:rPr>
          <w:bCs/>
          <w:lang w:bidi="he-IL"/>
        </w:rPr>
        <w:t xml:space="preserve">a </w:t>
      </w:r>
      <w:r w:rsidR="007D4FAE">
        <w:rPr>
          <w:bCs/>
          <w:lang w:bidi="he-IL"/>
        </w:rPr>
        <w:t>second-tier</w:t>
      </w:r>
      <w:r w:rsidR="003B3877">
        <w:rPr>
          <w:bCs/>
          <w:lang w:bidi="he-IL"/>
        </w:rPr>
        <w:t xml:space="preserve"> </w:t>
      </w:r>
      <w:r w:rsidR="002F426D">
        <w:rPr>
          <w:bCs/>
          <w:lang w:bidi="he-IL"/>
        </w:rPr>
        <w:t>university</w:t>
      </w:r>
      <w:r w:rsidR="003B3877">
        <w:rPr>
          <w:bCs/>
          <w:lang w:bidi="he-IL"/>
        </w:rPr>
        <w:t xml:space="preserve"> (universities ranked 51-100</w:t>
      </w:r>
      <w:r w:rsidR="003B3877" w:rsidRPr="002647A4">
        <w:rPr>
          <w:bCs/>
          <w:vertAlign w:val="superscript"/>
          <w:lang w:bidi="he-IL"/>
        </w:rPr>
        <w:t>th</w:t>
      </w:r>
      <w:r w:rsidR="003B3877">
        <w:rPr>
          <w:bCs/>
          <w:lang w:bidi="he-IL"/>
        </w:rPr>
        <w:t xml:space="preserve">). </w:t>
      </w:r>
    </w:p>
    <w:p w14:paraId="6558D90D" w14:textId="59743E9E" w:rsidR="003B3877" w:rsidRDefault="008C5F98" w:rsidP="00990F0D">
      <w:pPr>
        <w:autoSpaceDE w:val="0"/>
        <w:autoSpaceDN w:val="0"/>
        <w:adjustRightInd w:val="0"/>
        <w:spacing w:line="480" w:lineRule="auto"/>
        <w:ind w:firstLine="720"/>
        <w:jc w:val="both"/>
        <w:rPr>
          <w:bCs/>
          <w:lang w:bidi="he-IL"/>
        </w:rPr>
      </w:pPr>
      <w:r>
        <w:rPr>
          <w:bCs/>
          <w:lang w:bidi="he-IL"/>
        </w:rPr>
        <w:t>I</w:t>
      </w:r>
      <w:r w:rsidR="00032DD7">
        <w:rPr>
          <w:bCs/>
          <w:lang w:bidi="he-IL"/>
        </w:rPr>
        <w:t xml:space="preserve">nitial </w:t>
      </w:r>
      <w:r w:rsidR="002F02B1">
        <w:rPr>
          <w:bCs/>
          <w:lang w:bidi="he-IL"/>
        </w:rPr>
        <w:t xml:space="preserve">placement </w:t>
      </w:r>
      <w:r w:rsidR="00032DD7">
        <w:rPr>
          <w:bCs/>
          <w:lang w:bidi="he-IL"/>
        </w:rPr>
        <w:t xml:space="preserve">of researchers </w:t>
      </w:r>
      <w:r w:rsidR="00530BA8">
        <w:rPr>
          <w:bCs/>
          <w:lang w:bidi="he-IL"/>
        </w:rPr>
        <w:t>by</w:t>
      </w:r>
      <w:r w:rsidR="002F02B1">
        <w:rPr>
          <w:bCs/>
          <w:lang w:bidi="he-IL"/>
        </w:rPr>
        <w:t xml:space="preserve"> hiring </w:t>
      </w:r>
      <w:r w:rsidR="00032DD7">
        <w:rPr>
          <w:bCs/>
          <w:lang w:bidi="he-IL"/>
        </w:rPr>
        <w:t xml:space="preserve">universities is not random; </w:t>
      </w:r>
      <w:r w:rsidR="002F426D">
        <w:rPr>
          <w:bCs/>
          <w:lang w:bidi="he-IL"/>
        </w:rPr>
        <w:t xml:space="preserve">the </w:t>
      </w:r>
      <w:r w:rsidR="00032DD7">
        <w:rPr>
          <w:bCs/>
          <w:lang w:bidi="he-IL"/>
        </w:rPr>
        <w:t xml:space="preserve">more talented researchers are expected to </w:t>
      </w:r>
      <w:r w:rsidR="002F426D">
        <w:rPr>
          <w:bCs/>
          <w:lang w:bidi="he-IL"/>
        </w:rPr>
        <w:t xml:space="preserve">more often be hired by </w:t>
      </w:r>
      <w:r w:rsidR="00032DD7">
        <w:rPr>
          <w:bCs/>
          <w:lang w:bidi="he-IL"/>
        </w:rPr>
        <w:t xml:space="preserve">top-tier universities than </w:t>
      </w:r>
      <w:r w:rsidR="002F426D">
        <w:rPr>
          <w:bCs/>
          <w:lang w:bidi="he-IL"/>
        </w:rPr>
        <w:t>by</w:t>
      </w:r>
      <w:r w:rsidR="00032DD7">
        <w:rPr>
          <w:bCs/>
          <w:lang w:bidi="he-IL"/>
        </w:rPr>
        <w:t xml:space="preserve"> second-tier universities. </w:t>
      </w:r>
      <w:r w:rsidR="003B3877">
        <w:rPr>
          <w:bCs/>
          <w:lang w:bidi="he-IL"/>
        </w:rPr>
        <w:t xml:space="preserve">However, despite the effort </w:t>
      </w:r>
      <w:r w:rsidR="00250D07">
        <w:rPr>
          <w:bCs/>
          <w:lang w:bidi="he-IL"/>
        </w:rPr>
        <w:t xml:space="preserve">invested in </w:t>
      </w:r>
      <w:r w:rsidR="00032DD7">
        <w:rPr>
          <w:bCs/>
          <w:lang w:bidi="he-IL"/>
        </w:rPr>
        <w:t xml:space="preserve">top-tier </w:t>
      </w:r>
      <w:r w:rsidR="003B3877">
        <w:rPr>
          <w:bCs/>
          <w:lang w:bidi="he-IL"/>
        </w:rPr>
        <w:t xml:space="preserve">universities </w:t>
      </w:r>
      <w:r w:rsidR="00BC6522">
        <w:rPr>
          <w:bCs/>
          <w:lang w:bidi="he-IL"/>
        </w:rPr>
        <w:t xml:space="preserve">to </w:t>
      </w:r>
      <w:r w:rsidR="002F426D">
        <w:rPr>
          <w:bCs/>
          <w:lang w:bidi="he-IL"/>
        </w:rPr>
        <w:t>find an</w:t>
      </w:r>
      <w:r>
        <w:rPr>
          <w:bCs/>
          <w:lang w:bidi="he-IL"/>
        </w:rPr>
        <w:t>d</w:t>
      </w:r>
      <w:r w:rsidR="002F426D">
        <w:rPr>
          <w:bCs/>
          <w:lang w:bidi="he-IL"/>
        </w:rPr>
        <w:t xml:space="preserve"> hire </w:t>
      </w:r>
      <w:r w:rsidR="00BC6522">
        <w:rPr>
          <w:bCs/>
          <w:lang w:bidi="he-IL"/>
        </w:rPr>
        <w:t xml:space="preserve">the most talented individuals, </w:t>
      </w:r>
      <w:r w:rsidR="002F02B1">
        <w:rPr>
          <w:bCs/>
          <w:lang w:bidi="he-IL"/>
        </w:rPr>
        <w:t>misplacement</w:t>
      </w:r>
      <w:r w:rsidR="001A087C">
        <w:rPr>
          <w:bCs/>
          <w:lang w:bidi="he-IL"/>
        </w:rPr>
        <w:t>s</w:t>
      </w:r>
      <w:r w:rsidR="002F02B1">
        <w:rPr>
          <w:bCs/>
          <w:lang w:bidi="he-IL"/>
        </w:rPr>
        <w:t xml:space="preserve"> may occur</w:t>
      </w:r>
      <w:r w:rsidR="00617E5E">
        <w:rPr>
          <w:bCs/>
          <w:lang w:bidi="he-IL"/>
        </w:rPr>
        <w:t xml:space="preserve"> because talent</w:t>
      </w:r>
      <w:r w:rsidR="00B27B3F">
        <w:rPr>
          <w:bCs/>
          <w:lang w:bidi="he-IL"/>
        </w:rPr>
        <w:t xml:space="preserve"> </w:t>
      </w:r>
      <w:r w:rsidR="004C4872">
        <w:rPr>
          <w:bCs/>
          <w:lang w:bidi="he-IL"/>
        </w:rPr>
        <w:t>is unobservable, and at PhD completion, the amount of information that exists to assess an individual’s talent is limited</w:t>
      </w:r>
      <w:r w:rsidR="002F02B1">
        <w:rPr>
          <w:bCs/>
          <w:lang w:bidi="he-IL"/>
        </w:rPr>
        <w:t xml:space="preserve">. </w:t>
      </w:r>
      <w:r w:rsidR="00B0060B">
        <w:rPr>
          <w:bCs/>
          <w:lang w:bidi="he-IL"/>
        </w:rPr>
        <w:t xml:space="preserve">We estimate the prevalence </w:t>
      </w:r>
      <w:r w:rsidR="00B0060B">
        <w:rPr>
          <w:bCs/>
          <w:lang w:bidi="he-IL"/>
        </w:rPr>
        <w:lastRenderedPageBreak/>
        <w:t>of errors in academic placement by analyzing</w:t>
      </w:r>
      <w:r w:rsidR="00AB5540">
        <w:rPr>
          <w:bCs/>
          <w:lang w:bidi="he-IL"/>
        </w:rPr>
        <w:t xml:space="preserve"> the rate to </w:t>
      </w:r>
      <w:r w:rsidR="003B3877">
        <w:rPr>
          <w:bCs/>
          <w:lang w:bidi="he-IL"/>
        </w:rPr>
        <w:t>which researcher</w:t>
      </w:r>
      <w:r w:rsidR="00C46D4F">
        <w:rPr>
          <w:bCs/>
          <w:lang w:bidi="he-IL"/>
        </w:rPr>
        <w:t>s</w:t>
      </w:r>
      <w:r w:rsidR="003B3877">
        <w:rPr>
          <w:bCs/>
          <w:lang w:bidi="he-IL"/>
        </w:rPr>
        <w:t xml:space="preserve">' first academic </w:t>
      </w:r>
      <w:r w:rsidR="002F426D">
        <w:rPr>
          <w:bCs/>
          <w:lang w:bidi="he-IL"/>
        </w:rPr>
        <w:t>employer i</w:t>
      </w:r>
      <w:r w:rsidR="003B3877">
        <w:rPr>
          <w:bCs/>
          <w:lang w:bidi="he-IL"/>
        </w:rPr>
        <w:t xml:space="preserve">s not consistent with </w:t>
      </w:r>
      <w:r w:rsidR="00C46D4F">
        <w:rPr>
          <w:bCs/>
          <w:lang w:bidi="he-IL"/>
        </w:rPr>
        <w:t>their</w:t>
      </w:r>
      <w:r w:rsidR="003B3877">
        <w:rPr>
          <w:bCs/>
          <w:lang w:bidi="he-IL"/>
        </w:rPr>
        <w:t xml:space="preserve"> </w:t>
      </w:r>
      <w:r w:rsidR="001743CE">
        <w:rPr>
          <w:bCs/>
          <w:lang w:bidi="he-IL"/>
        </w:rPr>
        <w:t xml:space="preserve">unobservable </w:t>
      </w:r>
      <w:r w:rsidR="004C4872">
        <w:rPr>
          <w:bCs/>
          <w:lang w:bidi="he-IL"/>
        </w:rPr>
        <w:t>talent</w:t>
      </w:r>
      <w:r w:rsidR="005F39BB">
        <w:rPr>
          <w:bCs/>
          <w:lang w:bidi="he-IL"/>
        </w:rPr>
        <w:t>,</w:t>
      </w:r>
      <w:r w:rsidR="00032BC9">
        <w:rPr>
          <w:bCs/>
          <w:lang w:bidi="he-IL"/>
        </w:rPr>
        <w:t xml:space="preserve"> which we </w:t>
      </w:r>
      <w:r w:rsidR="001743CE">
        <w:rPr>
          <w:bCs/>
          <w:lang w:bidi="he-IL"/>
        </w:rPr>
        <w:t>proxy for by</w:t>
      </w:r>
      <w:r w:rsidR="004C4872">
        <w:rPr>
          <w:bCs/>
          <w:lang w:bidi="he-IL"/>
        </w:rPr>
        <w:t xml:space="preserve"> </w:t>
      </w:r>
      <w:r w:rsidR="00C46D4F">
        <w:rPr>
          <w:bCs/>
          <w:lang w:bidi="he-IL"/>
        </w:rPr>
        <w:t xml:space="preserve">their </w:t>
      </w:r>
      <w:r w:rsidR="003B3877">
        <w:rPr>
          <w:bCs/>
          <w:lang w:bidi="he-IL"/>
        </w:rPr>
        <w:t xml:space="preserve">ex-post </w:t>
      </w:r>
      <w:r w:rsidR="00925264">
        <w:rPr>
          <w:bCs/>
          <w:lang w:bidi="he-IL"/>
        </w:rPr>
        <w:t xml:space="preserve">initial </w:t>
      </w:r>
      <w:r w:rsidR="00990F0D">
        <w:rPr>
          <w:bCs/>
          <w:lang w:bidi="he-IL"/>
        </w:rPr>
        <w:t>productivity</w:t>
      </w:r>
      <w:r w:rsidR="003B3877">
        <w:rPr>
          <w:bCs/>
          <w:lang w:bidi="he-IL"/>
        </w:rPr>
        <w:t>. To measure</w:t>
      </w:r>
      <w:r>
        <w:rPr>
          <w:bCs/>
          <w:lang w:bidi="he-IL"/>
        </w:rPr>
        <w:t xml:space="preserve"> </w:t>
      </w:r>
      <w:r w:rsidR="00FC60C3">
        <w:rPr>
          <w:bCs/>
          <w:lang w:bidi="he-IL"/>
        </w:rPr>
        <w:t xml:space="preserve">ex-post </w:t>
      </w:r>
      <w:r w:rsidR="00925264">
        <w:rPr>
          <w:bCs/>
          <w:lang w:bidi="he-IL"/>
        </w:rPr>
        <w:t xml:space="preserve">initial </w:t>
      </w:r>
      <w:r w:rsidR="00FC60C3">
        <w:rPr>
          <w:bCs/>
          <w:lang w:bidi="he-IL"/>
        </w:rPr>
        <w:t>productivity</w:t>
      </w:r>
      <w:r w:rsidR="003B3877">
        <w:rPr>
          <w:bCs/>
          <w:lang w:bidi="he-IL"/>
        </w:rPr>
        <w:t xml:space="preserve">, we quantify the researchers' </w:t>
      </w:r>
      <w:r w:rsidR="002F426D">
        <w:rPr>
          <w:bCs/>
          <w:lang w:bidi="he-IL"/>
        </w:rPr>
        <w:t xml:space="preserve">scholarly </w:t>
      </w:r>
      <w:r w:rsidR="003B3877">
        <w:rPr>
          <w:bCs/>
          <w:lang w:bidi="he-IL"/>
        </w:rPr>
        <w:t>productivity during the first five years of employment.</w:t>
      </w:r>
      <w:r w:rsidR="003B3877">
        <w:rPr>
          <w:rStyle w:val="FootnoteReference"/>
          <w:bCs/>
          <w:lang w:bidi="he-IL"/>
        </w:rPr>
        <w:footnoteReference w:id="5"/>
      </w:r>
      <w:r w:rsidR="003B3877">
        <w:rPr>
          <w:bCs/>
          <w:lang w:bidi="he-IL"/>
        </w:rPr>
        <w:t xml:space="preserve"> W</w:t>
      </w:r>
      <w:r w:rsidR="003B3877" w:rsidRPr="0080390A">
        <w:rPr>
          <w:bCs/>
          <w:lang w:bidi="he-IL"/>
        </w:rPr>
        <w:t xml:space="preserve">e analyze two types of errors, the probability that highly talented individuals are initially hired by </w:t>
      </w:r>
      <w:r w:rsidR="003B3877">
        <w:rPr>
          <w:bCs/>
          <w:lang w:bidi="he-IL"/>
        </w:rPr>
        <w:t>second-tier</w:t>
      </w:r>
      <w:r w:rsidR="003B3877" w:rsidRPr="0080390A">
        <w:rPr>
          <w:bCs/>
          <w:lang w:bidi="he-IL"/>
        </w:rPr>
        <w:t xml:space="preserve"> universities, and the probability that less talented individuals are hired by the </w:t>
      </w:r>
      <w:r w:rsidR="003B3877">
        <w:rPr>
          <w:bCs/>
          <w:lang w:bidi="he-IL"/>
        </w:rPr>
        <w:t xml:space="preserve">top-tier </w:t>
      </w:r>
      <w:r w:rsidR="003B3877" w:rsidRPr="0080390A">
        <w:rPr>
          <w:bCs/>
          <w:lang w:bidi="he-IL"/>
        </w:rPr>
        <w:t xml:space="preserve">universities. </w:t>
      </w:r>
      <w:r w:rsidR="003B3877">
        <w:rPr>
          <w:bCs/>
          <w:lang w:bidi="he-IL"/>
        </w:rPr>
        <w:t xml:space="preserve">Our data shows that at least 28%-31% of the researchers that were hired by second tier universities exhibit </w:t>
      </w:r>
      <w:r w:rsidR="002F1EE4">
        <w:rPr>
          <w:bCs/>
          <w:lang w:bidi="he-IL"/>
        </w:rPr>
        <w:t xml:space="preserve">productivity </w:t>
      </w:r>
      <w:r w:rsidR="003B3877">
        <w:rPr>
          <w:bCs/>
          <w:lang w:bidi="he-IL"/>
        </w:rPr>
        <w:t>that warrants a top</w:t>
      </w:r>
      <w:r w:rsidR="002F426D">
        <w:rPr>
          <w:bCs/>
          <w:lang w:bidi="he-IL"/>
        </w:rPr>
        <w:t>-</w:t>
      </w:r>
      <w:r w:rsidR="003B3877">
        <w:rPr>
          <w:bCs/>
          <w:lang w:bidi="he-IL"/>
        </w:rPr>
        <w:t>tier placement, and that about 20-24% of the researchers in top-tier exhibit</w:t>
      </w:r>
      <w:r w:rsidR="001124AA">
        <w:rPr>
          <w:bCs/>
          <w:lang w:bidi="he-IL"/>
        </w:rPr>
        <w:t xml:space="preserve"> </w:t>
      </w:r>
      <w:r w:rsidR="002F1EE4">
        <w:rPr>
          <w:bCs/>
          <w:lang w:bidi="he-IL"/>
        </w:rPr>
        <w:t xml:space="preserve">productivity </w:t>
      </w:r>
      <w:r w:rsidR="003B3877">
        <w:rPr>
          <w:bCs/>
          <w:lang w:bidi="he-IL"/>
        </w:rPr>
        <w:t xml:space="preserve">that warrants a lower-tier placement. In striking contrast to these findings, we find that the job-market for academics is rigid. There are almost no cases of an upward employment move (from second-tier to top-tier), and 80% of researchers are employed at the same </w:t>
      </w:r>
      <w:r w:rsidR="002F426D">
        <w:rPr>
          <w:bCs/>
          <w:lang w:bidi="he-IL"/>
        </w:rPr>
        <w:t>university</w:t>
      </w:r>
      <w:r w:rsidR="00250D07">
        <w:rPr>
          <w:bCs/>
          <w:lang w:bidi="he-IL"/>
        </w:rPr>
        <w:t xml:space="preserve"> tier</w:t>
      </w:r>
      <w:r w:rsidR="003B3877">
        <w:rPr>
          <w:bCs/>
          <w:lang w:bidi="he-IL"/>
        </w:rPr>
        <w:t xml:space="preserve">-level (top-tier or second-tier) 10 years after their initial placement. Thus, though the data shows that the matching between an individual’s talent and </w:t>
      </w:r>
      <w:r w:rsidR="001124AA">
        <w:rPr>
          <w:bCs/>
          <w:lang w:bidi="he-IL"/>
        </w:rPr>
        <w:t xml:space="preserve">the employing </w:t>
      </w:r>
      <w:r w:rsidR="003B3877">
        <w:rPr>
          <w:bCs/>
          <w:lang w:bidi="he-IL"/>
        </w:rPr>
        <w:t>university</w:t>
      </w:r>
      <w:r w:rsidR="001124AA">
        <w:rPr>
          <w:bCs/>
          <w:lang w:bidi="he-IL"/>
        </w:rPr>
        <w:t>’s</w:t>
      </w:r>
      <w:r w:rsidR="003B3877">
        <w:rPr>
          <w:bCs/>
          <w:lang w:bidi="he-IL"/>
        </w:rPr>
        <w:t xml:space="preserve"> ranking is </w:t>
      </w:r>
      <w:r w:rsidR="00BF18FA">
        <w:rPr>
          <w:bCs/>
          <w:lang w:bidi="he-IL"/>
        </w:rPr>
        <w:t>im</w:t>
      </w:r>
      <w:r w:rsidR="003B3877">
        <w:rPr>
          <w:bCs/>
          <w:lang w:bidi="he-IL"/>
        </w:rPr>
        <w:t xml:space="preserve">perfect, it seems that the job market for seasoned researchers does not correct for such misplacements. </w:t>
      </w:r>
    </w:p>
    <w:p w14:paraId="1C8BBD4A" w14:textId="613D0F6A" w:rsidR="003B3877" w:rsidRPr="00526B6B" w:rsidRDefault="003B3877" w:rsidP="0042527A">
      <w:pPr>
        <w:autoSpaceDE w:val="0"/>
        <w:autoSpaceDN w:val="0"/>
        <w:adjustRightInd w:val="0"/>
        <w:spacing w:line="480" w:lineRule="auto"/>
        <w:ind w:firstLine="720"/>
        <w:jc w:val="both"/>
        <w:rPr>
          <w:bCs/>
          <w:lang w:bidi="he-IL"/>
        </w:rPr>
      </w:pPr>
      <w:r>
        <w:rPr>
          <w:bCs/>
          <w:lang w:bidi="he-IL"/>
        </w:rPr>
        <w:t xml:space="preserve">Next, in order to study the </w:t>
      </w:r>
      <w:r w:rsidR="00BF18FA">
        <w:rPr>
          <w:bCs/>
          <w:lang w:bidi="he-IL"/>
        </w:rPr>
        <w:t xml:space="preserve">magnitude of </w:t>
      </w:r>
      <w:r w:rsidR="00BC5C6C">
        <w:rPr>
          <w:bCs/>
          <w:lang w:bidi="he-IL"/>
        </w:rPr>
        <w:t xml:space="preserve">the </w:t>
      </w:r>
      <w:r>
        <w:rPr>
          <w:bCs/>
          <w:lang w:bidi="he-IL"/>
        </w:rPr>
        <w:t xml:space="preserve">nurturing </w:t>
      </w:r>
      <w:r w:rsidR="00BF18FA">
        <w:rPr>
          <w:bCs/>
          <w:lang w:bidi="he-IL"/>
        </w:rPr>
        <w:t xml:space="preserve">component on productivity, </w:t>
      </w:r>
      <w:r>
        <w:rPr>
          <w:bCs/>
          <w:lang w:bidi="he-IL"/>
        </w:rPr>
        <w:t>we analyze the effect of the initial placement decision on the productivity of researchers in the long-term.</w:t>
      </w:r>
      <w:r w:rsidR="00042E00">
        <w:rPr>
          <w:bCs/>
          <w:lang w:bidi="he-IL"/>
        </w:rPr>
        <w:t xml:space="preserve"> W</w:t>
      </w:r>
      <w:r>
        <w:rPr>
          <w:bCs/>
          <w:lang w:bidi="he-IL"/>
        </w:rPr>
        <w:t xml:space="preserve">e match authors across the </w:t>
      </w:r>
      <w:r w:rsidR="001743CE">
        <w:rPr>
          <w:bCs/>
          <w:lang w:bidi="he-IL"/>
        </w:rPr>
        <w:t>two</w:t>
      </w:r>
      <w:r w:rsidR="00F16296">
        <w:rPr>
          <w:bCs/>
          <w:lang w:bidi="he-IL"/>
        </w:rPr>
        <w:t xml:space="preserve"> tier-</w:t>
      </w:r>
      <w:r>
        <w:rPr>
          <w:bCs/>
          <w:lang w:bidi="he-IL"/>
        </w:rPr>
        <w:t xml:space="preserve">groups based on their </w:t>
      </w:r>
      <w:r w:rsidR="00CB7906">
        <w:rPr>
          <w:bCs/>
          <w:lang w:bidi="he-IL"/>
        </w:rPr>
        <w:t>talent</w:t>
      </w:r>
      <w:r>
        <w:rPr>
          <w:bCs/>
          <w:lang w:bidi="he-IL"/>
        </w:rPr>
        <w:t xml:space="preserve"> (i.e. accumulated research productivity </w:t>
      </w:r>
      <w:r w:rsidR="00B46ADE">
        <w:rPr>
          <w:bCs/>
          <w:lang w:bidi="he-IL"/>
        </w:rPr>
        <w:t xml:space="preserve">within </w:t>
      </w:r>
      <w:r>
        <w:rPr>
          <w:bCs/>
          <w:lang w:bidi="he-IL"/>
        </w:rPr>
        <w:t xml:space="preserve">5 years) and compare their productivity </w:t>
      </w:r>
      <w:r w:rsidR="00BF18FA">
        <w:rPr>
          <w:bCs/>
          <w:lang w:bidi="he-IL"/>
        </w:rPr>
        <w:t xml:space="preserve">in the latter years </w:t>
      </w:r>
      <w:r>
        <w:rPr>
          <w:bCs/>
          <w:lang w:bidi="he-IL"/>
        </w:rPr>
        <w:t xml:space="preserve">(i.e. accumulated productivity in the consecutive years). Regardless of whether the individual was talented or not, we show that productivity is </w:t>
      </w:r>
      <w:r w:rsidR="00BC6522">
        <w:rPr>
          <w:bCs/>
          <w:lang w:bidi="he-IL"/>
        </w:rPr>
        <w:t>higher</w:t>
      </w:r>
      <w:r>
        <w:rPr>
          <w:bCs/>
          <w:lang w:bidi="he-IL"/>
        </w:rPr>
        <w:t xml:space="preserve"> in the lat</w:t>
      </w:r>
      <w:r w:rsidR="00990F0D">
        <w:rPr>
          <w:bCs/>
          <w:lang w:bidi="he-IL"/>
        </w:rPr>
        <w:t>t</w:t>
      </w:r>
      <w:r>
        <w:rPr>
          <w:bCs/>
          <w:lang w:bidi="he-IL"/>
        </w:rPr>
        <w:t xml:space="preserve">er part of the career if the initial placement was at a top-tier university. Finally, we conduct cross sectional regression </w:t>
      </w:r>
      <w:r w:rsidR="001743CE">
        <w:rPr>
          <w:bCs/>
          <w:lang w:bidi="he-IL"/>
        </w:rPr>
        <w:t xml:space="preserve">analysis </w:t>
      </w:r>
      <w:r>
        <w:rPr>
          <w:bCs/>
          <w:lang w:bidi="he-IL"/>
        </w:rPr>
        <w:t xml:space="preserve">to estimate the component of nurturing on productivity. We </w:t>
      </w:r>
      <w:r>
        <w:rPr>
          <w:bCs/>
          <w:lang w:bidi="he-IL"/>
        </w:rPr>
        <w:lastRenderedPageBreak/>
        <w:t>find that at least 30% of the productivity of researchers</w:t>
      </w:r>
      <w:r w:rsidR="00BC6522">
        <w:rPr>
          <w:bCs/>
          <w:lang w:bidi="he-IL"/>
        </w:rPr>
        <w:t xml:space="preserve"> </w:t>
      </w:r>
      <w:r>
        <w:rPr>
          <w:bCs/>
          <w:lang w:bidi="he-IL"/>
        </w:rPr>
        <w:t xml:space="preserve">can be attributed to the nurturing quality of the </w:t>
      </w:r>
      <w:r w:rsidR="00BF18FA">
        <w:rPr>
          <w:bCs/>
          <w:lang w:bidi="he-IL"/>
        </w:rPr>
        <w:t>university</w:t>
      </w:r>
      <w:r>
        <w:rPr>
          <w:bCs/>
          <w:lang w:bidi="he-IL"/>
        </w:rPr>
        <w:t>. These results support the notion that initial placement</w:t>
      </w:r>
      <w:r w:rsidR="00BF18FA">
        <w:rPr>
          <w:bCs/>
          <w:lang w:bidi="he-IL"/>
        </w:rPr>
        <w:t xml:space="preserve"> decisions</w:t>
      </w:r>
      <w:r>
        <w:rPr>
          <w:bCs/>
          <w:lang w:bidi="he-IL"/>
        </w:rPr>
        <w:t xml:space="preserve">, even if wrongly made, </w:t>
      </w:r>
      <w:r w:rsidR="00B46ADE">
        <w:rPr>
          <w:bCs/>
          <w:lang w:bidi="he-IL"/>
        </w:rPr>
        <w:t xml:space="preserve">are </w:t>
      </w:r>
      <w:r>
        <w:rPr>
          <w:bCs/>
          <w:lang w:bidi="he-IL"/>
        </w:rPr>
        <w:t xml:space="preserve">a significant factor influencing the productivity of individuals in academia in </w:t>
      </w:r>
      <w:r w:rsidR="00CB7906">
        <w:rPr>
          <w:bCs/>
          <w:lang w:bidi="he-IL"/>
        </w:rPr>
        <w:t>later</w:t>
      </w:r>
      <w:r>
        <w:rPr>
          <w:bCs/>
          <w:lang w:bidi="he-IL"/>
        </w:rPr>
        <w:t xml:space="preserve"> years.</w:t>
      </w:r>
    </w:p>
    <w:p w14:paraId="2CAEB784" w14:textId="7EEEE6F2" w:rsidR="00C94E50" w:rsidRDefault="00C94E50" w:rsidP="00D668AA">
      <w:pPr>
        <w:spacing w:line="480" w:lineRule="auto"/>
        <w:ind w:firstLine="720"/>
        <w:jc w:val="both"/>
        <w:rPr>
          <w:bCs/>
          <w:lang w:bidi="he-IL"/>
        </w:rPr>
      </w:pPr>
      <w:r>
        <w:rPr>
          <w:bCs/>
          <w:lang w:bidi="he-IL"/>
        </w:rPr>
        <w:t xml:space="preserve">The main contribution of the paper is in providing direct evidence </w:t>
      </w:r>
      <w:r w:rsidR="00D668AA">
        <w:rPr>
          <w:bCs/>
          <w:lang w:bidi="he-IL"/>
        </w:rPr>
        <w:t xml:space="preserve">for </w:t>
      </w:r>
      <w:r>
        <w:rPr>
          <w:bCs/>
          <w:lang w:bidi="he-IL"/>
        </w:rPr>
        <w:t xml:space="preserve">the marginal impact of university tier-level on the productivity of scientists. The labor economics literature has shown that observationally similar workers earn higher wages in larger firms </w:t>
      </w:r>
      <w:r w:rsidR="00C46D4F">
        <w:rPr>
          <w:bCs/>
          <w:lang w:bidi="he-IL"/>
        </w:rPr>
        <w:t>than in small</w:t>
      </w:r>
      <w:r w:rsidR="00944936">
        <w:rPr>
          <w:bCs/>
          <w:lang w:bidi="he-IL"/>
        </w:rPr>
        <w:t>er</w:t>
      </w:r>
      <w:r w:rsidR="00C46D4F">
        <w:rPr>
          <w:bCs/>
          <w:lang w:bidi="he-IL"/>
        </w:rPr>
        <w:t xml:space="preserve"> </w:t>
      </w:r>
      <w:r w:rsidR="00C46D4F" w:rsidRPr="002624EB">
        <w:rPr>
          <w:bCs/>
          <w:lang w:bidi="he-IL"/>
        </w:rPr>
        <w:t xml:space="preserve">ones </w:t>
      </w:r>
      <w:r w:rsidRPr="002624EB">
        <w:rPr>
          <w:bCs/>
          <w:lang w:bidi="he-IL"/>
        </w:rPr>
        <w:t xml:space="preserve">(e.g., Brown and </w:t>
      </w:r>
      <w:proofErr w:type="spellStart"/>
      <w:r w:rsidRPr="002624EB">
        <w:rPr>
          <w:bCs/>
          <w:lang w:bidi="he-IL"/>
        </w:rPr>
        <w:t>Medoff</w:t>
      </w:r>
      <w:proofErr w:type="spellEnd"/>
      <w:r w:rsidRPr="002624EB">
        <w:rPr>
          <w:bCs/>
          <w:lang w:bidi="he-IL"/>
        </w:rPr>
        <w:t>, 1989; Evans</w:t>
      </w:r>
      <w:r w:rsidR="004B78D9" w:rsidRPr="002624EB">
        <w:rPr>
          <w:bCs/>
          <w:lang w:bidi="he-IL"/>
        </w:rPr>
        <w:t xml:space="preserve"> </w:t>
      </w:r>
      <w:r w:rsidRPr="002624EB">
        <w:rPr>
          <w:bCs/>
          <w:lang w:bidi="he-IL"/>
        </w:rPr>
        <w:t xml:space="preserve">and Leighton, 1989; </w:t>
      </w:r>
      <w:proofErr w:type="spellStart"/>
      <w:r w:rsidRPr="002624EB">
        <w:rPr>
          <w:bCs/>
          <w:lang w:bidi="he-IL"/>
        </w:rPr>
        <w:t>Idson</w:t>
      </w:r>
      <w:proofErr w:type="spellEnd"/>
      <w:r w:rsidRPr="002624EB">
        <w:rPr>
          <w:bCs/>
          <w:lang w:bidi="he-IL"/>
        </w:rPr>
        <w:t xml:space="preserve"> and Feas</w:t>
      </w:r>
      <w:r w:rsidR="004B78D9" w:rsidRPr="002624EB">
        <w:rPr>
          <w:bCs/>
          <w:lang w:bidi="he-IL"/>
        </w:rPr>
        <w:t>t</w:t>
      </w:r>
      <w:r w:rsidRPr="002624EB">
        <w:rPr>
          <w:bCs/>
          <w:lang w:bidi="he-IL"/>
        </w:rPr>
        <w:t xml:space="preserve">er, 1990), implying that employers have a first-order effect on productivity and wage. </w:t>
      </w:r>
      <w:r w:rsidR="00DC1B18" w:rsidRPr="002624EB">
        <w:rPr>
          <w:bCs/>
          <w:lang w:bidi="he-IL"/>
        </w:rPr>
        <w:t xml:space="preserve">Similarly, </w:t>
      </w:r>
      <w:r w:rsidR="00C46D4F" w:rsidRPr="002624EB">
        <w:rPr>
          <w:bCs/>
          <w:lang w:bidi="he-IL"/>
        </w:rPr>
        <w:t xml:space="preserve">recent evidence suggests that institutions have a first-order effect on </w:t>
      </w:r>
      <w:r w:rsidR="00DC1B18" w:rsidRPr="002624EB">
        <w:rPr>
          <w:bCs/>
          <w:lang w:bidi="he-IL"/>
        </w:rPr>
        <w:t xml:space="preserve">knowledge </w:t>
      </w:r>
      <w:r w:rsidR="00C46D4F" w:rsidRPr="002624EB">
        <w:rPr>
          <w:bCs/>
          <w:lang w:bidi="he-IL"/>
        </w:rPr>
        <w:t>creation (Furman and Stern, 2011). The current paper advance</w:t>
      </w:r>
      <w:r w:rsidR="001743CE" w:rsidRPr="002624EB">
        <w:rPr>
          <w:bCs/>
          <w:lang w:bidi="he-IL"/>
        </w:rPr>
        <w:t>s</w:t>
      </w:r>
      <w:r w:rsidR="00C46D4F">
        <w:rPr>
          <w:bCs/>
          <w:lang w:bidi="he-IL"/>
        </w:rPr>
        <w:t xml:space="preserve"> this literature by </w:t>
      </w:r>
      <w:r w:rsidR="001743CE">
        <w:rPr>
          <w:bCs/>
          <w:lang w:bidi="he-IL"/>
        </w:rPr>
        <w:t xml:space="preserve">providing evidence that the tier-level of the hiring institution is a major determinant of research productivity even within a sample of already talented individuals.  </w:t>
      </w:r>
    </w:p>
    <w:p w14:paraId="1E6F2614" w14:textId="0A1546B1" w:rsidR="00944936" w:rsidRPr="002624EB" w:rsidRDefault="009B3DA6" w:rsidP="00D668AA">
      <w:pPr>
        <w:spacing w:line="480" w:lineRule="auto"/>
        <w:ind w:firstLine="720"/>
        <w:jc w:val="both"/>
        <w:rPr>
          <w:bCs/>
          <w:lang w:bidi="he-IL"/>
        </w:rPr>
      </w:pPr>
      <w:r>
        <w:rPr>
          <w:bCs/>
          <w:lang w:bidi="he-IL"/>
        </w:rPr>
        <w:t xml:space="preserve">A second contribution is to the literature on </w:t>
      </w:r>
      <w:r w:rsidR="007564AC">
        <w:rPr>
          <w:bCs/>
          <w:lang w:bidi="he-IL"/>
        </w:rPr>
        <w:t>luck</w:t>
      </w:r>
      <w:r w:rsidR="001D3203">
        <w:rPr>
          <w:bCs/>
          <w:lang w:bidi="he-IL"/>
        </w:rPr>
        <w:t xml:space="preserve">. </w:t>
      </w:r>
      <w:r w:rsidR="00232C63">
        <w:rPr>
          <w:bCs/>
          <w:lang w:bidi="he-IL"/>
        </w:rPr>
        <w:t xml:space="preserve">A host of studies provide evidence that </w:t>
      </w:r>
      <w:r w:rsidR="007564AC">
        <w:rPr>
          <w:bCs/>
          <w:lang w:bidi="he-IL"/>
        </w:rPr>
        <w:t>hiring</w:t>
      </w:r>
      <w:r w:rsidR="00232C63">
        <w:rPr>
          <w:bCs/>
          <w:lang w:bidi="he-IL"/>
        </w:rPr>
        <w:t xml:space="preserve"> decision</w:t>
      </w:r>
      <w:r w:rsidR="001D3203">
        <w:rPr>
          <w:bCs/>
          <w:lang w:bidi="he-IL"/>
        </w:rPr>
        <w:t>s</w:t>
      </w:r>
      <w:r w:rsidR="00232C63">
        <w:rPr>
          <w:bCs/>
          <w:lang w:bidi="he-IL"/>
        </w:rPr>
        <w:t xml:space="preserve"> </w:t>
      </w:r>
      <w:r w:rsidR="00D668AA">
        <w:rPr>
          <w:bCs/>
          <w:lang w:bidi="he-IL"/>
        </w:rPr>
        <w:t>may be biased by</w:t>
      </w:r>
      <w:r w:rsidR="00232C63">
        <w:rPr>
          <w:bCs/>
          <w:lang w:bidi="he-IL"/>
        </w:rPr>
        <w:t xml:space="preserve"> factors unrelated to workers’ quality</w:t>
      </w:r>
      <w:r w:rsidR="007564AC">
        <w:rPr>
          <w:bCs/>
          <w:lang w:bidi="he-IL"/>
        </w:rPr>
        <w:t>.</w:t>
      </w:r>
      <w:r w:rsidR="00232C63">
        <w:rPr>
          <w:rStyle w:val="FootnoteReference"/>
          <w:bCs/>
          <w:lang w:bidi="he-IL"/>
        </w:rPr>
        <w:footnoteReference w:id="6"/>
      </w:r>
      <w:r w:rsidR="001D3203">
        <w:rPr>
          <w:bCs/>
          <w:lang w:bidi="he-IL"/>
        </w:rPr>
        <w:t xml:space="preserve"> Consequently, </w:t>
      </w:r>
      <w:r w:rsidR="007564AC">
        <w:rPr>
          <w:bCs/>
          <w:lang w:bidi="he-IL"/>
        </w:rPr>
        <w:t xml:space="preserve">the idea that individuals’ luck </w:t>
      </w:r>
      <w:r w:rsidR="00530346" w:rsidRPr="002624EB">
        <w:rPr>
          <w:bCs/>
          <w:lang w:bidi="he-IL"/>
        </w:rPr>
        <w:t xml:space="preserve">determines the careers and financial well-being of individuals is often discussed in the academic and popular literature </w:t>
      </w:r>
      <w:r w:rsidR="001D3203" w:rsidRPr="002624EB">
        <w:rPr>
          <w:bCs/>
          <w:lang w:bidi="he-IL"/>
        </w:rPr>
        <w:t>(</w:t>
      </w:r>
      <w:proofErr w:type="spellStart"/>
      <w:r w:rsidR="001D3203" w:rsidRPr="002624EB">
        <w:rPr>
          <w:bCs/>
          <w:lang w:bidi="he-IL"/>
        </w:rPr>
        <w:t>Taleb</w:t>
      </w:r>
      <w:proofErr w:type="spellEnd"/>
      <w:r w:rsidR="001D3203" w:rsidRPr="002624EB">
        <w:rPr>
          <w:bCs/>
          <w:lang w:bidi="he-IL"/>
        </w:rPr>
        <w:t>, 200</w:t>
      </w:r>
      <w:r w:rsidR="00804A7C" w:rsidRPr="002624EB">
        <w:rPr>
          <w:bCs/>
          <w:lang w:bidi="he-IL"/>
        </w:rPr>
        <w:t>5</w:t>
      </w:r>
      <w:r w:rsidR="001D3203" w:rsidRPr="002624EB">
        <w:rPr>
          <w:bCs/>
          <w:lang w:bidi="he-IL"/>
        </w:rPr>
        <w:t xml:space="preserve">; </w:t>
      </w:r>
      <w:proofErr w:type="spellStart"/>
      <w:r w:rsidR="001D3203" w:rsidRPr="002624EB">
        <w:rPr>
          <w:bCs/>
          <w:lang w:bidi="he-IL"/>
        </w:rPr>
        <w:t>Mauboussin</w:t>
      </w:r>
      <w:proofErr w:type="spellEnd"/>
      <w:r w:rsidR="001D3203" w:rsidRPr="002624EB">
        <w:rPr>
          <w:bCs/>
          <w:lang w:bidi="he-IL"/>
        </w:rPr>
        <w:t xml:space="preserve">, 2012; Frank, 2016; </w:t>
      </w:r>
      <w:proofErr w:type="spellStart"/>
      <w:r w:rsidR="001D3203" w:rsidRPr="002624EB">
        <w:rPr>
          <w:bCs/>
          <w:lang w:bidi="he-IL"/>
        </w:rPr>
        <w:t>Pluchino</w:t>
      </w:r>
      <w:proofErr w:type="spellEnd"/>
      <w:r w:rsidR="001D3203" w:rsidRPr="002624EB">
        <w:rPr>
          <w:bCs/>
          <w:lang w:bidi="he-IL"/>
        </w:rPr>
        <w:t xml:space="preserve"> et al, 2018). </w:t>
      </w:r>
      <w:r w:rsidR="00232C63" w:rsidRPr="002624EB">
        <w:rPr>
          <w:bCs/>
          <w:lang w:bidi="he-IL"/>
        </w:rPr>
        <w:t xml:space="preserve">The current paper </w:t>
      </w:r>
      <w:r w:rsidRPr="002624EB">
        <w:rPr>
          <w:bCs/>
          <w:lang w:bidi="he-IL"/>
        </w:rPr>
        <w:t>quantifies the magnitude of misplacements in the finance academic profession</w:t>
      </w:r>
      <w:r w:rsidR="00232C63" w:rsidRPr="002624EB">
        <w:rPr>
          <w:bCs/>
          <w:lang w:bidi="he-IL"/>
        </w:rPr>
        <w:t xml:space="preserve"> at around 30%</w:t>
      </w:r>
      <w:r w:rsidR="001D3203" w:rsidRPr="002624EB">
        <w:rPr>
          <w:bCs/>
          <w:lang w:bidi="he-IL"/>
        </w:rPr>
        <w:t xml:space="preserve">, implying that luck </w:t>
      </w:r>
      <w:r w:rsidR="007564AC" w:rsidRPr="002624EB">
        <w:rPr>
          <w:bCs/>
          <w:lang w:bidi="he-IL"/>
        </w:rPr>
        <w:t xml:space="preserve">plays a non-trivial role </w:t>
      </w:r>
      <w:r w:rsidR="001D3203" w:rsidRPr="002624EB">
        <w:rPr>
          <w:bCs/>
          <w:lang w:bidi="he-IL"/>
        </w:rPr>
        <w:t xml:space="preserve">also in </w:t>
      </w:r>
      <w:r w:rsidR="007564AC" w:rsidRPr="002624EB">
        <w:rPr>
          <w:bCs/>
          <w:lang w:bidi="he-IL"/>
        </w:rPr>
        <w:t xml:space="preserve">the career of scientists. </w:t>
      </w:r>
    </w:p>
    <w:p w14:paraId="3A7E2400" w14:textId="48B8C38B" w:rsidR="00652593" w:rsidRPr="002624EB" w:rsidRDefault="005D0EEE" w:rsidP="008D4717">
      <w:pPr>
        <w:spacing w:line="480" w:lineRule="auto"/>
        <w:ind w:firstLine="720"/>
        <w:jc w:val="both"/>
        <w:rPr>
          <w:bCs/>
          <w:lang w:bidi="he-IL"/>
        </w:rPr>
      </w:pPr>
      <w:r w:rsidRPr="002624EB">
        <w:rPr>
          <w:bCs/>
          <w:lang w:bidi="he-IL"/>
        </w:rPr>
        <w:t>Third</w:t>
      </w:r>
      <w:r w:rsidR="009B3DA6" w:rsidRPr="002624EB">
        <w:rPr>
          <w:bCs/>
          <w:lang w:bidi="he-IL"/>
        </w:rPr>
        <w:t>,</w:t>
      </w:r>
      <w:r w:rsidR="00D2739F" w:rsidRPr="002624EB">
        <w:rPr>
          <w:bCs/>
          <w:lang w:bidi="he-IL"/>
        </w:rPr>
        <w:t xml:space="preserve"> </w:t>
      </w:r>
      <w:r w:rsidR="009B3DA6" w:rsidRPr="002624EB">
        <w:rPr>
          <w:bCs/>
          <w:lang w:bidi="he-IL"/>
        </w:rPr>
        <w:t xml:space="preserve">the paper </w:t>
      </w:r>
      <w:r w:rsidR="003B3877" w:rsidRPr="002624EB">
        <w:rPr>
          <w:bCs/>
          <w:lang w:bidi="he-IL"/>
        </w:rPr>
        <w:t>contribute</w:t>
      </w:r>
      <w:r w:rsidR="009B3DA6" w:rsidRPr="002624EB">
        <w:rPr>
          <w:bCs/>
          <w:lang w:bidi="he-IL"/>
        </w:rPr>
        <w:t>s</w:t>
      </w:r>
      <w:r w:rsidR="003B3877" w:rsidRPr="002624EB">
        <w:rPr>
          <w:bCs/>
          <w:lang w:bidi="he-IL"/>
        </w:rPr>
        <w:t xml:space="preserve"> to the </w:t>
      </w:r>
      <w:r w:rsidR="00652593" w:rsidRPr="002624EB">
        <w:rPr>
          <w:bCs/>
          <w:lang w:bidi="he-IL"/>
        </w:rPr>
        <w:t>“</w:t>
      </w:r>
      <w:r w:rsidR="003B3877" w:rsidRPr="002624EB">
        <w:rPr>
          <w:bCs/>
          <w:lang w:bidi="he-IL"/>
        </w:rPr>
        <w:t>nature v</w:t>
      </w:r>
      <w:r w:rsidR="00652593" w:rsidRPr="002624EB">
        <w:rPr>
          <w:bCs/>
          <w:lang w:bidi="he-IL"/>
        </w:rPr>
        <w:t>ersu</w:t>
      </w:r>
      <w:r w:rsidR="003B3877" w:rsidRPr="002624EB">
        <w:rPr>
          <w:bCs/>
          <w:lang w:bidi="he-IL"/>
        </w:rPr>
        <w:t>s nurture</w:t>
      </w:r>
      <w:r w:rsidR="00652593" w:rsidRPr="002624EB">
        <w:rPr>
          <w:bCs/>
          <w:lang w:bidi="he-IL"/>
        </w:rPr>
        <w:t>”</w:t>
      </w:r>
      <w:r w:rsidR="003B3877" w:rsidRPr="002624EB">
        <w:rPr>
          <w:bCs/>
          <w:lang w:bidi="he-IL"/>
        </w:rPr>
        <w:t xml:space="preserve"> question in human behavior and achievements. The relative importance of biology versus up-bringing is a prominent research area at the roots of scientific inquiry, dating back to the works of Darwin (1859) and Freud (1930</w:t>
      </w:r>
      <w:r w:rsidR="00BC5C6C" w:rsidRPr="002624EB">
        <w:rPr>
          <w:bCs/>
          <w:lang w:bidi="he-IL"/>
        </w:rPr>
        <w:t>)</w:t>
      </w:r>
      <w:r w:rsidR="003B3877" w:rsidRPr="002624EB">
        <w:rPr>
          <w:bCs/>
          <w:lang w:bidi="he-IL"/>
        </w:rPr>
        <w:t>.</w:t>
      </w:r>
      <w:r w:rsidR="003B3877">
        <w:rPr>
          <w:bCs/>
          <w:lang w:bidi="he-IL"/>
        </w:rPr>
        <w:t xml:space="preserve"> </w:t>
      </w:r>
      <w:r w:rsidR="000332E0">
        <w:rPr>
          <w:bCs/>
          <w:lang w:bidi="he-IL"/>
        </w:rPr>
        <w:t xml:space="preserve">It is </w:t>
      </w:r>
      <w:r w:rsidR="000332E0">
        <w:rPr>
          <w:bCs/>
          <w:lang w:bidi="he-IL"/>
        </w:rPr>
        <w:lastRenderedPageBreak/>
        <w:t xml:space="preserve">increasingly </w:t>
      </w:r>
      <w:r w:rsidR="000332E0" w:rsidRPr="002624EB">
        <w:rPr>
          <w:bCs/>
          <w:lang w:bidi="he-IL"/>
        </w:rPr>
        <w:t>realized that a</w:t>
      </w:r>
      <w:r w:rsidR="00657286" w:rsidRPr="002624EB">
        <w:rPr>
          <w:bCs/>
          <w:lang w:bidi="he-IL"/>
        </w:rPr>
        <w:t xml:space="preserve">lmost </w:t>
      </w:r>
      <w:r w:rsidR="000332E0" w:rsidRPr="002624EB">
        <w:rPr>
          <w:bCs/>
          <w:lang w:bidi="he-IL"/>
        </w:rPr>
        <w:t xml:space="preserve">any </w:t>
      </w:r>
      <w:r w:rsidR="00DA095D" w:rsidRPr="002624EB">
        <w:rPr>
          <w:bCs/>
          <w:lang w:bidi="he-IL"/>
        </w:rPr>
        <w:t xml:space="preserve">trait of </w:t>
      </w:r>
      <w:r w:rsidR="00657286" w:rsidRPr="002624EB">
        <w:rPr>
          <w:bCs/>
          <w:lang w:bidi="he-IL"/>
        </w:rPr>
        <w:t xml:space="preserve">human </w:t>
      </w:r>
      <w:r w:rsidR="00C7410E" w:rsidRPr="002624EB">
        <w:rPr>
          <w:bCs/>
          <w:lang w:bidi="he-IL"/>
        </w:rPr>
        <w:t xml:space="preserve">behavior </w:t>
      </w:r>
      <w:r w:rsidR="000332E0" w:rsidRPr="002624EB">
        <w:rPr>
          <w:bCs/>
          <w:lang w:bidi="he-IL"/>
        </w:rPr>
        <w:t xml:space="preserve">is </w:t>
      </w:r>
      <w:r w:rsidR="00657286" w:rsidRPr="002624EB">
        <w:rPr>
          <w:bCs/>
          <w:lang w:bidi="he-IL"/>
        </w:rPr>
        <w:t xml:space="preserve">driven by </w:t>
      </w:r>
      <w:r w:rsidR="000332E0" w:rsidRPr="002624EB">
        <w:rPr>
          <w:bCs/>
          <w:lang w:bidi="he-IL"/>
        </w:rPr>
        <w:t xml:space="preserve">some combination of </w:t>
      </w:r>
      <w:r w:rsidR="00657286" w:rsidRPr="002624EB">
        <w:rPr>
          <w:bCs/>
          <w:lang w:bidi="he-IL"/>
        </w:rPr>
        <w:t>nature and nurtur</w:t>
      </w:r>
      <w:r w:rsidR="008D4717" w:rsidRPr="002624EB">
        <w:rPr>
          <w:bCs/>
          <w:lang w:bidi="he-IL"/>
        </w:rPr>
        <w:t>e.</w:t>
      </w:r>
      <w:r w:rsidR="003B3877" w:rsidRPr="002624EB">
        <w:rPr>
          <w:vertAlign w:val="superscript"/>
        </w:rPr>
        <w:footnoteReference w:id="7"/>
      </w:r>
      <w:r w:rsidR="003B3877" w:rsidRPr="002624EB">
        <w:rPr>
          <w:bCs/>
          <w:lang w:bidi="he-IL"/>
        </w:rPr>
        <w:t xml:space="preserve"> </w:t>
      </w:r>
      <w:r w:rsidR="00BF18FA" w:rsidRPr="002624EB">
        <w:rPr>
          <w:bCs/>
          <w:lang w:bidi="he-IL"/>
        </w:rPr>
        <w:t>Th</w:t>
      </w:r>
      <w:r w:rsidR="00652593" w:rsidRPr="002624EB">
        <w:rPr>
          <w:bCs/>
          <w:lang w:bidi="he-IL"/>
        </w:rPr>
        <w:t xml:space="preserve">e current paper shows that </w:t>
      </w:r>
      <w:r w:rsidR="00D32033" w:rsidRPr="002624EB">
        <w:rPr>
          <w:bCs/>
          <w:lang w:bidi="he-IL"/>
        </w:rPr>
        <w:t>nurturing, which</w:t>
      </w:r>
      <w:r w:rsidR="00E27C59" w:rsidRPr="002624EB">
        <w:rPr>
          <w:bCs/>
          <w:lang w:bidi="he-IL"/>
        </w:rPr>
        <w:t xml:space="preserve"> can </w:t>
      </w:r>
      <w:r w:rsidR="009B3DA6" w:rsidRPr="002624EB">
        <w:rPr>
          <w:bCs/>
          <w:lang w:bidi="he-IL"/>
        </w:rPr>
        <w:t xml:space="preserve">also </w:t>
      </w:r>
      <w:r w:rsidR="00E27C59" w:rsidRPr="002624EB">
        <w:rPr>
          <w:bCs/>
          <w:lang w:bidi="he-IL"/>
        </w:rPr>
        <w:t xml:space="preserve">be </w:t>
      </w:r>
      <w:r w:rsidR="00944936" w:rsidRPr="002624EB">
        <w:rPr>
          <w:bCs/>
          <w:lang w:bidi="he-IL"/>
        </w:rPr>
        <w:t xml:space="preserve">viewed </w:t>
      </w:r>
      <w:r w:rsidR="00E27C59" w:rsidRPr="002624EB">
        <w:rPr>
          <w:bCs/>
          <w:lang w:bidi="he-IL"/>
        </w:rPr>
        <w:t>as “on the job training”</w:t>
      </w:r>
      <w:r w:rsidR="009B3DA6" w:rsidRPr="002624EB">
        <w:rPr>
          <w:bCs/>
          <w:lang w:bidi="he-IL"/>
        </w:rPr>
        <w:t xml:space="preserve"> </w:t>
      </w:r>
      <w:r w:rsidR="00E27C59" w:rsidRPr="002624EB">
        <w:rPr>
          <w:bCs/>
          <w:lang w:bidi="he-IL"/>
        </w:rPr>
        <w:t>(</w:t>
      </w:r>
      <w:r w:rsidR="00D61EAD" w:rsidRPr="002624EB">
        <w:rPr>
          <w:bCs/>
          <w:lang w:bidi="he-IL"/>
        </w:rPr>
        <w:t xml:space="preserve">e.g., </w:t>
      </w:r>
      <w:r w:rsidR="006958E8" w:rsidRPr="002624EB">
        <w:rPr>
          <w:bCs/>
          <w:lang w:bidi="he-IL"/>
        </w:rPr>
        <w:t>Lynch, 1991; Black and Lynch, 1996</w:t>
      </w:r>
      <w:r w:rsidR="00D61EAD" w:rsidRPr="002624EB">
        <w:rPr>
          <w:bCs/>
          <w:lang w:bidi="he-IL"/>
        </w:rPr>
        <w:t xml:space="preserve">; </w:t>
      </w:r>
      <w:proofErr w:type="spellStart"/>
      <w:r w:rsidR="00D61EAD" w:rsidRPr="002624EB">
        <w:rPr>
          <w:color w:val="222222"/>
          <w:shd w:val="clear" w:color="auto" w:fill="FFFFFF"/>
        </w:rPr>
        <w:t>Konings</w:t>
      </w:r>
      <w:proofErr w:type="spellEnd"/>
      <w:r w:rsidR="00D61EAD" w:rsidRPr="002624EB">
        <w:rPr>
          <w:color w:val="222222"/>
          <w:shd w:val="clear" w:color="auto" w:fill="FFFFFF"/>
        </w:rPr>
        <w:t xml:space="preserve"> and </w:t>
      </w:r>
      <w:proofErr w:type="spellStart"/>
      <w:r w:rsidR="00D61EAD" w:rsidRPr="002624EB">
        <w:rPr>
          <w:color w:val="222222"/>
          <w:shd w:val="clear" w:color="auto" w:fill="FFFFFF"/>
        </w:rPr>
        <w:t>Vanormelingen</w:t>
      </w:r>
      <w:proofErr w:type="spellEnd"/>
      <w:r w:rsidR="00D61EAD" w:rsidRPr="002624EB">
        <w:rPr>
          <w:color w:val="222222"/>
          <w:shd w:val="clear" w:color="auto" w:fill="FFFFFF"/>
        </w:rPr>
        <w:t>, 2015</w:t>
      </w:r>
      <w:r w:rsidR="00E27C59" w:rsidRPr="002624EB">
        <w:rPr>
          <w:bCs/>
          <w:lang w:bidi="he-IL"/>
        </w:rPr>
        <w:t xml:space="preserve">), </w:t>
      </w:r>
      <w:r w:rsidR="00652593" w:rsidRPr="002624EB">
        <w:rPr>
          <w:bCs/>
          <w:lang w:bidi="he-IL"/>
        </w:rPr>
        <w:t xml:space="preserve">has important implications, </w:t>
      </w:r>
      <w:r w:rsidR="0085422C" w:rsidRPr="002624EB">
        <w:rPr>
          <w:bCs/>
          <w:lang w:bidi="he-IL"/>
        </w:rPr>
        <w:t xml:space="preserve">even </w:t>
      </w:r>
      <w:r w:rsidR="00652593" w:rsidRPr="002624EB">
        <w:rPr>
          <w:bCs/>
          <w:lang w:bidi="he-IL"/>
        </w:rPr>
        <w:t xml:space="preserve">within </w:t>
      </w:r>
      <w:r w:rsidR="00440621" w:rsidRPr="002624EB">
        <w:rPr>
          <w:bCs/>
          <w:lang w:bidi="he-IL"/>
        </w:rPr>
        <w:t>a</w:t>
      </w:r>
      <w:r w:rsidR="00652593" w:rsidRPr="002624EB">
        <w:rPr>
          <w:bCs/>
          <w:lang w:bidi="he-IL"/>
        </w:rPr>
        <w:t xml:space="preserve"> group of </w:t>
      </w:r>
      <w:r w:rsidR="00440621" w:rsidRPr="002624EB">
        <w:rPr>
          <w:bCs/>
          <w:lang w:bidi="he-IL"/>
        </w:rPr>
        <w:t xml:space="preserve">already </w:t>
      </w:r>
      <w:r w:rsidR="00652593" w:rsidRPr="002624EB">
        <w:rPr>
          <w:bCs/>
          <w:lang w:bidi="he-IL"/>
        </w:rPr>
        <w:t xml:space="preserve">talented individuals, such as scientists. </w:t>
      </w:r>
      <w:r w:rsidR="003B3877" w:rsidRPr="002624EB">
        <w:rPr>
          <w:bCs/>
          <w:lang w:bidi="he-IL"/>
        </w:rPr>
        <w:t xml:space="preserve">Our lower bound estimate </w:t>
      </w:r>
      <w:r w:rsidR="006A4BA8" w:rsidRPr="002624EB">
        <w:rPr>
          <w:bCs/>
          <w:lang w:bidi="he-IL"/>
        </w:rPr>
        <w:t xml:space="preserve">of </w:t>
      </w:r>
      <w:r w:rsidR="003B3877" w:rsidRPr="002624EB">
        <w:rPr>
          <w:bCs/>
          <w:lang w:bidi="he-IL"/>
        </w:rPr>
        <w:t>a 30% nurturing component</w:t>
      </w:r>
      <w:r w:rsidR="0083020F" w:rsidRPr="002624EB">
        <w:rPr>
          <w:bCs/>
          <w:lang w:bidi="he-IL"/>
        </w:rPr>
        <w:t xml:space="preserve"> </w:t>
      </w:r>
      <w:r w:rsidR="000332E0" w:rsidRPr="002624EB">
        <w:rPr>
          <w:bCs/>
          <w:lang w:bidi="he-IL"/>
        </w:rPr>
        <w:t>of a high-tier</w:t>
      </w:r>
      <w:r w:rsidR="006A4BA8" w:rsidRPr="002624EB">
        <w:rPr>
          <w:bCs/>
          <w:lang w:bidi="he-IL"/>
        </w:rPr>
        <w:t xml:space="preserve"> </w:t>
      </w:r>
      <w:r w:rsidR="0083020F" w:rsidRPr="002624EB">
        <w:rPr>
          <w:bCs/>
          <w:lang w:bidi="he-IL"/>
        </w:rPr>
        <w:t>university</w:t>
      </w:r>
      <w:r w:rsidR="000332E0" w:rsidRPr="002624EB">
        <w:rPr>
          <w:bCs/>
          <w:lang w:bidi="he-IL"/>
        </w:rPr>
        <w:t xml:space="preserve"> compared to a lower-tier one,</w:t>
      </w:r>
      <w:r w:rsidR="003B3877" w:rsidRPr="002624EB">
        <w:rPr>
          <w:bCs/>
          <w:lang w:bidi="he-IL"/>
        </w:rPr>
        <w:t xml:space="preserve"> is </w:t>
      </w:r>
      <w:r w:rsidR="00C65152" w:rsidRPr="002624EB">
        <w:rPr>
          <w:bCs/>
          <w:lang w:bidi="he-IL"/>
        </w:rPr>
        <w:t xml:space="preserve">remarkably high given that </w:t>
      </w:r>
      <w:r w:rsidR="00AF25B4" w:rsidRPr="002624EB">
        <w:rPr>
          <w:bCs/>
          <w:lang w:bidi="he-IL"/>
        </w:rPr>
        <w:t xml:space="preserve">we consider the nurturing </w:t>
      </w:r>
      <w:r w:rsidR="001743CE" w:rsidRPr="002624EB">
        <w:rPr>
          <w:bCs/>
          <w:lang w:bidi="he-IL"/>
        </w:rPr>
        <w:t xml:space="preserve">at later stages of life (post PhD), </w:t>
      </w:r>
      <w:r w:rsidR="00042E00" w:rsidRPr="002624EB">
        <w:rPr>
          <w:bCs/>
          <w:lang w:bidi="he-IL"/>
        </w:rPr>
        <w:t>while estimates</w:t>
      </w:r>
      <w:r w:rsidR="003B3877" w:rsidRPr="002624EB">
        <w:rPr>
          <w:bCs/>
          <w:lang w:bidi="he-IL"/>
        </w:rPr>
        <w:t xml:space="preserve"> </w:t>
      </w:r>
      <w:r w:rsidR="00440621" w:rsidRPr="002624EB">
        <w:rPr>
          <w:bCs/>
          <w:lang w:bidi="he-IL"/>
        </w:rPr>
        <w:t>in</w:t>
      </w:r>
      <w:r w:rsidR="003B3877" w:rsidRPr="002624EB">
        <w:rPr>
          <w:bCs/>
          <w:lang w:bidi="he-IL"/>
        </w:rPr>
        <w:t xml:space="preserve"> </w:t>
      </w:r>
      <w:r w:rsidR="00652593" w:rsidRPr="002624EB">
        <w:rPr>
          <w:bCs/>
          <w:lang w:bidi="he-IL"/>
        </w:rPr>
        <w:t xml:space="preserve">the </w:t>
      </w:r>
      <w:r w:rsidR="00944936" w:rsidRPr="002624EB">
        <w:rPr>
          <w:bCs/>
          <w:lang w:bidi="he-IL"/>
        </w:rPr>
        <w:t xml:space="preserve">nature versus nurture </w:t>
      </w:r>
      <w:r w:rsidR="00652593" w:rsidRPr="002624EB">
        <w:rPr>
          <w:bCs/>
          <w:lang w:bidi="he-IL"/>
        </w:rPr>
        <w:t>literature consider nurturing as anything that happens after birth (</w:t>
      </w:r>
      <w:r w:rsidR="003B3877" w:rsidRPr="002624EB">
        <w:rPr>
          <w:bCs/>
          <w:lang w:bidi="he-IL"/>
        </w:rPr>
        <w:t>Dickens and Flynn</w:t>
      </w:r>
      <w:r w:rsidR="00C84A79" w:rsidRPr="002624EB">
        <w:rPr>
          <w:bCs/>
          <w:lang w:bidi="he-IL"/>
        </w:rPr>
        <w:t>,</w:t>
      </w:r>
      <w:r w:rsidR="00652593" w:rsidRPr="002624EB">
        <w:rPr>
          <w:bCs/>
          <w:lang w:bidi="he-IL"/>
        </w:rPr>
        <w:t xml:space="preserve"> </w:t>
      </w:r>
      <w:r w:rsidR="003B3877" w:rsidRPr="002624EB">
        <w:rPr>
          <w:bCs/>
          <w:lang w:bidi="he-IL"/>
        </w:rPr>
        <w:t>2001</w:t>
      </w:r>
      <w:r w:rsidR="00C84A79" w:rsidRPr="002624EB">
        <w:rPr>
          <w:bCs/>
          <w:lang w:bidi="he-IL"/>
        </w:rPr>
        <w:t>;</w:t>
      </w:r>
      <w:r w:rsidR="00652593" w:rsidRPr="002624EB">
        <w:rPr>
          <w:bCs/>
          <w:lang w:bidi="he-IL"/>
        </w:rPr>
        <w:t xml:space="preserve"> </w:t>
      </w:r>
      <w:r w:rsidR="003B3877" w:rsidRPr="002624EB">
        <w:rPr>
          <w:bCs/>
          <w:lang w:bidi="he-IL"/>
        </w:rPr>
        <w:t>Bowles and Gintis</w:t>
      </w:r>
      <w:r w:rsidR="00C84A79" w:rsidRPr="002624EB">
        <w:rPr>
          <w:bCs/>
          <w:lang w:bidi="he-IL"/>
        </w:rPr>
        <w:t>,</w:t>
      </w:r>
      <w:r w:rsidR="00652593" w:rsidRPr="002624EB">
        <w:rPr>
          <w:bCs/>
          <w:lang w:bidi="he-IL"/>
        </w:rPr>
        <w:t xml:space="preserve"> </w:t>
      </w:r>
      <w:r w:rsidR="003B3877" w:rsidRPr="002624EB">
        <w:rPr>
          <w:bCs/>
          <w:lang w:bidi="he-IL"/>
        </w:rPr>
        <w:t>2002</w:t>
      </w:r>
      <w:r w:rsidR="00C84A79" w:rsidRPr="002624EB">
        <w:rPr>
          <w:bCs/>
          <w:lang w:bidi="he-IL"/>
        </w:rPr>
        <w:t>;</w:t>
      </w:r>
      <w:r w:rsidR="00652593" w:rsidRPr="002624EB">
        <w:rPr>
          <w:bCs/>
          <w:lang w:bidi="he-IL"/>
        </w:rPr>
        <w:t xml:space="preserve"> </w:t>
      </w:r>
      <w:proofErr w:type="spellStart"/>
      <w:r w:rsidR="003B3877" w:rsidRPr="002624EB">
        <w:rPr>
          <w:bCs/>
          <w:lang w:bidi="he-IL"/>
        </w:rPr>
        <w:t>Sacerdote</w:t>
      </w:r>
      <w:proofErr w:type="spellEnd"/>
      <w:r w:rsidR="00C84A79" w:rsidRPr="002624EB">
        <w:rPr>
          <w:bCs/>
          <w:lang w:bidi="he-IL"/>
        </w:rPr>
        <w:t>,</w:t>
      </w:r>
      <w:r w:rsidR="003B3877" w:rsidRPr="002624EB">
        <w:rPr>
          <w:bCs/>
          <w:lang w:bidi="he-IL"/>
        </w:rPr>
        <w:t xml:space="preserve"> 2002</w:t>
      </w:r>
      <w:r w:rsidR="00C84A79" w:rsidRPr="002624EB">
        <w:rPr>
          <w:bCs/>
          <w:lang w:bidi="he-IL"/>
        </w:rPr>
        <w:t>;</w:t>
      </w:r>
      <w:r w:rsidR="00652593" w:rsidRPr="002624EB">
        <w:rPr>
          <w:bCs/>
          <w:lang w:bidi="he-IL"/>
        </w:rPr>
        <w:t xml:space="preserve"> </w:t>
      </w:r>
      <w:proofErr w:type="spellStart"/>
      <w:r w:rsidR="003B3877" w:rsidRPr="002624EB">
        <w:rPr>
          <w:bCs/>
          <w:lang w:bidi="he-IL"/>
        </w:rPr>
        <w:t>Barnea</w:t>
      </w:r>
      <w:proofErr w:type="spellEnd"/>
      <w:r w:rsidR="003B3877" w:rsidRPr="002624EB">
        <w:rPr>
          <w:bCs/>
          <w:lang w:bidi="he-IL"/>
        </w:rPr>
        <w:t xml:space="preserve"> et al.</w:t>
      </w:r>
      <w:r w:rsidR="00C84A79" w:rsidRPr="002624EB">
        <w:rPr>
          <w:bCs/>
          <w:lang w:bidi="he-IL"/>
        </w:rPr>
        <w:t>,</w:t>
      </w:r>
      <w:r w:rsidR="003B3877" w:rsidRPr="002624EB">
        <w:rPr>
          <w:bCs/>
          <w:lang w:bidi="he-IL"/>
        </w:rPr>
        <w:t xml:space="preserve"> </w:t>
      </w:r>
      <w:r w:rsidR="00652593" w:rsidRPr="002624EB">
        <w:rPr>
          <w:bCs/>
          <w:lang w:bidi="he-IL"/>
        </w:rPr>
        <w:t>201</w:t>
      </w:r>
      <w:r w:rsidR="003B3877" w:rsidRPr="002624EB">
        <w:rPr>
          <w:bCs/>
          <w:lang w:bidi="he-IL"/>
        </w:rPr>
        <w:t xml:space="preserve">0). </w:t>
      </w:r>
    </w:p>
    <w:p w14:paraId="4EA6DDA5" w14:textId="25EB2778" w:rsidR="005D0EEE" w:rsidRDefault="00FD138B" w:rsidP="009D160E">
      <w:pPr>
        <w:spacing w:line="480" w:lineRule="auto"/>
        <w:ind w:firstLine="720"/>
        <w:jc w:val="both"/>
        <w:rPr>
          <w:bCs/>
          <w:lang w:bidi="he-IL"/>
        </w:rPr>
      </w:pPr>
      <w:r w:rsidRPr="002624EB">
        <w:t>Finally</w:t>
      </w:r>
      <w:r w:rsidR="005D0EEE" w:rsidRPr="002624EB">
        <w:t>, the paper provide</w:t>
      </w:r>
      <w:r w:rsidRPr="002624EB">
        <w:t>s</w:t>
      </w:r>
      <w:r w:rsidR="005D0EEE" w:rsidRPr="002624EB">
        <w:t xml:space="preserve"> a plausible explanation for the high skewness in productivity in academia, where few individuals publish most of the work (Price, </w:t>
      </w:r>
      <w:r w:rsidR="009D160E" w:rsidRPr="002624EB">
        <w:t>1986</w:t>
      </w:r>
      <w:r w:rsidR="005D0EEE" w:rsidRPr="002624EB">
        <w:t xml:space="preserve">). The phenomenon has been noted to be one of the most perplexing problems in the sociology of science (Gaston,1978). Alison and Stewart (1974) claim that talent differences cannot explain the high variation in productivity, especially given that IQ correlates very weakly with productivity (Cole and Cole, 1973; Fox, 1983). Our findings that the nurturing of top-tier compared to second-tier is responsible for </w:t>
      </w:r>
      <w:r w:rsidRPr="002624EB">
        <w:t xml:space="preserve">much of the productivity difference </w:t>
      </w:r>
      <w:r w:rsidR="00245394" w:rsidRPr="002624EB">
        <w:t xml:space="preserve">of researchers </w:t>
      </w:r>
      <w:r w:rsidRPr="002624EB">
        <w:t xml:space="preserve">across </w:t>
      </w:r>
      <w:r w:rsidR="00245394" w:rsidRPr="002624EB">
        <w:t xml:space="preserve">the tiers, </w:t>
      </w:r>
      <w:r w:rsidRPr="002624EB">
        <w:t>implies that</w:t>
      </w:r>
      <w:r w:rsidR="00245394" w:rsidRPr="002624EB">
        <w:t xml:space="preserve"> some of the </w:t>
      </w:r>
      <w:r w:rsidR="00B672FB" w:rsidRPr="002624EB">
        <w:t>productivity-</w:t>
      </w:r>
      <w:r w:rsidR="00245394" w:rsidRPr="002624EB">
        <w:t>skewness phenomenon may be attributed to the skewness in the</w:t>
      </w:r>
      <w:r w:rsidR="00245394">
        <w:t xml:space="preserve"> </w:t>
      </w:r>
      <w:r w:rsidR="002D7417">
        <w:t xml:space="preserve">distribution of researchers’ </w:t>
      </w:r>
      <w:r w:rsidR="00D73102">
        <w:t>initial affiliation</w:t>
      </w:r>
      <w:r w:rsidR="00245394">
        <w:t xml:space="preserve">: only few researches </w:t>
      </w:r>
      <w:r w:rsidR="002D7417">
        <w:t>are</w:t>
      </w:r>
      <w:r>
        <w:t xml:space="preserve"> nurtured </w:t>
      </w:r>
      <w:r w:rsidR="002D7417">
        <w:t>by top tier schools, which we find is a core facilitator of productivity</w:t>
      </w:r>
      <w:r>
        <w:t xml:space="preserve">. </w:t>
      </w:r>
    </w:p>
    <w:p w14:paraId="11F2C27C" w14:textId="600F867A" w:rsidR="003B3877" w:rsidRDefault="003B3877" w:rsidP="00E24E19">
      <w:pPr>
        <w:spacing w:line="480" w:lineRule="auto"/>
        <w:ind w:firstLine="720"/>
        <w:jc w:val="both"/>
        <w:rPr>
          <w:bCs/>
          <w:lang w:bidi="he-IL"/>
        </w:rPr>
      </w:pPr>
      <w:r>
        <w:rPr>
          <w:bCs/>
          <w:lang w:bidi="he-IL"/>
        </w:rPr>
        <w:t xml:space="preserve">The rest of this paper is organized as follows. Section 2 describes the assembly of the data. Section 3 analyzes the errors in initial placement allocation of researchers to universities. Section 4 analyzes the </w:t>
      </w:r>
      <w:r w:rsidR="00E24E19">
        <w:rPr>
          <w:bCs/>
          <w:lang w:bidi="he-IL"/>
        </w:rPr>
        <w:t xml:space="preserve">talent </w:t>
      </w:r>
      <w:r>
        <w:rPr>
          <w:bCs/>
          <w:lang w:bidi="he-IL"/>
        </w:rPr>
        <w:t xml:space="preserve">and nurture components, and Section 5 concludes. </w:t>
      </w:r>
    </w:p>
    <w:p w14:paraId="3F7CC77E" w14:textId="77777777" w:rsidR="00BD7894" w:rsidRDefault="00BD7894" w:rsidP="008D2EE2">
      <w:pPr>
        <w:spacing w:line="408" w:lineRule="auto"/>
        <w:ind w:firstLine="720"/>
        <w:jc w:val="both"/>
        <w:rPr>
          <w:b/>
          <w:rtl/>
          <w:lang w:bidi="he-IL"/>
        </w:rPr>
      </w:pPr>
    </w:p>
    <w:p w14:paraId="51697798" w14:textId="7BBDE811" w:rsidR="0077430C" w:rsidRPr="00821802" w:rsidRDefault="0067518C" w:rsidP="008D2EE2">
      <w:pPr>
        <w:spacing w:line="408" w:lineRule="auto"/>
        <w:ind w:firstLine="720"/>
        <w:jc w:val="both"/>
        <w:rPr>
          <w:b/>
        </w:rPr>
      </w:pPr>
      <w:r>
        <w:rPr>
          <w:b/>
        </w:rPr>
        <w:lastRenderedPageBreak/>
        <w:t>2</w:t>
      </w:r>
      <w:r w:rsidR="0015505B">
        <w:rPr>
          <w:b/>
        </w:rPr>
        <w:t xml:space="preserve">. </w:t>
      </w:r>
      <w:r w:rsidR="00821802" w:rsidRPr="00821802">
        <w:rPr>
          <w:b/>
        </w:rPr>
        <w:t xml:space="preserve">Data </w:t>
      </w:r>
    </w:p>
    <w:p w14:paraId="3EBA686A" w14:textId="70D2E817" w:rsidR="001C25BA" w:rsidRDefault="00757FC9" w:rsidP="008F3AC7">
      <w:pPr>
        <w:spacing w:line="408" w:lineRule="auto"/>
        <w:ind w:firstLine="720"/>
        <w:jc w:val="both"/>
        <w:rPr>
          <w:bCs/>
        </w:rPr>
      </w:pPr>
      <w:r>
        <w:rPr>
          <w:bCs/>
        </w:rPr>
        <w:t>Our data comes from</w:t>
      </w:r>
      <w:r w:rsidR="00821802">
        <w:rPr>
          <w:bCs/>
        </w:rPr>
        <w:t xml:space="preserve"> </w:t>
      </w:r>
      <w:r w:rsidR="00576389">
        <w:rPr>
          <w:bCs/>
        </w:rPr>
        <w:t xml:space="preserve">the </w:t>
      </w:r>
      <w:r w:rsidRPr="00E22828">
        <w:t xml:space="preserve">Thomson Reuters' </w:t>
      </w:r>
      <w:r w:rsidR="00821802">
        <w:rPr>
          <w:bCs/>
        </w:rPr>
        <w:t>Web of Science (WOS)</w:t>
      </w:r>
      <w:r>
        <w:rPr>
          <w:bCs/>
        </w:rPr>
        <w:t xml:space="preserve">, from which </w:t>
      </w:r>
      <w:r w:rsidR="00FA73A3">
        <w:rPr>
          <w:bCs/>
        </w:rPr>
        <w:t xml:space="preserve">we </w:t>
      </w:r>
      <w:r>
        <w:rPr>
          <w:bCs/>
        </w:rPr>
        <w:t xml:space="preserve">harvest </w:t>
      </w:r>
      <w:r w:rsidR="00C94FFF">
        <w:rPr>
          <w:bCs/>
        </w:rPr>
        <w:t>our</w:t>
      </w:r>
      <w:r>
        <w:rPr>
          <w:bCs/>
        </w:rPr>
        <w:t xml:space="preserve"> </w:t>
      </w:r>
      <w:r w:rsidR="00821802">
        <w:rPr>
          <w:bCs/>
        </w:rPr>
        <w:t xml:space="preserve">sample of authors, their affiliation, and </w:t>
      </w:r>
      <w:r w:rsidR="00FA73A3">
        <w:rPr>
          <w:bCs/>
        </w:rPr>
        <w:t xml:space="preserve">list of </w:t>
      </w:r>
      <w:r w:rsidR="00821802">
        <w:rPr>
          <w:bCs/>
        </w:rPr>
        <w:t xml:space="preserve">publications. </w:t>
      </w:r>
      <w:r w:rsidR="00576389">
        <w:rPr>
          <w:bCs/>
        </w:rPr>
        <w:t>W</w:t>
      </w:r>
      <w:r w:rsidR="00821802">
        <w:rPr>
          <w:bCs/>
        </w:rPr>
        <w:t xml:space="preserve">e </w:t>
      </w:r>
      <w:r w:rsidR="00CF75C5">
        <w:rPr>
          <w:bCs/>
        </w:rPr>
        <w:t xml:space="preserve">study </w:t>
      </w:r>
      <w:r w:rsidR="00821802">
        <w:rPr>
          <w:bCs/>
        </w:rPr>
        <w:t>finance researchers</w:t>
      </w:r>
      <w:r w:rsidR="00CF75C5">
        <w:rPr>
          <w:bCs/>
        </w:rPr>
        <w:t xml:space="preserve">, </w:t>
      </w:r>
      <w:r w:rsidR="00C94FFF">
        <w:rPr>
          <w:bCs/>
        </w:rPr>
        <w:t xml:space="preserve">which </w:t>
      </w:r>
      <w:r w:rsidR="00327392">
        <w:rPr>
          <w:bCs/>
        </w:rPr>
        <w:t xml:space="preserve">are </w:t>
      </w:r>
      <w:r w:rsidR="00C94FFF">
        <w:rPr>
          <w:bCs/>
        </w:rPr>
        <w:t>identif</w:t>
      </w:r>
      <w:r w:rsidR="00327392">
        <w:rPr>
          <w:bCs/>
        </w:rPr>
        <w:t>ied</w:t>
      </w:r>
      <w:r w:rsidR="00C94FFF">
        <w:rPr>
          <w:bCs/>
        </w:rPr>
        <w:t xml:space="preserve"> </w:t>
      </w:r>
      <w:r w:rsidR="002F493B">
        <w:rPr>
          <w:bCs/>
        </w:rPr>
        <w:t>by having the</w:t>
      </w:r>
      <w:r w:rsidR="00C94FFF">
        <w:rPr>
          <w:bCs/>
        </w:rPr>
        <w:t xml:space="preserve"> </w:t>
      </w:r>
      <w:r w:rsidR="00CF75C5">
        <w:rPr>
          <w:bCs/>
        </w:rPr>
        <w:t xml:space="preserve">majority of </w:t>
      </w:r>
      <w:r w:rsidR="002F493B">
        <w:rPr>
          <w:bCs/>
        </w:rPr>
        <w:t>their articles</w:t>
      </w:r>
      <w:r w:rsidR="00576389">
        <w:rPr>
          <w:bCs/>
        </w:rPr>
        <w:t xml:space="preserve"> published in</w:t>
      </w:r>
      <w:r w:rsidR="00CF75C5">
        <w:rPr>
          <w:bCs/>
        </w:rPr>
        <w:t xml:space="preserve"> Business Finance </w:t>
      </w:r>
      <w:r w:rsidR="00576389">
        <w:rPr>
          <w:bCs/>
        </w:rPr>
        <w:t>journals</w:t>
      </w:r>
      <w:r w:rsidR="002F493B">
        <w:rPr>
          <w:bCs/>
        </w:rPr>
        <w:t>, according to</w:t>
      </w:r>
      <w:r w:rsidR="00CF75C5">
        <w:rPr>
          <w:bCs/>
        </w:rPr>
        <w:t xml:space="preserve"> </w:t>
      </w:r>
      <w:r w:rsidR="00576389">
        <w:rPr>
          <w:bCs/>
        </w:rPr>
        <w:t xml:space="preserve">the </w:t>
      </w:r>
      <w:r w:rsidR="00CF75C5">
        <w:rPr>
          <w:bCs/>
        </w:rPr>
        <w:t>WOS</w:t>
      </w:r>
      <w:r w:rsidR="002F493B">
        <w:rPr>
          <w:bCs/>
        </w:rPr>
        <w:t xml:space="preserve"> classification</w:t>
      </w:r>
      <w:r w:rsidR="00576389">
        <w:rPr>
          <w:bCs/>
        </w:rPr>
        <w:t xml:space="preserve"> </w:t>
      </w:r>
      <w:r w:rsidR="008F3AC7">
        <w:rPr>
          <w:bCs/>
        </w:rPr>
        <w:t>(a</w:t>
      </w:r>
      <w:r w:rsidR="00576389">
        <w:rPr>
          <w:bCs/>
        </w:rPr>
        <w:t xml:space="preserve"> total of</w:t>
      </w:r>
      <w:r w:rsidR="00CF75C5">
        <w:rPr>
          <w:bCs/>
        </w:rPr>
        <w:t xml:space="preserve"> 9</w:t>
      </w:r>
      <w:r w:rsidR="00114F7A">
        <w:rPr>
          <w:bCs/>
        </w:rPr>
        <w:t>6</w:t>
      </w:r>
      <w:r w:rsidR="00CF75C5">
        <w:rPr>
          <w:bCs/>
        </w:rPr>
        <w:t xml:space="preserve"> journals as of 2016</w:t>
      </w:r>
      <w:r w:rsidR="00576389">
        <w:rPr>
          <w:bCs/>
        </w:rPr>
        <w:t>)</w:t>
      </w:r>
      <w:r w:rsidR="00CF75C5">
        <w:rPr>
          <w:bCs/>
        </w:rPr>
        <w:t xml:space="preserve">. </w:t>
      </w:r>
      <w:r w:rsidR="008F3AC7">
        <w:rPr>
          <w:bCs/>
        </w:rPr>
        <w:t xml:space="preserve">Since the WOS includes detailed data about affiliation only </w:t>
      </w:r>
      <w:r w:rsidR="009304D2">
        <w:rPr>
          <w:bCs/>
        </w:rPr>
        <w:t>from 1966</w:t>
      </w:r>
      <w:r w:rsidR="00DC349E">
        <w:rPr>
          <w:bCs/>
        </w:rPr>
        <w:t xml:space="preserve">, </w:t>
      </w:r>
      <w:r w:rsidR="008F3AC7">
        <w:rPr>
          <w:bCs/>
        </w:rPr>
        <w:t>our sample</w:t>
      </w:r>
      <w:r w:rsidR="00C94FFF">
        <w:rPr>
          <w:bCs/>
        </w:rPr>
        <w:t xml:space="preserve"> include</w:t>
      </w:r>
      <w:r w:rsidR="008F3AC7">
        <w:rPr>
          <w:bCs/>
        </w:rPr>
        <w:t>s</w:t>
      </w:r>
      <w:r w:rsidR="00C94FFF">
        <w:rPr>
          <w:bCs/>
        </w:rPr>
        <w:t xml:space="preserve"> </w:t>
      </w:r>
      <w:r w:rsidR="00DC349E">
        <w:rPr>
          <w:bCs/>
        </w:rPr>
        <w:t xml:space="preserve">authors whose first publication on WOS </w:t>
      </w:r>
      <w:r w:rsidR="00C94FFF">
        <w:rPr>
          <w:bCs/>
        </w:rPr>
        <w:t xml:space="preserve">appears </w:t>
      </w:r>
      <w:r w:rsidR="00DC349E">
        <w:rPr>
          <w:bCs/>
        </w:rPr>
        <w:t>no earlier than 19</w:t>
      </w:r>
      <w:r w:rsidR="004A203B">
        <w:rPr>
          <w:bCs/>
        </w:rPr>
        <w:t>66</w:t>
      </w:r>
      <w:r w:rsidR="00DC349E">
        <w:rPr>
          <w:bCs/>
        </w:rPr>
        <w:t xml:space="preserve">. </w:t>
      </w:r>
      <w:r w:rsidR="00C94FFF">
        <w:rPr>
          <w:bCs/>
        </w:rPr>
        <w:t xml:space="preserve">In </w:t>
      </w:r>
      <w:r w:rsidR="00E73260">
        <w:rPr>
          <w:bCs/>
        </w:rPr>
        <w:t xml:space="preserve">addition, in order </w:t>
      </w:r>
      <w:r w:rsidR="005F6EC4">
        <w:rPr>
          <w:bCs/>
        </w:rPr>
        <w:t xml:space="preserve">to </w:t>
      </w:r>
      <w:r w:rsidR="00DC349E">
        <w:rPr>
          <w:bCs/>
        </w:rPr>
        <w:t xml:space="preserve">observe </w:t>
      </w:r>
      <w:r w:rsidR="00C94FFF">
        <w:rPr>
          <w:bCs/>
        </w:rPr>
        <w:t xml:space="preserve">the productivity of all the </w:t>
      </w:r>
      <w:r w:rsidR="00DC349E">
        <w:rPr>
          <w:bCs/>
        </w:rPr>
        <w:t xml:space="preserve">authors </w:t>
      </w:r>
      <w:r w:rsidR="009F083D">
        <w:rPr>
          <w:bCs/>
        </w:rPr>
        <w:t>of our sample</w:t>
      </w:r>
      <w:r w:rsidR="00C94FFF">
        <w:rPr>
          <w:bCs/>
        </w:rPr>
        <w:t xml:space="preserve"> in the</w:t>
      </w:r>
      <w:r w:rsidR="00DC349E">
        <w:rPr>
          <w:bCs/>
        </w:rPr>
        <w:t xml:space="preserve"> 10 years </w:t>
      </w:r>
      <w:r w:rsidR="00C94FFF">
        <w:rPr>
          <w:bCs/>
        </w:rPr>
        <w:t xml:space="preserve">that follow </w:t>
      </w:r>
      <w:r w:rsidR="005F6EC4">
        <w:rPr>
          <w:bCs/>
        </w:rPr>
        <w:t>the</w:t>
      </w:r>
      <w:r w:rsidR="00C94FFF">
        <w:rPr>
          <w:bCs/>
        </w:rPr>
        <w:t>ir first publication</w:t>
      </w:r>
      <w:r w:rsidR="00DC349E">
        <w:rPr>
          <w:bCs/>
        </w:rPr>
        <w:t xml:space="preserve">, </w:t>
      </w:r>
      <w:r w:rsidR="00C94FFF">
        <w:rPr>
          <w:bCs/>
        </w:rPr>
        <w:t>we</w:t>
      </w:r>
      <w:r w:rsidR="00DC349E">
        <w:rPr>
          <w:bCs/>
        </w:rPr>
        <w:t xml:space="preserve"> </w:t>
      </w:r>
      <w:r w:rsidR="008F3AC7">
        <w:rPr>
          <w:bCs/>
        </w:rPr>
        <w:t xml:space="preserve">do not include </w:t>
      </w:r>
      <w:r w:rsidR="00DC349E">
        <w:rPr>
          <w:bCs/>
        </w:rPr>
        <w:t>authors who</w:t>
      </w:r>
      <w:r w:rsidR="008F3AC7">
        <w:rPr>
          <w:bCs/>
        </w:rPr>
        <w:t xml:space="preserve"> had their first article published </w:t>
      </w:r>
      <w:r w:rsidR="00DC349E">
        <w:rPr>
          <w:bCs/>
        </w:rPr>
        <w:t xml:space="preserve">after 2006. We </w:t>
      </w:r>
      <w:r w:rsidR="001C25BA">
        <w:rPr>
          <w:bCs/>
        </w:rPr>
        <w:t xml:space="preserve">also create a </w:t>
      </w:r>
      <w:r w:rsidR="00327392">
        <w:rPr>
          <w:bCs/>
        </w:rPr>
        <w:t xml:space="preserve">second </w:t>
      </w:r>
      <w:r w:rsidR="001C25BA">
        <w:rPr>
          <w:bCs/>
        </w:rPr>
        <w:t>sample</w:t>
      </w:r>
      <w:r w:rsidR="009F083D">
        <w:rPr>
          <w:bCs/>
        </w:rPr>
        <w:t>,</w:t>
      </w:r>
      <w:r w:rsidR="001C25BA">
        <w:rPr>
          <w:bCs/>
        </w:rPr>
        <w:t xml:space="preserve"> </w:t>
      </w:r>
      <w:r w:rsidR="00C94FFF">
        <w:rPr>
          <w:bCs/>
        </w:rPr>
        <w:t xml:space="preserve">in which we </w:t>
      </w:r>
      <w:r w:rsidR="00B359EE">
        <w:rPr>
          <w:bCs/>
        </w:rPr>
        <w:t xml:space="preserve">follow </w:t>
      </w:r>
      <w:r w:rsidR="001C25BA">
        <w:rPr>
          <w:bCs/>
        </w:rPr>
        <w:t>authors 20 years after</w:t>
      </w:r>
      <w:r w:rsidR="009F083D">
        <w:rPr>
          <w:bCs/>
        </w:rPr>
        <w:t xml:space="preserve"> their</w:t>
      </w:r>
      <w:r w:rsidR="001C25BA">
        <w:rPr>
          <w:bCs/>
        </w:rPr>
        <w:t xml:space="preserve"> first publication, which means </w:t>
      </w:r>
      <w:r w:rsidR="009F083D">
        <w:rPr>
          <w:bCs/>
        </w:rPr>
        <w:t>that</w:t>
      </w:r>
      <w:r w:rsidR="00C94FFF">
        <w:rPr>
          <w:bCs/>
        </w:rPr>
        <w:t xml:space="preserve"> in this sample we similarly drop</w:t>
      </w:r>
      <w:r w:rsidR="001C25BA">
        <w:rPr>
          <w:bCs/>
        </w:rPr>
        <w:t xml:space="preserve"> authors whose first publication is after 1996. The appendix includes information on </w:t>
      </w:r>
      <w:r w:rsidR="008F3AC7">
        <w:rPr>
          <w:bCs/>
        </w:rPr>
        <w:t xml:space="preserve">our </w:t>
      </w:r>
      <w:r w:rsidR="001C25BA">
        <w:rPr>
          <w:bCs/>
        </w:rPr>
        <w:t>sample</w:t>
      </w:r>
      <w:r w:rsidR="008F3AC7">
        <w:rPr>
          <w:bCs/>
        </w:rPr>
        <w:t xml:space="preserve"> generation process</w:t>
      </w:r>
      <w:r w:rsidR="001C25BA">
        <w:rPr>
          <w:bCs/>
        </w:rPr>
        <w:t xml:space="preserve">. We </w:t>
      </w:r>
      <w:r w:rsidR="005F6EC4">
        <w:rPr>
          <w:bCs/>
        </w:rPr>
        <w:t xml:space="preserve">manually </w:t>
      </w:r>
      <w:r w:rsidR="001C25BA">
        <w:rPr>
          <w:bCs/>
        </w:rPr>
        <w:t xml:space="preserve">verified that our sample is complete and </w:t>
      </w:r>
      <w:r w:rsidR="005F6EC4">
        <w:rPr>
          <w:bCs/>
        </w:rPr>
        <w:t xml:space="preserve">is </w:t>
      </w:r>
      <w:r w:rsidR="001C25BA">
        <w:rPr>
          <w:bCs/>
        </w:rPr>
        <w:t>consistent with 20 CV</w:t>
      </w:r>
      <w:r w:rsidR="005F6EC4">
        <w:rPr>
          <w:bCs/>
        </w:rPr>
        <w:t>s</w:t>
      </w:r>
      <w:r w:rsidR="001C25BA">
        <w:rPr>
          <w:bCs/>
        </w:rPr>
        <w:t xml:space="preserve"> of finance faculty that we </w:t>
      </w:r>
      <w:r w:rsidR="008F3AC7">
        <w:rPr>
          <w:bCs/>
        </w:rPr>
        <w:t xml:space="preserve">have </w:t>
      </w:r>
      <w:r w:rsidR="001C25BA">
        <w:rPr>
          <w:bCs/>
        </w:rPr>
        <w:t>downloaded from personal</w:t>
      </w:r>
      <w:r w:rsidR="00730E7A">
        <w:rPr>
          <w:bCs/>
        </w:rPr>
        <w:t xml:space="preserve"> faculty</w:t>
      </w:r>
      <w:r w:rsidR="001C25BA">
        <w:rPr>
          <w:bCs/>
        </w:rPr>
        <w:t xml:space="preserve"> website</w:t>
      </w:r>
      <w:r w:rsidR="00730E7A">
        <w:rPr>
          <w:bCs/>
        </w:rPr>
        <w:t>s</w:t>
      </w:r>
      <w:r w:rsidR="001C25BA">
        <w:rPr>
          <w:bCs/>
        </w:rPr>
        <w:t>.</w:t>
      </w:r>
      <w:r w:rsidR="005F6EC4">
        <w:rPr>
          <w:bCs/>
        </w:rPr>
        <w:t xml:space="preserve"> </w:t>
      </w:r>
    </w:p>
    <w:p w14:paraId="1345D6A0" w14:textId="44BEEFCB" w:rsidR="00267268" w:rsidRDefault="005F6EC4" w:rsidP="004A44BD">
      <w:pPr>
        <w:spacing w:line="408" w:lineRule="auto"/>
        <w:ind w:firstLine="720"/>
        <w:jc w:val="both"/>
        <w:rPr>
          <w:bCs/>
        </w:rPr>
      </w:pPr>
      <w:r>
        <w:rPr>
          <w:bCs/>
        </w:rPr>
        <w:t xml:space="preserve">Overall, </w:t>
      </w:r>
      <w:r w:rsidR="004211CA">
        <w:rPr>
          <w:bCs/>
        </w:rPr>
        <w:t>we were able to generate a sample of 3,707 authors</w:t>
      </w:r>
      <w:r w:rsidR="008F3AC7">
        <w:rPr>
          <w:bCs/>
        </w:rPr>
        <w:t>,</w:t>
      </w:r>
      <w:r w:rsidR="004211CA">
        <w:rPr>
          <w:bCs/>
        </w:rPr>
        <w:t xml:space="preserve"> for whom we could generate </w:t>
      </w:r>
      <w:r w:rsidR="00327392">
        <w:rPr>
          <w:bCs/>
        </w:rPr>
        <w:t>an</w:t>
      </w:r>
      <w:r w:rsidR="008F0538">
        <w:rPr>
          <w:bCs/>
        </w:rPr>
        <w:t xml:space="preserve"> affiliation </w:t>
      </w:r>
      <w:r w:rsidR="00327392">
        <w:rPr>
          <w:bCs/>
        </w:rPr>
        <w:t xml:space="preserve">and publication </w:t>
      </w:r>
      <w:r w:rsidR="008F0538">
        <w:rPr>
          <w:bCs/>
        </w:rPr>
        <w:t xml:space="preserve">trajectory over 10 years </w:t>
      </w:r>
      <w:r w:rsidR="00DC7880">
        <w:rPr>
          <w:bCs/>
        </w:rPr>
        <w:t xml:space="preserve">following </w:t>
      </w:r>
      <w:r w:rsidR="009779CC">
        <w:rPr>
          <w:bCs/>
        </w:rPr>
        <w:t>their</w:t>
      </w:r>
      <w:r w:rsidR="008F0538">
        <w:rPr>
          <w:bCs/>
        </w:rPr>
        <w:t xml:space="preserve"> first publication. Our focus in this study is in comparing authors whose first placement is in a top 20 </w:t>
      </w:r>
      <w:r w:rsidR="008621F6">
        <w:rPr>
          <w:bCs/>
        </w:rPr>
        <w:t>university</w:t>
      </w:r>
      <w:r w:rsidR="008F0538">
        <w:rPr>
          <w:bCs/>
        </w:rPr>
        <w:t xml:space="preserve"> </w:t>
      </w:r>
      <w:r w:rsidR="008621F6">
        <w:rPr>
          <w:bCs/>
          <w:lang w:bidi="he-IL"/>
        </w:rPr>
        <w:t xml:space="preserve">(hence, </w:t>
      </w:r>
      <w:r w:rsidR="005F45D6">
        <w:rPr>
          <w:bCs/>
          <w:lang w:bidi="he-IL"/>
        </w:rPr>
        <w:t>top-tier</w:t>
      </w:r>
      <w:r w:rsidR="008621F6">
        <w:rPr>
          <w:bCs/>
          <w:lang w:bidi="he-IL"/>
        </w:rPr>
        <w:t xml:space="preserve">) </w:t>
      </w:r>
      <w:r w:rsidR="008F0538">
        <w:rPr>
          <w:bCs/>
        </w:rPr>
        <w:t xml:space="preserve">to those whose first placement is in </w:t>
      </w:r>
      <w:r w:rsidR="008621F6">
        <w:rPr>
          <w:bCs/>
        </w:rPr>
        <w:t xml:space="preserve">universities </w:t>
      </w:r>
      <w:r w:rsidR="008F0538">
        <w:rPr>
          <w:bCs/>
        </w:rPr>
        <w:t>ranked 51-100</w:t>
      </w:r>
      <w:r w:rsidR="008621F6">
        <w:rPr>
          <w:bCs/>
        </w:rPr>
        <w:t xml:space="preserve"> (hence, </w:t>
      </w:r>
      <w:r w:rsidR="00EF1F42">
        <w:rPr>
          <w:bCs/>
        </w:rPr>
        <w:t>second-tier</w:t>
      </w:r>
      <w:r w:rsidR="008621F6">
        <w:rPr>
          <w:bCs/>
        </w:rPr>
        <w:t>)</w:t>
      </w:r>
      <w:r w:rsidR="008F0538">
        <w:rPr>
          <w:bCs/>
        </w:rPr>
        <w:t>.</w:t>
      </w:r>
      <w:r w:rsidR="009779CC">
        <w:rPr>
          <w:rStyle w:val="FootnoteReference"/>
          <w:bCs/>
        </w:rPr>
        <w:footnoteReference w:id="8"/>
      </w:r>
      <w:r w:rsidR="008F0538">
        <w:rPr>
          <w:bCs/>
        </w:rPr>
        <w:t xml:space="preserve"> </w:t>
      </w:r>
      <w:r w:rsidR="00327392">
        <w:rPr>
          <w:bCs/>
        </w:rPr>
        <w:t xml:space="preserve">These two groups </w:t>
      </w:r>
      <w:r w:rsidR="00E73260">
        <w:rPr>
          <w:bCs/>
        </w:rPr>
        <w:t>enable us</w:t>
      </w:r>
      <w:r w:rsidR="00327392">
        <w:rPr>
          <w:bCs/>
        </w:rPr>
        <w:t xml:space="preserve"> to compare the nurturing </w:t>
      </w:r>
      <w:r w:rsidR="00980536">
        <w:rPr>
          <w:bCs/>
        </w:rPr>
        <w:t xml:space="preserve">difference between </w:t>
      </w:r>
      <w:r w:rsidR="00327392">
        <w:rPr>
          <w:bCs/>
        </w:rPr>
        <w:t xml:space="preserve">two types of </w:t>
      </w:r>
      <w:r w:rsidR="008F0538">
        <w:rPr>
          <w:bCs/>
        </w:rPr>
        <w:t xml:space="preserve">research-oriented </w:t>
      </w:r>
      <w:r w:rsidR="008621F6">
        <w:rPr>
          <w:bCs/>
        </w:rPr>
        <w:t>universities</w:t>
      </w:r>
      <w:r w:rsidR="008F0538">
        <w:rPr>
          <w:bCs/>
        </w:rPr>
        <w:t xml:space="preserve"> (as all </w:t>
      </w:r>
      <w:r w:rsidR="00EF1F42">
        <w:rPr>
          <w:bCs/>
        </w:rPr>
        <w:t xml:space="preserve">universities which are </w:t>
      </w:r>
      <w:r w:rsidR="008621F6">
        <w:rPr>
          <w:bCs/>
        </w:rPr>
        <w:t xml:space="preserve">ranked in the </w:t>
      </w:r>
      <w:r w:rsidR="008F0538">
        <w:rPr>
          <w:bCs/>
        </w:rPr>
        <w:t>top 100 can be considered as such</w:t>
      </w:r>
      <w:r w:rsidR="00327392">
        <w:rPr>
          <w:bCs/>
        </w:rPr>
        <w:t>),</w:t>
      </w:r>
      <w:r w:rsidR="00185682">
        <w:rPr>
          <w:bCs/>
        </w:rPr>
        <w:t xml:space="preserve"> </w:t>
      </w:r>
      <w:r w:rsidR="00327392">
        <w:rPr>
          <w:bCs/>
        </w:rPr>
        <w:t xml:space="preserve">that are sufficiently different </w:t>
      </w:r>
      <w:r w:rsidR="008F0538">
        <w:rPr>
          <w:bCs/>
        </w:rPr>
        <w:t xml:space="preserve">in terms of their </w:t>
      </w:r>
      <w:r w:rsidR="00327392">
        <w:rPr>
          <w:bCs/>
        </w:rPr>
        <w:t xml:space="preserve">research quality </w:t>
      </w:r>
      <w:r w:rsidR="008F0538">
        <w:rPr>
          <w:bCs/>
        </w:rPr>
        <w:t>reputation.</w:t>
      </w:r>
      <w:r w:rsidR="00B359EE">
        <w:rPr>
          <w:bCs/>
        </w:rPr>
        <w:t xml:space="preserve"> </w:t>
      </w:r>
      <w:r w:rsidR="00980536">
        <w:rPr>
          <w:bCs/>
        </w:rPr>
        <w:t>Consequently,</w:t>
      </w:r>
      <w:r w:rsidR="00B359EE">
        <w:rPr>
          <w:bCs/>
        </w:rPr>
        <w:t xml:space="preserve"> this comparison </w:t>
      </w:r>
      <w:r w:rsidR="00980536">
        <w:rPr>
          <w:bCs/>
        </w:rPr>
        <w:t xml:space="preserve">also </w:t>
      </w:r>
      <w:r w:rsidR="00B359EE">
        <w:rPr>
          <w:bCs/>
        </w:rPr>
        <w:t xml:space="preserve">allows us to </w:t>
      </w:r>
      <w:r w:rsidR="0084384A">
        <w:rPr>
          <w:bCs/>
        </w:rPr>
        <w:t>estimate the</w:t>
      </w:r>
      <w:r w:rsidR="00AA1212">
        <w:rPr>
          <w:bCs/>
        </w:rPr>
        <w:t xml:space="preserve"> extent to which</w:t>
      </w:r>
      <w:r w:rsidR="00B359EE">
        <w:rPr>
          <w:bCs/>
        </w:rPr>
        <w:t xml:space="preserve"> </w:t>
      </w:r>
      <w:r w:rsidR="00B64618">
        <w:rPr>
          <w:bCs/>
        </w:rPr>
        <w:t xml:space="preserve">an </w:t>
      </w:r>
      <w:r w:rsidR="0084384A">
        <w:rPr>
          <w:bCs/>
        </w:rPr>
        <w:t>individual’s productivity</w:t>
      </w:r>
      <w:r w:rsidR="00AA1212">
        <w:rPr>
          <w:bCs/>
        </w:rPr>
        <w:t xml:space="preserve"> pattern is affected by the tier-level of the university the individual is initially hired by</w:t>
      </w:r>
      <w:r w:rsidR="00B359EE">
        <w:rPr>
          <w:bCs/>
        </w:rPr>
        <w:t>.</w:t>
      </w:r>
      <w:r w:rsidR="008F0538">
        <w:rPr>
          <w:bCs/>
        </w:rPr>
        <w:t xml:space="preserve"> </w:t>
      </w:r>
    </w:p>
    <w:p w14:paraId="53317730" w14:textId="4EAD442A" w:rsidR="005F6EC4" w:rsidRDefault="00E52A7A" w:rsidP="00B67F89">
      <w:pPr>
        <w:spacing w:line="408" w:lineRule="auto"/>
        <w:ind w:firstLine="720"/>
        <w:jc w:val="both"/>
        <w:rPr>
          <w:bCs/>
        </w:rPr>
      </w:pPr>
      <w:r>
        <w:rPr>
          <w:bCs/>
        </w:rPr>
        <w:t>K</w:t>
      </w:r>
      <w:r w:rsidR="009779CC">
        <w:rPr>
          <w:bCs/>
        </w:rPr>
        <w:t xml:space="preserve">eeping only authors </w:t>
      </w:r>
      <w:r>
        <w:rPr>
          <w:bCs/>
        </w:rPr>
        <w:t>affiliated with</w:t>
      </w:r>
      <w:r w:rsidR="009779CC">
        <w:rPr>
          <w:bCs/>
        </w:rPr>
        <w:t xml:space="preserve"> one of these two tiers of universities, o</w:t>
      </w:r>
      <w:r w:rsidR="005F6EC4">
        <w:rPr>
          <w:bCs/>
        </w:rPr>
        <w:t xml:space="preserve">ur sample consists of </w:t>
      </w:r>
      <w:r w:rsidR="008F22C1">
        <w:rPr>
          <w:bCs/>
        </w:rPr>
        <w:t>a</w:t>
      </w:r>
      <w:r w:rsidR="0084384A">
        <w:rPr>
          <w:bCs/>
        </w:rPr>
        <w:t xml:space="preserve"> balanced panel </w:t>
      </w:r>
      <w:proofErr w:type="spellStart"/>
      <w:r w:rsidR="008F22C1">
        <w:rPr>
          <w:bCs/>
        </w:rPr>
        <w:t>panel</w:t>
      </w:r>
      <w:proofErr w:type="spellEnd"/>
      <w:r w:rsidR="008F22C1">
        <w:rPr>
          <w:bCs/>
        </w:rPr>
        <w:t xml:space="preserve"> of </w:t>
      </w:r>
      <w:r w:rsidR="005F6EC4">
        <w:rPr>
          <w:bCs/>
        </w:rPr>
        <w:t>15</w:t>
      </w:r>
      <w:r w:rsidR="004A203B">
        <w:rPr>
          <w:bCs/>
        </w:rPr>
        <w:t>72</w:t>
      </w:r>
      <w:r w:rsidR="005F6EC4">
        <w:rPr>
          <w:bCs/>
        </w:rPr>
        <w:t xml:space="preserve"> authors </w:t>
      </w:r>
      <w:r w:rsidR="008F22C1">
        <w:rPr>
          <w:bCs/>
        </w:rPr>
        <w:t xml:space="preserve">whom </w:t>
      </w:r>
      <w:r w:rsidR="005F6EC4">
        <w:rPr>
          <w:bCs/>
        </w:rPr>
        <w:t>we follow over 10 years</w:t>
      </w:r>
      <w:r w:rsidR="00C540FE">
        <w:rPr>
          <w:bCs/>
        </w:rPr>
        <w:t xml:space="preserve"> (hence</w:t>
      </w:r>
      <w:r w:rsidR="004A44BD">
        <w:rPr>
          <w:bCs/>
        </w:rPr>
        <w:t>forth</w:t>
      </w:r>
      <w:r w:rsidR="00C540FE">
        <w:rPr>
          <w:bCs/>
        </w:rPr>
        <w:t xml:space="preserve">, </w:t>
      </w:r>
      <w:r w:rsidR="00327392">
        <w:rPr>
          <w:bCs/>
        </w:rPr>
        <w:t xml:space="preserve">Sample </w:t>
      </w:r>
      <w:r w:rsidR="002120EA">
        <w:rPr>
          <w:bCs/>
        </w:rPr>
        <w:t>1</w:t>
      </w:r>
      <w:r w:rsidR="00C540FE">
        <w:rPr>
          <w:bCs/>
        </w:rPr>
        <w:t>)</w:t>
      </w:r>
      <w:r w:rsidR="005F6EC4">
        <w:rPr>
          <w:bCs/>
        </w:rPr>
        <w:t xml:space="preserve">, and </w:t>
      </w:r>
      <w:r w:rsidR="005F6EC4">
        <w:rPr>
          <w:bCs/>
        </w:rPr>
        <w:lastRenderedPageBreak/>
        <w:t>a</w:t>
      </w:r>
      <w:r w:rsidR="0084384A">
        <w:rPr>
          <w:bCs/>
        </w:rPr>
        <w:t xml:space="preserve"> balanced </w:t>
      </w:r>
      <w:r w:rsidR="008F22C1">
        <w:rPr>
          <w:bCs/>
        </w:rPr>
        <w:t>panel</w:t>
      </w:r>
      <w:r w:rsidR="005F6EC4">
        <w:rPr>
          <w:bCs/>
        </w:rPr>
        <w:t xml:space="preserve"> of </w:t>
      </w:r>
      <w:r w:rsidR="004A203B">
        <w:rPr>
          <w:bCs/>
        </w:rPr>
        <w:t>854</w:t>
      </w:r>
      <w:r w:rsidR="005F6EC4">
        <w:rPr>
          <w:bCs/>
        </w:rPr>
        <w:t xml:space="preserve"> authors that we </w:t>
      </w:r>
      <w:r w:rsidR="008F0538">
        <w:rPr>
          <w:bCs/>
        </w:rPr>
        <w:t xml:space="preserve">are able to </w:t>
      </w:r>
      <w:r w:rsidR="005F6EC4">
        <w:rPr>
          <w:bCs/>
        </w:rPr>
        <w:t>follow over 20 years</w:t>
      </w:r>
      <w:r w:rsidR="00C540FE">
        <w:rPr>
          <w:bCs/>
        </w:rPr>
        <w:t xml:space="preserve"> (</w:t>
      </w:r>
      <w:r w:rsidR="002120EA">
        <w:rPr>
          <w:bCs/>
        </w:rPr>
        <w:t>hence</w:t>
      </w:r>
      <w:r w:rsidR="004A44BD">
        <w:rPr>
          <w:bCs/>
        </w:rPr>
        <w:t>forth</w:t>
      </w:r>
      <w:r w:rsidR="002120EA">
        <w:rPr>
          <w:bCs/>
        </w:rPr>
        <w:t xml:space="preserve">, </w:t>
      </w:r>
      <w:r w:rsidR="00327392">
        <w:rPr>
          <w:bCs/>
        </w:rPr>
        <w:t xml:space="preserve">Sample </w:t>
      </w:r>
      <w:r w:rsidR="002120EA">
        <w:rPr>
          <w:bCs/>
        </w:rPr>
        <w:t>2</w:t>
      </w:r>
      <w:r w:rsidR="00C540FE">
        <w:rPr>
          <w:bCs/>
        </w:rPr>
        <w:t>)</w:t>
      </w:r>
      <w:r w:rsidR="005F6EC4">
        <w:rPr>
          <w:bCs/>
        </w:rPr>
        <w:t>.</w:t>
      </w:r>
      <w:r w:rsidR="00B9743E">
        <w:rPr>
          <w:rStyle w:val="FootnoteReference"/>
          <w:bCs/>
        </w:rPr>
        <w:footnoteReference w:id="9"/>
      </w:r>
      <w:r w:rsidR="008F22C1">
        <w:rPr>
          <w:bCs/>
        </w:rPr>
        <w:t xml:space="preserve"> Accumulated productivity of an author is measured by the number of A publications (18 journals, listed in Step 3 of the appendix</w:t>
      </w:r>
      <w:r w:rsidR="008F22C1">
        <w:rPr>
          <w:rStyle w:val="FootnoteReference"/>
          <w:bCs/>
        </w:rPr>
        <w:footnoteReference w:id="10"/>
      </w:r>
      <w:r w:rsidR="008F22C1">
        <w:rPr>
          <w:bCs/>
        </w:rPr>
        <w:t>)</w:t>
      </w:r>
      <w:r w:rsidR="00C540FE">
        <w:rPr>
          <w:bCs/>
        </w:rPr>
        <w:t>.</w:t>
      </w:r>
      <w:r w:rsidR="008F22C1">
        <w:rPr>
          <w:bCs/>
        </w:rPr>
        <w:t xml:space="preserve"> </w:t>
      </w:r>
      <w:r w:rsidR="00385D22">
        <w:rPr>
          <w:bCs/>
        </w:rPr>
        <w:t xml:space="preserve">The </w:t>
      </w:r>
      <w:r w:rsidR="0015505B">
        <w:rPr>
          <w:bCs/>
        </w:rPr>
        <w:t xml:space="preserve">number of A publications </w:t>
      </w:r>
      <w:r w:rsidR="00385D22">
        <w:rPr>
          <w:bCs/>
        </w:rPr>
        <w:t xml:space="preserve">provides </w:t>
      </w:r>
      <w:r w:rsidR="00BE2FFB">
        <w:rPr>
          <w:bCs/>
        </w:rPr>
        <w:t xml:space="preserve">is arguably the most </w:t>
      </w:r>
      <w:r w:rsidR="008621F6">
        <w:rPr>
          <w:bCs/>
        </w:rPr>
        <w:t xml:space="preserve">objective </w:t>
      </w:r>
      <w:r w:rsidR="0015505B">
        <w:rPr>
          <w:bCs/>
        </w:rPr>
        <w:t>producti</w:t>
      </w:r>
      <w:r w:rsidR="008621F6">
        <w:rPr>
          <w:bCs/>
        </w:rPr>
        <w:t xml:space="preserve">vity measure for </w:t>
      </w:r>
      <w:r w:rsidR="00385D22">
        <w:rPr>
          <w:bCs/>
        </w:rPr>
        <w:t xml:space="preserve">quality </w:t>
      </w:r>
      <w:r w:rsidR="008621F6">
        <w:rPr>
          <w:bCs/>
        </w:rPr>
        <w:t>research</w:t>
      </w:r>
      <w:r w:rsidR="00385D22">
        <w:rPr>
          <w:bCs/>
        </w:rPr>
        <w:t>,</w:t>
      </w:r>
      <w:r w:rsidR="008621F6">
        <w:rPr>
          <w:bCs/>
        </w:rPr>
        <w:t xml:space="preserve"> </w:t>
      </w:r>
      <w:r w:rsidR="00C540FE">
        <w:rPr>
          <w:bCs/>
        </w:rPr>
        <w:t xml:space="preserve">as it </w:t>
      </w:r>
      <w:r w:rsidR="0015505B">
        <w:rPr>
          <w:bCs/>
        </w:rPr>
        <w:t xml:space="preserve">is usually considered the most important </w:t>
      </w:r>
      <w:r w:rsidR="00385D22">
        <w:rPr>
          <w:bCs/>
        </w:rPr>
        <w:t xml:space="preserve">productivity </w:t>
      </w:r>
      <w:r w:rsidR="0015505B">
        <w:rPr>
          <w:bCs/>
        </w:rPr>
        <w:t xml:space="preserve">measure </w:t>
      </w:r>
      <w:r w:rsidR="00385D22">
        <w:rPr>
          <w:bCs/>
        </w:rPr>
        <w:t>in</w:t>
      </w:r>
      <w:r w:rsidR="0015505B">
        <w:rPr>
          <w:bCs/>
        </w:rPr>
        <w:t xml:space="preserve"> tenure decision</w:t>
      </w:r>
      <w:r w:rsidR="00C540FE">
        <w:rPr>
          <w:bCs/>
        </w:rPr>
        <w:t>s</w:t>
      </w:r>
      <w:r w:rsidR="0015505B">
        <w:rPr>
          <w:bCs/>
        </w:rPr>
        <w:t xml:space="preserve">, and because the importance of an A publication has </w:t>
      </w:r>
      <w:r w:rsidR="00385D22">
        <w:rPr>
          <w:bCs/>
        </w:rPr>
        <w:t xml:space="preserve">been </w:t>
      </w:r>
      <w:r w:rsidR="00327392">
        <w:rPr>
          <w:bCs/>
        </w:rPr>
        <w:t xml:space="preserve">rather </w:t>
      </w:r>
      <w:r w:rsidR="00385D22">
        <w:rPr>
          <w:bCs/>
        </w:rPr>
        <w:t>consistent</w:t>
      </w:r>
      <w:r w:rsidR="0015505B">
        <w:rPr>
          <w:bCs/>
        </w:rPr>
        <w:t xml:space="preserve"> over time</w:t>
      </w:r>
      <w:r w:rsidR="00BE2FFB">
        <w:rPr>
          <w:bCs/>
        </w:rPr>
        <w:t xml:space="preserve"> (Fox</w:t>
      </w:r>
      <w:r w:rsidR="0084384A">
        <w:rPr>
          <w:bCs/>
        </w:rPr>
        <w:t>,</w:t>
      </w:r>
      <w:r w:rsidR="00BE2FFB">
        <w:rPr>
          <w:bCs/>
        </w:rPr>
        <w:t xml:space="preserve"> 1983</w:t>
      </w:r>
      <w:r w:rsidR="00B67F89">
        <w:rPr>
          <w:bCs/>
        </w:rPr>
        <w:t>; Gomez-Mejia</w:t>
      </w:r>
      <w:r w:rsidR="00B67F89" w:rsidRPr="00B67F89">
        <w:rPr>
          <w:bCs/>
        </w:rPr>
        <w:t xml:space="preserve"> </w:t>
      </w:r>
      <w:r w:rsidR="00B67F89">
        <w:rPr>
          <w:bCs/>
        </w:rPr>
        <w:t>and</w:t>
      </w:r>
      <w:r w:rsidR="00B67F89" w:rsidRPr="00B67F89">
        <w:rPr>
          <w:bCs/>
        </w:rPr>
        <w:t xml:space="preserve"> </w:t>
      </w:r>
      <w:proofErr w:type="spellStart"/>
      <w:r w:rsidR="00B67F89" w:rsidRPr="00B67F89">
        <w:rPr>
          <w:bCs/>
        </w:rPr>
        <w:t>Balkin</w:t>
      </w:r>
      <w:proofErr w:type="spellEnd"/>
      <w:r w:rsidR="00B67F89">
        <w:rPr>
          <w:bCs/>
        </w:rPr>
        <w:t>, 1992</w:t>
      </w:r>
      <w:r w:rsidR="00BE2FFB">
        <w:rPr>
          <w:bCs/>
        </w:rPr>
        <w:t>)</w:t>
      </w:r>
      <w:r w:rsidR="0015505B">
        <w:rPr>
          <w:bCs/>
        </w:rPr>
        <w:t>. Other measures</w:t>
      </w:r>
      <w:r w:rsidR="00385D22">
        <w:rPr>
          <w:bCs/>
        </w:rPr>
        <w:t>,</w:t>
      </w:r>
      <w:r w:rsidR="0015505B">
        <w:rPr>
          <w:bCs/>
        </w:rPr>
        <w:t xml:space="preserve"> such as impact factor (of the journal) or citation count of an article</w:t>
      </w:r>
      <w:r w:rsidR="00385D22">
        <w:rPr>
          <w:bCs/>
        </w:rPr>
        <w:t>,</w:t>
      </w:r>
      <w:r w:rsidR="0015505B">
        <w:rPr>
          <w:bCs/>
        </w:rPr>
        <w:t xml:space="preserve"> </w:t>
      </w:r>
      <w:r w:rsidR="00385D22">
        <w:rPr>
          <w:bCs/>
        </w:rPr>
        <w:t>are noisier</w:t>
      </w:r>
      <w:r w:rsidR="0015505B">
        <w:rPr>
          <w:bCs/>
        </w:rPr>
        <w:t xml:space="preserve"> </w:t>
      </w:r>
      <w:r w:rsidR="00385D22">
        <w:rPr>
          <w:bCs/>
        </w:rPr>
        <w:t xml:space="preserve">and </w:t>
      </w:r>
      <w:r w:rsidR="00555A86">
        <w:rPr>
          <w:bCs/>
        </w:rPr>
        <w:t>hard to compare by</w:t>
      </w:r>
      <w:r w:rsidR="00385D22">
        <w:rPr>
          <w:bCs/>
        </w:rPr>
        <w:t xml:space="preserve"> </w:t>
      </w:r>
      <w:r w:rsidR="0015505B">
        <w:rPr>
          <w:bCs/>
        </w:rPr>
        <w:t xml:space="preserve">because they have greatly changed over time and across </w:t>
      </w:r>
      <w:r w:rsidR="008621F6">
        <w:rPr>
          <w:bCs/>
        </w:rPr>
        <w:t xml:space="preserve">finance </w:t>
      </w:r>
      <w:r w:rsidR="0015505B">
        <w:rPr>
          <w:bCs/>
        </w:rPr>
        <w:t>disciplines</w:t>
      </w:r>
      <w:r w:rsidR="00555A86">
        <w:rPr>
          <w:bCs/>
        </w:rPr>
        <w:t>.</w:t>
      </w:r>
      <w:r w:rsidR="0015505B">
        <w:rPr>
          <w:bCs/>
        </w:rPr>
        <w:t xml:space="preserve"> </w:t>
      </w:r>
    </w:p>
    <w:p w14:paraId="2F795D4C" w14:textId="51A513EF" w:rsidR="001C25BA" w:rsidRDefault="001C25BA" w:rsidP="001C25BA">
      <w:pPr>
        <w:spacing w:line="408" w:lineRule="auto"/>
        <w:ind w:firstLine="720"/>
        <w:jc w:val="both"/>
        <w:rPr>
          <w:bCs/>
        </w:rPr>
      </w:pPr>
    </w:p>
    <w:p w14:paraId="44FA9F73" w14:textId="1E83EC26" w:rsidR="0015505B" w:rsidRDefault="0067518C" w:rsidP="00E03256">
      <w:pPr>
        <w:spacing w:line="408" w:lineRule="auto"/>
        <w:ind w:firstLine="720"/>
        <w:jc w:val="both"/>
        <w:rPr>
          <w:b/>
        </w:rPr>
      </w:pPr>
      <w:r>
        <w:rPr>
          <w:b/>
        </w:rPr>
        <w:t>3</w:t>
      </w:r>
      <w:r w:rsidR="0015505B" w:rsidRPr="0015505B">
        <w:rPr>
          <w:b/>
        </w:rPr>
        <w:t xml:space="preserve">. </w:t>
      </w:r>
      <w:r w:rsidR="00E03256">
        <w:rPr>
          <w:b/>
        </w:rPr>
        <w:t>Analysis of authors' initial affiliation and research productivity</w:t>
      </w:r>
    </w:p>
    <w:p w14:paraId="2DE98981" w14:textId="04AAC60D" w:rsidR="0067518C" w:rsidRPr="0015505B" w:rsidRDefault="0067518C" w:rsidP="001C25BA">
      <w:pPr>
        <w:spacing w:line="408" w:lineRule="auto"/>
        <w:ind w:firstLine="720"/>
        <w:jc w:val="both"/>
        <w:rPr>
          <w:b/>
        </w:rPr>
      </w:pPr>
      <w:r>
        <w:rPr>
          <w:b/>
        </w:rPr>
        <w:t>3.1 Affiliation of authors over tenure</w:t>
      </w:r>
    </w:p>
    <w:p w14:paraId="255B5660" w14:textId="2C73C200" w:rsidR="0015505B" w:rsidRDefault="002B6573" w:rsidP="00EE194C">
      <w:pPr>
        <w:spacing w:line="408" w:lineRule="auto"/>
        <w:ind w:firstLine="720"/>
        <w:jc w:val="both"/>
        <w:rPr>
          <w:bCs/>
          <w:lang w:bidi="he-IL"/>
        </w:rPr>
      </w:pPr>
      <w:r>
        <w:rPr>
          <w:bCs/>
        </w:rPr>
        <w:t xml:space="preserve">We </w:t>
      </w:r>
      <w:r w:rsidR="00EE511A">
        <w:rPr>
          <w:bCs/>
        </w:rPr>
        <w:t>first</w:t>
      </w:r>
      <w:r w:rsidR="002120EA">
        <w:rPr>
          <w:bCs/>
          <w:lang w:bidi="he-IL"/>
        </w:rPr>
        <w:t xml:space="preserve"> provid</w:t>
      </w:r>
      <w:r w:rsidR="00EE511A">
        <w:rPr>
          <w:bCs/>
          <w:lang w:bidi="he-IL"/>
        </w:rPr>
        <w:t>e</w:t>
      </w:r>
      <w:r w:rsidR="002120EA">
        <w:rPr>
          <w:bCs/>
          <w:lang w:bidi="he-IL"/>
        </w:rPr>
        <w:t xml:space="preserve"> information about authors</w:t>
      </w:r>
      <w:r w:rsidR="00C56DC6">
        <w:rPr>
          <w:bCs/>
          <w:lang w:bidi="he-IL"/>
        </w:rPr>
        <w:t>’</w:t>
      </w:r>
      <w:r w:rsidR="002120EA">
        <w:rPr>
          <w:bCs/>
          <w:lang w:bidi="he-IL"/>
        </w:rPr>
        <w:t xml:space="preserve"> affiliation over time</w:t>
      </w:r>
      <w:r w:rsidR="00EE194C">
        <w:rPr>
          <w:bCs/>
          <w:lang w:bidi="he-IL"/>
        </w:rPr>
        <w:t>, which is provided in Table 1</w:t>
      </w:r>
      <w:r w:rsidR="002120EA">
        <w:rPr>
          <w:bCs/>
          <w:lang w:bidi="he-IL"/>
        </w:rPr>
        <w:t xml:space="preserve">. We start with </w:t>
      </w:r>
      <w:r w:rsidR="0077719C">
        <w:rPr>
          <w:bCs/>
          <w:lang w:bidi="he-IL"/>
        </w:rPr>
        <w:t xml:space="preserve">Sample </w:t>
      </w:r>
      <w:r w:rsidR="002120EA">
        <w:rPr>
          <w:bCs/>
          <w:lang w:bidi="he-IL"/>
        </w:rPr>
        <w:t xml:space="preserve">1. The sample includes 921 authors whose first affiliation is a </w:t>
      </w:r>
      <w:r w:rsidR="00EF1F42">
        <w:rPr>
          <w:bCs/>
          <w:lang w:bidi="he-IL"/>
        </w:rPr>
        <w:t>top-tier</w:t>
      </w:r>
      <w:r w:rsidR="00C56DC6">
        <w:rPr>
          <w:bCs/>
          <w:lang w:bidi="he-IL"/>
        </w:rPr>
        <w:t xml:space="preserve"> university</w:t>
      </w:r>
      <w:r w:rsidR="002120EA">
        <w:rPr>
          <w:bCs/>
          <w:lang w:bidi="he-IL"/>
        </w:rPr>
        <w:t xml:space="preserve">, and 651 authors whose first affiliation is a </w:t>
      </w:r>
      <w:r w:rsidR="00EF1F42">
        <w:rPr>
          <w:bCs/>
          <w:lang w:bidi="he-IL"/>
        </w:rPr>
        <w:t>second-tier</w:t>
      </w:r>
      <w:r w:rsidR="002120EA">
        <w:rPr>
          <w:bCs/>
          <w:lang w:bidi="he-IL"/>
        </w:rPr>
        <w:t xml:space="preserve"> university.</w:t>
      </w:r>
      <w:r w:rsidR="008A2533">
        <w:rPr>
          <w:bCs/>
          <w:lang w:bidi="he-IL"/>
        </w:rPr>
        <w:t xml:space="preserve"> The most important takeaway from </w:t>
      </w:r>
      <w:r w:rsidR="007C3F6D">
        <w:rPr>
          <w:bCs/>
          <w:lang w:bidi="he-IL"/>
        </w:rPr>
        <w:t>S</w:t>
      </w:r>
      <w:r w:rsidR="004434D7">
        <w:rPr>
          <w:bCs/>
          <w:lang w:bidi="he-IL"/>
        </w:rPr>
        <w:t xml:space="preserve">ample 1 </w:t>
      </w:r>
      <w:r w:rsidR="00C56DC6">
        <w:rPr>
          <w:bCs/>
          <w:lang w:bidi="he-IL"/>
        </w:rPr>
        <w:t xml:space="preserve">in </w:t>
      </w:r>
      <w:r w:rsidR="004434D7">
        <w:rPr>
          <w:bCs/>
          <w:lang w:bidi="he-IL"/>
        </w:rPr>
        <w:t>T</w:t>
      </w:r>
      <w:r w:rsidR="008A2533">
        <w:rPr>
          <w:bCs/>
          <w:lang w:bidi="he-IL"/>
        </w:rPr>
        <w:t xml:space="preserve">able </w:t>
      </w:r>
      <w:r w:rsidR="004434D7">
        <w:rPr>
          <w:bCs/>
          <w:lang w:bidi="he-IL"/>
        </w:rPr>
        <w:t xml:space="preserve">1 </w:t>
      </w:r>
      <w:r w:rsidR="008A2533">
        <w:rPr>
          <w:bCs/>
          <w:lang w:bidi="he-IL"/>
        </w:rPr>
        <w:t xml:space="preserve">is that </w:t>
      </w:r>
      <w:r w:rsidR="00C56DC6">
        <w:rPr>
          <w:bCs/>
          <w:lang w:bidi="he-IL"/>
        </w:rPr>
        <w:t xml:space="preserve">the </w:t>
      </w:r>
      <w:r w:rsidR="008A2533">
        <w:rPr>
          <w:bCs/>
          <w:lang w:bidi="he-IL"/>
        </w:rPr>
        <w:t xml:space="preserve">authors’ affiliation is sticky. For example, 88.4% of </w:t>
      </w:r>
      <w:r w:rsidR="00C56DC6">
        <w:rPr>
          <w:bCs/>
          <w:lang w:bidi="he-IL"/>
        </w:rPr>
        <w:t xml:space="preserve">the </w:t>
      </w:r>
      <w:r w:rsidR="008A2533">
        <w:rPr>
          <w:bCs/>
          <w:lang w:bidi="he-IL"/>
        </w:rPr>
        <w:t>authors</w:t>
      </w:r>
      <w:r w:rsidR="00C56DC6">
        <w:rPr>
          <w:bCs/>
          <w:lang w:bidi="he-IL"/>
        </w:rPr>
        <w:t>,</w:t>
      </w:r>
      <w:r w:rsidR="008A2533">
        <w:rPr>
          <w:bCs/>
          <w:lang w:bidi="he-IL"/>
        </w:rPr>
        <w:t xml:space="preserve"> whose first affiliation is </w:t>
      </w:r>
      <w:r w:rsidR="00EF1F42">
        <w:rPr>
          <w:bCs/>
          <w:lang w:bidi="he-IL"/>
        </w:rPr>
        <w:t>in top-tier university</w:t>
      </w:r>
      <w:r w:rsidR="008A2533">
        <w:rPr>
          <w:bCs/>
          <w:lang w:bidi="he-IL"/>
        </w:rPr>
        <w:t xml:space="preserve">, </w:t>
      </w:r>
      <w:r w:rsidR="00C56DC6">
        <w:rPr>
          <w:bCs/>
          <w:lang w:bidi="he-IL"/>
        </w:rPr>
        <w:t>continue to be</w:t>
      </w:r>
      <w:r w:rsidR="008A2533">
        <w:rPr>
          <w:bCs/>
          <w:lang w:bidi="he-IL"/>
        </w:rPr>
        <w:t xml:space="preserve"> affiliated with a </w:t>
      </w:r>
      <w:r w:rsidR="00C56DC6">
        <w:rPr>
          <w:bCs/>
          <w:lang w:bidi="he-IL"/>
        </w:rPr>
        <w:t xml:space="preserve">top-tier </w:t>
      </w:r>
      <w:r w:rsidR="008A2533">
        <w:rPr>
          <w:bCs/>
          <w:lang w:bidi="he-IL"/>
        </w:rPr>
        <w:t xml:space="preserve">university </w:t>
      </w:r>
      <w:r w:rsidR="00C56DC6">
        <w:rPr>
          <w:bCs/>
          <w:lang w:bidi="he-IL"/>
        </w:rPr>
        <w:t xml:space="preserve">in the following </w:t>
      </w:r>
      <w:r w:rsidR="0077719C">
        <w:rPr>
          <w:bCs/>
          <w:lang w:bidi="he-IL"/>
        </w:rPr>
        <w:t xml:space="preserve">five </w:t>
      </w:r>
      <w:r w:rsidR="008A2533">
        <w:rPr>
          <w:bCs/>
          <w:lang w:bidi="he-IL"/>
        </w:rPr>
        <w:t>years</w:t>
      </w:r>
      <w:r w:rsidR="00804A11">
        <w:rPr>
          <w:bCs/>
          <w:lang w:bidi="he-IL"/>
        </w:rPr>
        <w:t>;</w:t>
      </w:r>
      <w:r w:rsidR="008A2533">
        <w:rPr>
          <w:bCs/>
          <w:lang w:bidi="he-IL"/>
        </w:rPr>
        <w:t xml:space="preserve"> and 89.2% of </w:t>
      </w:r>
      <w:r w:rsidR="002C46C1">
        <w:rPr>
          <w:bCs/>
          <w:lang w:bidi="he-IL"/>
        </w:rPr>
        <w:t xml:space="preserve">the </w:t>
      </w:r>
      <w:r w:rsidR="008A2533">
        <w:rPr>
          <w:bCs/>
          <w:lang w:bidi="he-IL"/>
        </w:rPr>
        <w:t xml:space="preserve">authors whose first affiliation is in a </w:t>
      </w:r>
      <w:r w:rsidR="00EF1F42">
        <w:rPr>
          <w:bCs/>
          <w:lang w:bidi="he-IL"/>
        </w:rPr>
        <w:t>second-tier</w:t>
      </w:r>
      <w:r w:rsidR="008A2533">
        <w:rPr>
          <w:bCs/>
          <w:lang w:bidi="he-IL"/>
        </w:rPr>
        <w:t xml:space="preserve"> university, </w:t>
      </w:r>
      <w:r w:rsidR="00C56DC6">
        <w:rPr>
          <w:bCs/>
          <w:lang w:bidi="he-IL"/>
        </w:rPr>
        <w:t>continue to be</w:t>
      </w:r>
      <w:r w:rsidR="008A2533">
        <w:rPr>
          <w:bCs/>
          <w:lang w:bidi="he-IL"/>
        </w:rPr>
        <w:t xml:space="preserve"> affiliated with a university that is </w:t>
      </w:r>
      <w:r w:rsidR="00EF1F42">
        <w:rPr>
          <w:bCs/>
          <w:lang w:bidi="he-IL"/>
        </w:rPr>
        <w:t>second-tier</w:t>
      </w:r>
      <w:r w:rsidR="008A2533">
        <w:rPr>
          <w:bCs/>
          <w:lang w:bidi="he-IL"/>
        </w:rPr>
        <w:t xml:space="preserve"> </w:t>
      </w:r>
      <w:r w:rsidR="00C56DC6">
        <w:rPr>
          <w:bCs/>
          <w:lang w:bidi="he-IL"/>
        </w:rPr>
        <w:t xml:space="preserve">in the </w:t>
      </w:r>
      <w:r w:rsidR="0077719C">
        <w:rPr>
          <w:bCs/>
          <w:lang w:bidi="he-IL"/>
        </w:rPr>
        <w:t xml:space="preserve">fifth </w:t>
      </w:r>
      <w:r w:rsidR="008A2533">
        <w:rPr>
          <w:bCs/>
          <w:lang w:bidi="he-IL"/>
        </w:rPr>
        <w:t>year</w:t>
      </w:r>
      <w:r w:rsidR="00C56DC6">
        <w:rPr>
          <w:bCs/>
          <w:lang w:bidi="he-IL"/>
        </w:rPr>
        <w:t xml:space="preserve"> following their initial publication. </w:t>
      </w:r>
      <w:r w:rsidR="00804A11">
        <w:rPr>
          <w:bCs/>
          <w:lang w:bidi="he-IL"/>
        </w:rPr>
        <w:t xml:space="preserve">The percentage of authors who move </w:t>
      </w:r>
      <w:r w:rsidR="00C56DC6">
        <w:rPr>
          <w:bCs/>
          <w:lang w:bidi="he-IL"/>
        </w:rPr>
        <w:t>across</w:t>
      </w:r>
      <w:r w:rsidR="00804A11">
        <w:rPr>
          <w:bCs/>
          <w:lang w:bidi="he-IL"/>
        </w:rPr>
        <w:t xml:space="preserve"> </w:t>
      </w:r>
      <w:r w:rsidR="00C56DC6">
        <w:rPr>
          <w:bCs/>
          <w:lang w:bidi="he-IL"/>
        </w:rPr>
        <w:t xml:space="preserve">affiliation </w:t>
      </w:r>
      <w:r w:rsidR="00AD01EA">
        <w:rPr>
          <w:bCs/>
          <w:lang w:bidi="he-IL"/>
        </w:rPr>
        <w:t>tier</w:t>
      </w:r>
      <w:r w:rsidR="00EE194C">
        <w:rPr>
          <w:bCs/>
          <w:lang w:bidi="he-IL"/>
        </w:rPr>
        <w:t>-</w:t>
      </w:r>
      <w:r w:rsidR="00AD01EA">
        <w:rPr>
          <w:bCs/>
          <w:lang w:bidi="he-IL"/>
        </w:rPr>
        <w:t>level</w:t>
      </w:r>
      <w:r w:rsidR="00C56DC6">
        <w:rPr>
          <w:bCs/>
          <w:lang w:bidi="he-IL"/>
        </w:rPr>
        <w:t>s</w:t>
      </w:r>
      <w:r w:rsidR="00AD01EA">
        <w:rPr>
          <w:bCs/>
          <w:lang w:bidi="he-IL"/>
        </w:rPr>
        <w:t xml:space="preserve"> </w:t>
      </w:r>
      <w:r w:rsidR="00804A11">
        <w:rPr>
          <w:bCs/>
          <w:lang w:bidi="he-IL"/>
        </w:rPr>
        <w:t xml:space="preserve">seems rather small, </w:t>
      </w:r>
      <w:r w:rsidR="004434D7">
        <w:rPr>
          <w:bCs/>
          <w:lang w:bidi="he-IL"/>
        </w:rPr>
        <w:t xml:space="preserve">about </w:t>
      </w:r>
      <w:r w:rsidR="00804A11">
        <w:rPr>
          <w:bCs/>
          <w:lang w:bidi="he-IL"/>
        </w:rPr>
        <w:t>10%</w:t>
      </w:r>
      <w:r w:rsidR="004434D7">
        <w:rPr>
          <w:bCs/>
          <w:lang w:bidi="he-IL"/>
        </w:rPr>
        <w:t xml:space="preserve"> of </w:t>
      </w:r>
      <w:r w:rsidR="00C56DC6">
        <w:rPr>
          <w:bCs/>
          <w:lang w:bidi="he-IL"/>
        </w:rPr>
        <w:t xml:space="preserve">the </w:t>
      </w:r>
      <w:r w:rsidR="004434D7">
        <w:rPr>
          <w:bCs/>
          <w:lang w:bidi="he-IL"/>
        </w:rPr>
        <w:t>authors in both groups</w:t>
      </w:r>
      <w:r w:rsidR="00804A11">
        <w:rPr>
          <w:bCs/>
          <w:lang w:bidi="he-IL"/>
        </w:rPr>
        <w:t xml:space="preserve">. We can also analyze the probability that authors </w:t>
      </w:r>
      <w:r w:rsidR="004434D7">
        <w:rPr>
          <w:bCs/>
          <w:lang w:bidi="he-IL"/>
        </w:rPr>
        <w:t xml:space="preserve">in the sample </w:t>
      </w:r>
      <w:r w:rsidR="002C46C1">
        <w:rPr>
          <w:bCs/>
          <w:lang w:bidi="he-IL"/>
        </w:rPr>
        <w:t xml:space="preserve">have </w:t>
      </w:r>
      <w:r w:rsidR="00804A11">
        <w:rPr>
          <w:bCs/>
          <w:lang w:bidi="he-IL"/>
        </w:rPr>
        <w:t>stop</w:t>
      </w:r>
      <w:r w:rsidR="004434D7">
        <w:rPr>
          <w:bCs/>
          <w:lang w:bidi="he-IL"/>
        </w:rPr>
        <w:t>ped producing research within 5 years</w:t>
      </w:r>
      <w:r w:rsidR="00804A11">
        <w:rPr>
          <w:bCs/>
          <w:lang w:bidi="he-IL"/>
        </w:rPr>
        <w:t xml:space="preserve"> </w:t>
      </w:r>
      <w:r w:rsidR="00C56DC6">
        <w:rPr>
          <w:bCs/>
          <w:lang w:bidi="he-IL"/>
        </w:rPr>
        <w:t>of their initial publication</w:t>
      </w:r>
      <w:r w:rsidR="00804A11">
        <w:rPr>
          <w:bCs/>
          <w:lang w:bidi="he-IL"/>
        </w:rPr>
        <w:t xml:space="preserve">. </w:t>
      </w:r>
      <w:r w:rsidR="004434D7">
        <w:rPr>
          <w:bCs/>
          <w:lang w:bidi="he-IL"/>
        </w:rPr>
        <w:t>7</w:t>
      </w:r>
      <w:r w:rsidR="008A2533">
        <w:rPr>
          <w:bCs/>
          <w:lang w:bidi="he-IL"/>
        </w:rPr>
        <w:t xml:space="preserve">.2% </w:t>
      </w:r>
      <w:r w:rsidR="004434D7">
        <w:rPr>
          <w:bCs/>
          <w:lang w:bidi="he-IL"/>
        </w:rPr>
        <w:t xml:space="preserve">of </w:t>
      </w:r>
      <w:r w:rsidR="00C56DC6">
        <w:rPr>
          <w:bCs/>
          <w:lang w:bidi="he-IL"/>
        </w:rPr>
        <w:t xml:space="preserve">the </w:t>
      </w:r>
      <w:r w:rsidR="004434D7">
        <w:rPr>
          <w:bCs/>
          <w:lang w:bidi="he-IL"/>
        </w:rPr>
        <w:t xml:space="preserve">authors </w:t>
      </w:r>
      <w:r w:rsidR="00804A11">
        <w:rPr>
          <w:bCs/>
          <w:lang w:bidi="he-IL"/>
        </w:rPr>
        <w:t xml:space="preserve">stop conducting research within </w:t>
      </w:r>
      <w:r w:rsidR="0077719C">
        <w:rPr>
          <w:bCs/>
          <w:lang w:bidi="he-IL"/>
        </w:rPr>
        <w:t xml:space="preserve">five </w:t>
      </w:r>
      <w:r w:rsidR="00804A11">
        <w:rPr>
          <w:bCs/>
          <w:lang w:bidi="he-IL"/>
        </w:rPr>
        <w:t>years</w:t>
      </w:r>
      <w:r w:rsidR="002C46C1">
        <w:rPr>
          <w:bCs/>
          <w:lang w:bidi="he-IL"/>
        </w:rPr>
        <w:t xml:space="preserve"> w</w:t>
      </w:r>
      <w:r w:rsidR="002C46C1" w:rsidRPr="002C46C1">
        <w:rPr>
          <w:bCs/>
          <w:lang w:bidi="he-IL"/>
        </w:rPr>
        <w:t>hen the first affiliation is top-tier,</w:t>
      </w:r>
      <w:r w:rsidR="002C46C1">
        <w:rPr>
          <w:bCs/>
          <w:lang w:bidi="he-IL"/>
        </w:rPr>
        <w:t xml:space="preserve"> while</w:t>
      </w:r>
      <w:r w:rsidR="00804A11">
        <w:rPr>
          <w:bCs/>
          <w:lang w:bidi="he-IL"/>
        </w:rPr>
        <w:t xml:space="preserve"> </w:t>
      </w:r>
      <w:r w:rsidR="002C46C1">
        <w:rPr>
          <w:bCs/>
          <w:lang w:bidi="he-IL"/>
        </w:rPr>
        <w:t>the figure</w:t>
      </w:r>
      <w:r w:rsidR="004434D7">
        <w:rPr>
          <w:bCs/>
          <w:lang w:bidi="he-IL"/>
        </w:rPr>
        <w:t xml:space="preserve"> is </w:t>
      </w:r>
      <w:r w:rsidR="00804A11">
        <w:rPr>
          <w:bCs/>
          <w:lang w:bidi="he-IL"/>
        </w:rPr>
        <w:t xml:space="preserve">12% </w:t>
      </w:r>
      <w:r w:rsidR="002C46C1">
        <w:rPr>
          <w:bCs/>
          <w:lang w:bidi="he-IL"/>
        </w:rPr>
        <w:t>when the</w:t>
      </w:r>
      <w:r w:rsidR="004434D7">
        <w:rPr>
          <w:bCs/>
          <w:lang w:bidi="he-IL"/>
        </w:rPr>
        <w:t xml:space="preserve"> first affiliation </w:t>
      </w:r>
      <w:r w:rsidR="008A2533">
        <w:rPr>
          <w:bCs/>
          <w:lang w:bidi="he-IL"/>
        </w:rPr>
        <w:t xml:space="preserve">is </w:t>
      </w:r>
      <w:r w:rsidR="00EF1F42">
        <w:rPr>
          <w:bCs/>
          <w:lang w:bidi="he-IL"/>
        </w:rPr>
        <w:t xml:space="preserve">second-tier. </w:t>
      </w:r>
    </w:p>
    <w:p w14:paraId="36FD34BA" w14:textId="4357E774" w:rsidR="00107179" w:rsidRDefault="00804A11" w:rsidP="009368F5">
      <w:pPr>
        <w:spacing w:line="408" w:lineRule="auto"/>
        <w:ind w:firstLine="720"/>
        <w:jc w:val="both"/>
        <w:rPr>
          <w:bCs/>
          <w:lang w:bidi="he-IL"/>
        </w:rPr>
      </w:pPr>
      <w:r>
        <w:rPr>
          <w:bCs/>
          <w:lang w:bidi="he-IL"/>
        </w:rPr>
        <w:lastRenderedPageBreak/>
        <w:t xml:space="preserve">One </w:t>
      </w:r>
      <w:r w:rsidR="00342516">
        <w:rPr>
          <w:bCs/>
          <w:lang w:bidi="he-IL"/>
        </w:rPr>
        <w:t xml:space="preserve">explanation </w:t>
      </w:r>
      <w:r>
        <w:rPr>
          <w:bCs/>
          <w:lang w:bidi="he-IL"/>
        </w:rPr>
        <w:t xml:space="preserve">for the relatively small change in </w:t>
      </w:r>
      <w:r w:rsidR="00B42006">
        <w:rPr>
          <w:bCs/>
          <w:lang w:bidi="he-IL"/>
        </w:rPr>
        <w:t xml:space="preserve">the </w:t>
      </w:r>
      <w:r>
        <w:rPr>
          <w:bCs/>
          <w:lang w:bidi="he-IL"/>
        </w:rPr>
        <w:t>placement</w:t>
      </w:r>
      <w:r w:rsidR="00B42006">
        <w:rPr>
          <w:bCs/>
          <w:lang w:bidi="he-IL"/>
        </w:rPr>
        <w:t xml:space="preserve"> of authors</w:t>
      </w:r>
      <w:r>
        <w:rPr>
          <w:bCs/>
          <w:lang w:bidi="he-IL"/>
        </w:rPr>
        <w:t xml:space="preserve"> </w:t>
      </w:r>
      <w:r w:rsidR="003E0608">
        <w:rPr>
          <w:bCs/>
          <w:lang w:bidi="he-IL"/>
        </w:rPr>
        <w:t xml:space="preserve">by </w:t>
      </w:r>
      <w:r w:rsidR="0077719C">
        <w:rPr>
          <w:bCs/>
          <w:lang w:bidi="he-IL"/>
        </w:rPr>
        <w:t>the</w:t>
      </w:r>
      <w:r w:rsidR="00342516">
        <w:rPr>
          <w:bCs/>
          <w:lang w:bidi="he-IL"/>
        </w:rPr>
        <w:t xml:space="preserve"> </w:t>
      </w:r>
      <w:r w:rsidR="00326729">
        <w:rPr>
          <w:bCs/>
          <w:lang w:bidi="he-IL"/>
        </w:rPr>
        <w:t>five-year</w:t>
      </w:r>
      <w:r w:rsidR="0077719C">
        <w:rPr>
          <w:bCs/>
          <w:lang w:bidi="he-IL"/>
        </w:rPr>
        <w:t xml:space="preserve"> mark</w:t>
      </w:r>
      <w:r>
        <w:rPr>
          <w:bCs/>
          <w:lang w:bidi="he-IL"/>
        </w:rPr>
        <w:t>, is the tenure clock</w:t>
      </w:r>
      <w:r w:rsidR="00342516">
        <w:rPr>
          <w:bCs/>
          <w:lang w:bidi="he-IL"/>
        </w:rPr>
        <w:t>,</w:t>
      </w:r>
      <w:r w:rsidR="0063341D">
        <w:rPr>
          <w:bCs/>
          <w:lang w:bidi="he-IL"/>
        </w:rPr>
        <w:t xml:space="preserve"> which</w:t>
      </w:r>
      <w:r>
        <w:rPr>
          <w:bCs/>
          <w:lang w:bidi="he-IL"/>
        </w:rPr>
        <w:t xml:space="preserve"> is commonly practiced in</w:t>
      </w:r>
      <w:r w:rsidR="0063341D">
        <w:rPr>
          <w:bCs/>
          <w:lang w:bidi="he-IL"/>
        </w:rPr>
        <w:t xml:space="preserve"> </w:t>
      </w:r>
      <w:r w:rsidR="00342516">
        <w:rPr>
          <w:bCs/>
          <w:lang w:bidi="he-IL"/>
        </w:rPr>
        <w:t xml:space="preserve">research </w:t>
      </w:r>
      <w:r>
        <w:rPr>
          <w:bCs/>
          <w:lang w:bidi="he-IL"/>
        </w:rPr>
        <w:t>universit</w:t>
      </w:r>
      <w:r w:rsidR="0063341D">
        <w:rPr>
          <w:bCs/>
          <w:lang w:bidi="he-IL"/>
        </w:rPr>
        <w:t>ies</w:t>
      </w:r>
      <w:r>
        <w:rPr>
          <w:bCs/>
          <w:lang w:bidi="he-IL"/>
        </w:rPr>
        <w:t xml:space="preserve">. The average tenure clock is 5-7 years in most </w:t>
      </w:r>
      <w:r w:rsidR="00AD01EA">
        <w:rPr>
          <w:bCs/>
          <w:lang w:bidi="he-IL"/>
        </w:rPr>
        <w:t>universities</w:t>
      </w:r>
      <w:r>
        <w:rPr>
          <w:bCs/>
          <w:lang w:bidi="he-IL"/>
        </w:rPr>
        <w:t>, and that could potentially lead</w:t>
      </w:r>
      <w:r w:rsidR="00B42006">
        <w:rPr>
          <w:bCs/>
          <w:lang w:bidi="he-IL"/>
        </w:rPr>
        <w:t>,</w:t>
      </w:r>
      <w:r>
        <w:rPr>
          <w:bCs/>
          <w:lang w:bidi="he-IL"/>
        </w:rPr>
        <w:t xml:space="preserve"> or force</w:t>
      </w:r>
      <w:r w:rsidR="00B42006">
        <w:rPr>
          <w:bCs/>
          <w:lang w:bidi="he-IL"/>
        </w:rPr>
        <w:t>,</w:t>
      </w:r>
      <w:r>
        <w:rPr>
          <w:bCs/>
          <w:lang w:bidi="he-IL"/>
        </w:rPr>
        <w:t xml:space="preserve"> authors to change </w:t>
      </w:r>
      <w:r w:rsidR="00B42006">
        <w:rPr>
          <w:bCs/>
          <w:lang w:bidi="he-IL"/>
        </w:rPr>
        <w:t xml:space="preserve">their affiliation </w:t>
      </w:r>
      <w:r>
        <w:rPr>
          <w:bCs/>
          <w:lang w:bidi="he-IL"/>
        </w:rPr>
        <w:t>after</w:t>
      </w:r>
      <w:r w:rsidR="00B42006">
        <w:rPr>
          <w:bCs/>
          <w:lang w:bidi="he-IL"/>
        </w:rPr>
        <w:t>,</w:t>
      </w:r>
      <w:r w:rsidR="0063341D">
        <w:rPr>
          <w:bCs/>
          <w:lang w:bidi="he-IL"/>
        </w:rPr>
        <w:t xml:space="preserve"> or just prior to</w:t>
      </w:r>
      <w:r w:rsidR="00B42006">
        <w:rPr>
          <w:bCs/>
          <w:lang w:bidi="he-IL"/>
        </w:rPr>
        <w:t>,</w:t>
      </w:r>
      <w:r w:rsidR="0063341D">
        <w:rPr>
          <w:bCs/>
          <w:lang w:bidi="he-IL"/>
        </w:rPr>
        <w:t xml:space="preserve"> the </w:t>
      </w:r>
      <w:r>
        <w:rPr>
          <w:bCs/>
          <w:lang w:bidi="he-IL"/>
        </w:rPr>
        <w:t xml:space="preserve">tenure decision. </w:t>
      </w:r>
      <w:r w:rsidR="00612B7E">
        <w:rPr>
          <w:bCs/>
          <w:lang w:bidi="he-IL"/>
        </w:rPr>
        <w:t>Note though</w:t>
      </w:r>
      <w:r w:rsidR="00E679BB">
        <w:rPr>
          <w:bCs/>
          <w:lang w:bidi="he-IL"/>
        </w:rPr>
        <w:t>,</w:t>
      </w:r>
      <w:r w:rsidR="00612B7E">
        <w:rPr>
          <w:bCs/>
          <w:lang w:bidi="he-IL"/>
        </w:rPr>
        <w:t xml:space="preserve"> that our </w:t>
      </w:r>
      <w:r w:rsidR="003E0608">
        <w:rPr>
          <w:bCs/>
          <w:lang w:bidi="he-IL"/>
        </w:rPr>
        <w:t xml:space="preserve">tenure </w:t>
      </w:r>
      <w:r w:rsidR="00612B7E">
        <w:rPr>
          <w:bCs/>
          <w:lang w:bidi="he-IL"/>
        </w:rPr>
        <w:t xml:space="preserve">measure starts at </w:t>
      </w:r>
      <w:r w:rsidR="003E0608">
        <w:rPr>
          <w:bCs/>
          <w:lang w:bidi="he-IL"/>
        </w:rPr>
        <w:t>f</w:t>
      </w:r>
      <w:r w:rsidR="00B42006">
        <w:rPr>
          <w:bCs/>
          <w:lang w:bidi="he-IL"/>
        </w:rPr>
        <w:t>irst publication</w:t>
      </w:r>
      <w:r>
        <w:rPr>
          <w:bCs/>
          <w:lang w:bidi="he-IL"/>
        </w:rPr>
        <w:t xml:space="preserve">, </w:t>
      </w:r>
      <w:r w:rsidR="00612B7E">
        <w:rPr>
          <w:bCs/>
          <w:lang w:bidi="he-IL"/>
        </w:rPr>
        <w:t xml:space="preserve">so </w:t>
      </w:r>
      <w:r w:rsidR="00DB6ED1">
        <w:rPr>
          <w:bCs/>
          <w:lang w:bidi="he-IL"/>
        </w:rPr>
        <w:t xml:space="preserve">its correlation with tenure decision timing is probably not high. </w:t>
      </w:r>
      <w:r w:rsidR="00263806">
        <w:rPr>
          <w:bCs/>
          <w:lang w:bidi="he-IL"/>
        </w:rPr>
        <w:t>Nevertheless, t</w:t>
      </w:r>
      <w:r w:rsidR="007C3F6D">
        <w:rPr>
          <w:bCs/>
          <w:lang w:bidi="he-IL"/>
        </w:rPr>
        <w:t>o ensure that tenure decisions are not a major reason for this apparent immobility</w:t>
      </w:r>
      <w:r>
        <w:rPr>
          <w:bCs/>
          <w:lang w:bidi="he-IL"/>
        </w:rPr>
        <w:t>, we also provide the distribution of affiliation</w:t>
      </w:r>
      <w:r w:rsidR="003E0608">
        <w:rPr>
          <w:bCs/>
          <w:lang w:bidi="he-IL"/>
        </w:rPr>
        <w:t>-tier changes by</w:t>
      </w:r>
      <w:r w:rsidR="00B42006">
        <w:rPr>
          <w:bCs/>
          <w:lang w:bidi="he-IL"/>
        </w:rPr>
        <w:t xml:space="preserve"> the </w:t>
      </w:r>
      <w:r w:rsidR="00DB6ED1">
        <w:rPr>
          <w:bCs/>
          <w:lang w:bidi="he-IL"/>
        </w:rPr>
        <w:t>10-year</w:t>
      </w:r>
      <w:r w:rsidR="00B42006">
        <w:rPr>
          <w:bCs/>
          <w:lang w:bidi="he-IL"/>
        </w:rPr>
        <w:t xml:space="preserve"> mark</w:t>
      </w:r>
      <w:r>
        <w:rPr>
          <w:bCs/>
          <w:lang w:bidi="he-IL"/>
        </w:rPr>
        <w:t>. After 10 years</w:t>
      </w:r>
      <w:r w:rsidR="0063341D">
        <w:rPr>
          <w:bCs/>
          <w:lang w:bidi="he-IL"/>
        </w:rPr>
        <w:t xml:space="preserve">, 78.7% (78.8%) of authors whose first affiliation </w:t>
      </w:r>
      <w:r w:rsidR="009368F5">
        <w:rPr>
          <w:bCs/>
          <w:lang w:bidi="he-IL"/>
        </w:rPr>
        <w:t>is</w:t>
      </w:r>
      <w:r w:rsidR="0063341D">
        <w:rPr>
          <w:bCs/>
          <w:lang w:bidi="he-IL"/>
        </w:rPr>
        <w:t xml:space="preserve"> </w:t>
      </w:r>
      <w:r w:rsidR="00EF1F42">
        <w:rPr>
          <w:bCs/>
          <w:lang w:bidi="he-IL"/>
        </w:rPr>
        <w:t>top-tier</w:t>
      </w:r>
      <w:r w:rsidR="0063341D">
        <w:rPr>
          <w:bCs/>
          <w:lang w:bidi="he-IL"/>
        </w:rPr>
        <w:t xml:space="preserve"> (</w:t>
      </w:r>
      <w:r w:rsidR="00EF1F42">
        <w:rPr>
          <w:bCs/>
          <w:lang w:bidi="he-IL"/>
        </w:rPr>
        <w:t>second-tier</w:t>
      </w:r>
      <w:r w:rsidR="0063341D">
        <w:rPr>
          <w:bCs/>
          <w:lang w:bidi="he-IL"/>
        </w:rPr>
        <w:t xml:space="preserve">), still appear as being affiliated within the same </w:t>
      </w:r>
      <w:r w:rsidR="00DB6ED1">
        <w:rPr>
          <w:bCs/>
          <w:lang w:bidi="he-IL"/>
        </w:rPr>
        <w:t>tier-level universities</w:t>
      </w:r>
      <w:r w:rsidR="0063341D">
        <w:rPr>
          <w:bCs/>
          <w:lang w:bidi="he-IL"/>
        </w:rPr>
        <w:t xml:space="preserve">. </w:t>
      </w:r>
      <w:r w:rsidR="003E0608">
        <w:rPr>
          <w:bCs/>
          <w:lang w:bidi="he-IL"/>
        </w:rPr>
        <w:t>Thus, t</w:t>
      </w:r>
      <w:r w:rsidR="0063341D">
        <w:rPr>
          <w:bCs/>
          <w:lang w:bidi="he-IL"/>
        </w:rPr>
        <w:t>h</w:t>
      </w:r>
      <w:r w:rsidR="00AD01EA">
        <w:rPr>
          <w:bCs/>
          <w:lang w:bidi="he-IL"/>
        </w:rPr>
        <w:t>ere</w:t>
      </w:r>
      <w:r w:rsidR="0063341D">
        <w:rPr>
          <w:bCs/>
          <w:lang w:bidi="he-IL"/>
        </w:rPr>
        <w:t xml:space="preserve"> appears to be a rather high-level of stickiness in employment, in the sense that the ranking of the first affiliation is also the ranking of the affiliation after 10 years for </w:t>
      </w:r>
      <w:r w:rsidR="00326729">
        <w:rPr>
          <w:bCs/>
          <w:lang w:bidi="he-IL"/>
        </w:rPr>
        <w:t xml:space="preserve">approximately </w:t>
      </w:r>
      <w:r w:rsidR="0063341D">
        <w:rPr>
          <w:bCs/>
          <w:lang w:bidi="he-IL"/>
        </w:rPr>
        <w:t xml:space="preserve">80% of the sample. Important, the evidence of an upward </w:t>
      </w:r>
      <w:r w:rsidR="00A56164">
        <w:rPr>
          <w:bCs/>
          <w:lang w:bidi="he-IL"/>
        </w:rPr>
        <w:t xml:space="preserve">move across affiliation tiers </w:t>
      </w:r>
      <w:r w:rsidR="0063341D">
        <w:rPr>
          <w:bCs/>
          <w:lang w:bidi="he-IL"/>
        </w:rPr>
        <w:t xml:space="preserve">is almost </w:t>
      </w:r>
      <w:r w:rsidR="00A56164">
        <w:rPr>
          <w:bCs/>
          <w:lang w:bidi="he-IL"/>
        </w:rPr>
        <w:t>nonexistent</w:t>
      </w:r>
      <w:r w:rsidR="0063341D">
        <w:rPr>
          <w:bCs/>
          <w:lang w:bidi="he-IL"/>
        </w:rPr>
        <w:t xml:space="preserve">. Only 2.0% of </w:t>
      </w:r>
      <w:r w:rsidR="00A56164">
        <w:rPr>
          <w:bCs/>
          <w:lang w:bidi="he-IL"/>
        </w:rPr>
        <w:t xml:space="preserve">the </w:t>
      </w:r>
      <w:r w:rsidR="0063341D">
        <w:rPr>
          <w:bCs/>
          <w:lang w:bidi="he-IL"/>
        </w:rPr>
        <w:t xml:space="preserve">authors whose initial affiliation is </w:t>
      </w:r>
      <w:r w:rsidR="00EF1F42">
        <w:rPr>
          <w:bCs/>
          <w:lang w:bidi="he-IL"/>
        </w:rPr>
        <w:t>second-tier</w:t>
      </w:r>
      <w:r w:rsidR="0063341D">
        <w:rPr>
          <w:bCs/>
          <w:lang w:bidi="he-IL"/>
        </w:rPr>
        <w:t xml:space="preserve"> move to a </w:t>
      </w:r>
      <w:r w:rsidR="00EF1F42">
        <w:rPr>
          <w:bCs/>
          <w:lang w:bidi="he-IL"/>
        </w:rPr>
        <w:t>top-tier</w:t>
      </w:r>
      <w:r w:rsidR="0063341D">
        <w:rPr>
          <w:bCs/>
          <w:lang w:bidi="he-IL"/>
        </w:rPr>
        <w:t xml:space="preserve"> university within 5 years, and that percentage increases by a mere 0.3% </w:t>
      </w:r>
      <w:r w:rsidR="00107179">
        <w:rPr>
          <w:bCs/>
          <w:lang w:bidi="he-IL"/>
        </w:rPr>
        <w:t xml:space="preserve">(to 2.3%) </w:t>
      </w:r>
      <w:r w:rsidR="00A56164">
        <w:rPr>
          <w:bCs/>
          <w:lang w:bidi="he-IL"/>
        </w:rPr>
        <w:t>by the</w:t>
      </w:r>
      <w:r w:rsidR="0063341D">
        <w:rPr>
          <w:bCs/>
          <w:lang w:bidi="he-IL"/>
        </w:rPr>
        <w:t xml:space="preserve"> </w:t>
      </w:r>
      <w:r w:rsidR="00107179">
        <w:rPr>
          <w:bCs/>
          <w:lang w:bidi="he-IL"/>
        </w:rPr>
        <w:t>10-year</w:t>
      </w:r>
      <w:r w:rsidR="0063341D">
        <w:rPr>
          <w:bCs/>
          <w:lang w:bidi="he-IL"/>
        </w:rPr>
        <w:t xml:space="preserve"> </w:t>
      </w:r>
      <w:r w:rsidR="00A56164">
        <w:rPr>
          <w:bCs/>
          <w:lang w:bidi="he-IL"/>
        </w:rPr>
        <w:t>mark</w:t>
      </w:r>
      <w:r w:rsidR="0063341D">
        <w:rPr>
          <w:bCs/>
          <w:lang w:bidi="he-IL"/>
        </w:rPr>
        <w:t>.</w:t>
      </w:r>
    </w:p>
    <w:p w14:paraId="248B1D80" w14:textId="4CAD1BF9" w:rsidR="00804A11" w:rsidRDefault="00107179" w:rsidP="007C3F6D">
      <w:pPr>
        <w:spacing w:line="408" w:lineRule="auto"/>
        <w:ind w:firstLine="720"/>
        <w:jc w:val="both"/>
        <w:rPr>
          <w:bCs/>
          <w:lang w:bidi="he-IL"/>
        </w:rPr>
      </w:pPr>
      <w:r>
        <w:rPr>
          <w:bCs/>
          <w:lang w:bidi="he-IL"/>
        </w:rPr>
        <w:t xml:space="preserve">We repeat the analysis for </w:t>
      </w:r>
      <w:r w:rsidR="0077719C">
        <w:rPr>
          <w:bCs/>
          <w:lang w:bidi="he-IL"/>
        </w:rPr>
        <w:t xml:space="preserve">Sample </w:t>
      </w:r>
      <w:r>
        <w:rPr>
          <w:bCs/>
          <w:lang w:bidi="he-IL"/>
        </w:rPr>
        <w:t xml:space="preserve">2, which allows us to follow authors over a </w:t>
      </w:r>
      <w:r w:rsidR="004434D7">
        <w:rPr>
          <w:bCs/>
          <w:lang w:bidi="he-IL"/>
        </w:rPr>
        <w:t>20-year</w:t>
      </w:r>
      <w:r>
        <w:rPr>
          <w:bCs/>
          <w:lang w:bidi="he-IL"/>
        </w:rPr>
        <w:t xml:space="preserve"> period. Though the sample is smaller and </w:t>
      </w:r>
      <w:r w:rsidR="00B11C1F">
        <w:rPr>
          <w:bCs/>
          <w:lang w:bidi="he-IL"/>
        </w:rPr>
        <w:t>the publication are</w:t>
      </w:r>
      <w:r w:rsidR="003E0608">
        <w:rPr>
          <w:bCs/>
          <w:lang w:bidi="he-IL"/>
        </w:rPr>
        <w:t>,</w:t>
      </w:r>
      <w:r w:rsidR="00B11C1F">
        <w:rPr>
          <w:bCs/>
          <w:lang w:bidi="he-IL"/>
        </w:rPr>
        <w:t xml:space="preserve"> </w:t>
      </w:r>
      <w:r>
        <w:rPr>
          <w:bCs/>
          <w:lang w:bidi="he-IL"/>
        </w:rPr>
        <w:t>on average</w:t>
      </w:r>
      <w:r w:rsidR="003E0608">
        <w:rPr>
          <w:bCs/>
          <w:lang w:bidi="he-IL"/>
        </w:rPr>
        <w:t>,</w:t>
      </w:r>
      <w:r>
        <w:rPr>
          <w:bCs/>
          <w:lang w:bidi="he-IL"/>
        </w:rPr>
        <w:t xml:space="preserve"> </w:t>
      </w:r>
      <w:r w:rsidR="003E0608">
        <w:rPr>
          <w:bCs/>
          <w:lang w:bidi="he-IL"/>
        </w:rPr>
        <w:t xml:space="preserve">of </w:t>
      </w:r>
      <w:r>
        <w:rPr>
          <w:bCs/>
          <w:lang w:bidi="he-IL"/>
        </w:rPr>
        <w:t>authors</w:t>
      </w:r>
      <w:r w:rsidR="00B11C1F">
        <w:rPr>
          <w:bCs/>
          <w:lang w:bidi="he-IL"/>
        </w:rPr>
        <w:t xml:space="preserve"> with more years of experience</w:t>
      </w:r>
      <w:r>
        <w:rPr>
          <w:bCs/>
          <w:lang w:bidi="he-IL"/>
        </w:rPr>
        <w:t xml:space="preserve">, the evidence of </w:t>
      </w:r>
      <w:r w:rsidR="003D7FD6">
        <w:rPr>
          <w:bCs/>
          <w:lang w:bidi="he-IL"/>
        </w:rPr>
        <w:t xml:space="preserve">the </w:t>
      </w:r>
      <w:r>
        <w:rPr>
          <w:bCs/>
          <w:lang w:bidi="he-IL"/>
        </w:rPr>
        <w:t xml:space="preserve">relative immobility persists in this sample. About 75% of </w:t>
      </w:r>
      <w:r w:rsidR="009368F5">
        <w:rPr>
          <w:bCs/>
          <w:lang w:bidi="he-IL"/>
        </w:rPr>
        <w:t xml:space="preserve">the </w:t>
      </w:r>
      <w:r>
        <w:rPr>
          <w:bCs/>
          <w:lang w:bidi="he-IL"/>
        </w:rPr>
        <w:t xml:space="preserve">authors are affiliated </w:t>
      </w:r>
      <w:r w:rsidR="000E2AFD">
        <w:rPr>
          <w:bCs/>
          <w:lang w:bidi="he-IL"/>
        </w:rPr>
        <w:t xml:space="preserve">with a school of </w:t>
      </w:r>
      <w:r>
        <w:rPr>
          <w:bCs/>
          <w:lang w:bidi="he-IL"/>
        </w:rPr>
        <w:t xml:space="preserve">the same ranking as the initial ranking institution, though there is </w:t>
      </w:r>
      <w:r w:rsidR="003D7FD6">
        <w:rPr>
          <w:bCs/>
          <w:lang w:bidi="he-IL"/>
        </w:rPr>
        <w:t>a</w:t>
      </w:r>
      <w:r>
        <w:rPr>
          <w:bCs/>
          <w:lang w:bidi="he-IL"/>
        </w:rPr>
        <w:t xml:space="preserve"> larger </w:t>
      </w:r>
      <w:r w:rsidR="003D7FD6">
        <w:rPr>
          <w:bCs/>
          <w:lang w:bidi="he-IL"/>
        </w:rPr>
        <w:t xml:space="preserve">percentage </w:t>
      </w:r>
      <w:r>
        <w:rPr>
          <w:bCs/>
          <w:lang w:bidi="he-IL"/>
        </w:rPr>
        <w:t xml:space="preserve">of authors that seem to have made a move to a </w:t>
      </w:r>
      <w:r w:rsidR="00EF1F42">
        <w:rPr>
          <w:bCs/>
          <w:lang w:bidi="he-IL"/>
        </w:rPr>
        <w:t xml:space="preserve">top-tier university </w:t>
      </w:r>
      <w:r>
        <w:rPr>
          <w:bCs/>
          <w:lang w:bidi="he-IL"/>
        </w:rPr>
        <w:t xml:space="preserve">after 20 years (4.1% </w:t>
      </w:r>
      <w:r w:rsidR="000E2AFD">
        <w:rPr>
          <w:bCs/>
          <w:lang w:bidi="he-IL"/>
        </w:rPr>
        <w:t xml:space="preserve">by </w:t>
      </w:r>
      <w:r>
        <w:rPr>
          <w:bCs/>
          <w:lang w:bidi="he-IL"/>
        </w:rPr>
        <w:t>20 years</w:t>
      </w:r>
      <w:r w:rsidR="000E2AFD">
        <w:rPr>
          <w:bCs/>
          <w:lang w:bidi="he-IL"/>
        </w:rPr>
        <w:t xml:space="preserve"> of activity</w:t>
      </w:r>
      <w:r>
        <w:rPr>
          <w:bCs/>
          <w:lang w:bidi="he-IL"/>
        </w:rPr>
        <w:t xml:space="preserve"> compared to 2.0% </w:t>
      </w:r>
      <w:r w:rsidR="000E2AFD">
        <w:rPr>
          <w:bCs/>
          <w:lang w:bidi="he-IL"/>
        </w:rPr>
        <w:t xml:space="preserve">by </w:t>
      </w:r>
      <w:r>
        <w:rPr>
          <w:bCs/>
          <w:lang w:bidi="he-IL"/>
        </w:rPr>
        <w:t xml:space="preserve">10 years). Overall, the evidence is broadly consistent with the idea that the </w:t>
      </w:r>
      <w:r w:rsidR="003D7FD6">
        <w:rPr>
          <w:bCs/>
          <w:lang w:bidi="he-IL"/>
        </w:rPr>
        <w:t>academic market</w:t>
      </w:r>
      <w:r>
        <w:rPr>
          <w:bCs/>
          <w:lang w:bidi="he-IL"/>
        </w:rPr>
        <w:t xml:space="preserve"> is segmented. Authors tend to </w:t>
      </w:r>
      <w:r w:rsidR="004434D7">
        <w:rPr>
          <w:bCs/>
          <w:lang w:bidi="he-IL"/>
        </w:rPr>
        <w:t>be</w:t>
      </w:r>
      <w:r>
        <w:rPr>
          <w:bCs/>
          <w:lang w:bidi="he-IL"/>
        </w:rPr>
        <w:t xml:space="preserve"> affiliated </w:t>
      </w:r>
      <w:r w:rsidR="00F14BD3">
        <w:rPr>
          <w:bCs/>
          <w:lang w:bidi="he-IL"/>
        </w:rPr>
        <w:t>with</w:t>
      </w:r>
      <w:r>
        <w:rPr>
          <w:bCs/>
          <w:lang w:bidi="he-IL"/>
        </w:rPr>
        <w:t xml:space="preserve"> the same </w:t>
      </w:r>
      <w:r w:rsidR="007C3F6D">
        <w:rPr>
          <w:bCs/>
          <w:lang w:bidi="he-IL"/>
        </w:rPr>
        <w:t xml:space="preserve">tier-level </w:t>
      </w:r>
      <w:r w:rsidR="004434D7">
        <w:rPr>
          <w:bCs/>
          <w:lang w:bidi="he-IL"/>
        </w:rPr>
        <w:t>inst</w:t>
      </w:r>
      <w:r>
        <w:rPr>
          <w:bCs/>
          <w:lang w:bidi="he-IL"/>
        </w:rPr>
        <w:t>itutions in 70-80%</w:t>
      </w:r>
      <w:r w:rsidR="004434D7">
        <w:rPr>
          <w:bCs/>
          <w:lang w:bidi="he-IL"/>
        </w:rPr>
        <w:t xml:space="preserve"> of cases</w:t>
      </w:r>
      <w:r>
        <w:rPr>
          <w:bCs/>
          <w:lang w:bidi="he-IL"/>
        </w:rPr>
        <w:t xml:space="preserve">, and </w:t>
      </w:r>
      <w:r w:rsidR="003D7FD6">
        <w:rPr>
          <w:bCs/>
          <w:lang w:bidi="he-IL"/>
        </w:rPr>
        <w:t xml:space="preserve">an </w:t>
      </w:r>
      <w:r>
        <w:rPr>
          <w:bCs/>
          <w:lang w:bidi="he-IL"/>
        </w:rPr>
        <w:t xml:space="preserve">upward move from a </w:t>
      </w:r>
      <w:r w:rsidR="00EF1F42">
        <w:rPr>
          <w:bCs/>
          <w:lang w:bidi="he-IL"/>
        </w:rPr>
        <w:t>second-tier</w:t>
      </w:r>
      <w:r>
        <w:rPr>
          <w:bCs/>
          <w:lang w:bidi="he-IL"/>
        </w:rPr>
        <w:t xml:space="preserve"> </w:t>
      </w:r>
      <w:r w:rsidR="004434D7">
        <w:rPr>
          <w:bCs/>
          <w:lang w:bidi="he-IL"/>
        </w:rPr>
        <w:t>university</w:t>
      </w:r>
      <w:r>
        <w:rPr>
          <w:bCs/>
          <w:lang w:bidi="he-IL"/>
        </w:rPr>
        <w:t xml:space="preserve"> to a </w:t>
      </w:r>
      <w:r w:rsidR="00EF1F42">
        <w:rPr>
          <w:bCs/>
          <w:lang w:bidi="he-IL"/>
        </w:rPr>
        <w:t>top-tier</w:t>
      </w:r>
      <w:r>
        <w:rPr>
          <w:bCs/>
          <w:lang w:bidi="he-IL"/>
        </w:rPr>
        <w:t xml:space="preserve"> </w:t>
      </w:r>
      <w:r w:rsidR="004434D7">
        <w:rPr>
          <w:bCs/>
          <w:lang w:bidi="he-IL"/>
        </w:rPr>
        <w:t xml:space="preserve">university </w:t>
      </w:r>
      <w:r>
        <w:rPr>
          <w:bCs/>
          <w:lang w:bidi="he-IL"/>
        </w:rPr>
        <w:t xml:space="preserve">is extremely rare.  </w:t>
      </w:r>
    </w:p>
    <w:p w14:paraId="371F31AB" w14:textId="77777777" w:rsidR="00593C61" w:rsidRDefault="00593C61" w:rsidP="001C25BA">
      <w:pPr>
        <w:spacing w:line="408" w:lineRule="auto"/>
        <w:ind w:firstLine="720"/>
        <w:jc w:val="both"/>
        <w:rPr>
          <w:bCs/>
        </w:rPr>
      </w:pPr>
    </w:p>
    <w:p w14:paraId="01C49C28" w14:textId="0FE0A157" w:rsidR="00593C61" w:rsidRPr="007E184D" w:rsidRDefault="00593C61" w:rsidP="007E184D">
      <w:pPr>
        <w:spacing w:line="408" w:lineRule="auto"/>
        <w:ind w:firstLine="720"/>
        <w:jc w:val="both"/>
        <w:rPr>
          <w:b/>
        </w:rPr>
      </w:pPr>
      <w:r w:rsidRPr="007E184D">
        <w:rPr>
          <w:b/>
        </w:rPr>
        <w:t xml:space="preserve">3.2 </w:t>
      </w:r>
      <w:r w:rsidR="007E184D" w:rsidRPr="007E184D">
        <w:rPr>
          <w:b/>
        </w:rPr>
        <w:t>Author's first</w:t>
      </w:r>
      <w:r w:rsidRPr="007E184D">
        <w:rPr>
          <w:b/>
        </w:rPr>
        <w:t xml:space="preserve"> affiliation </w:t>
      </w:r>
      <w:r w:rsidR="007E184D" w:rsidRPr="007E184D">
        <w:rPr>
          <w:b/>
        </w:rPr>
        <w:t xml:space="preserve">and research productivity </w:t>
      </w:r>
      <w:r w:rsidR="00163A32">
        <w:rPr>
          <w:b/>
        </w:rPr>
        <w:t>over time</w:t>
      </w:r>
    </w:p>
    <w:p w14:paraId="259EBF95" w14:textId="4939A603" w:rsidR="00A6727B" w:rsidRDefault="007E184D" w:rsidP="00F33275">
      <w:pPr>
        <w:spacing w:line="408" w:lineRule="auto"/>
        <w:ind w:firstLine="720"/>
        <w:jc w:val="both"/>
        <w:rPr>
          <w:bCs/>
        </w:rPr>
      </w:pPr>
      <w:r>
        <w:rPr>
          <w:bCs/>
        </w:rPr>
        <w:t xml:space="preserve">We next analyze the heterogeneity in author's productivity depending on whether the author's first </w:t>
      </w:r>
      <w:r w:rsidR="00163A32">
        <w:rPr>
          <w:bCs/>
        </w:rPr>
        <w:t>employer</w:t>
      </w:r>
      <w:r>
        <w:rPr>
          <w:bCs/>
        </w:rPr>
        <w:t xml:space="preserve"> is a </w:t>
      </w:r>
      <w:r w:rsidR="00EF1F42">
        <w:rPr>
          <w:bCs/>
        </w:rPr>
        <w:t>top-tier or second-tier</w:t>
      </w:r>
      <w:r w:rsidR="00163A32">
        <w:rPr>
          <w:bCs/>
        </w:rPr>
        <w:t xml:space="preserve"> university</w:t>
      </w:r>
      <w:r>
        <w:rPr>
          <w:bCs/>
        </w:rPr>
        <w:t xml:space="preserve">. The top and bottom plots of Figure 1 provide the accumulated number of A </w:t>
      </w:r>
      <w:r w:rsidR="00A6727B">
        <w:rPr>
          <w:bCs/>
        </w:rPr>
        <w:t>articles</w:t>
      </w:r>
      <w:r>
        <w:rPr>
          <w:bCs/>
        </w:rPr>
        <w:t xml:space="preserve"> for </w:t>
      </w:r>
      <w:r w:rsidR="005D0950">
        <w:rPr>
          <w:bCs/>
        </w:rPr>
        <w:t xml:space="preserve">Sample </w:t>
      </w:r>
      <w:r>
        <w:rPr>
          <w:bCs/>
        </w:rPr>
        <w:t xml:space="preserve">1 and </w:t>
      </w:r>
      <w:r w:rsidR="005D0950">
        <w:rPr>
          <w:bCs/>
        </w:rPr>
        <w:t xml:space="preserve">Sample </w:t>
      </w:r>
      <w:r>
        <w:rPr>
          <w:bCs/>
        </w:rPr>
        <w:t xml:space="preserve">2, respectively. </w:t>
      </w:r>
      <w:r w:rsidR="0012439D">
        <w:rPr>
          <w:bCs/>
        </w:rPr>
        <w:t>For e</w:t>
      </w:r>
      <w:r>
        <w:rPr>
          <w:bCs/>
        </w:rPr>
        <w:t xml:space="preserve">ach tenure year we </w:t>
      </w:r>
      <w:r>
        <w:rPr>
          <w:bCs/>
        </w:rPr>
        <w:lastRenderedPageBreak/>
        <w:t xml:space="preserve">provide the mean, the top </w:t>
      </w:r>
      <w:r w:rsidR="00A6727B">
        <w:rPr>
          <w:bCs/>
        </w:rPr>
        <w:t>quartile</w:t>
      </w:r>
      <w:r>
        <w:rPr>
          <w:bCs/>
        </w:rPr>
        <w:t xml:space="preserve">, and top 10% of </w:t>
      </w:r>
      <w:r w:rsidR="00A6727B">
        <w:rPr>
          <w:bCs/>
        </w:rPr>
        <w:t>the number of accumulated A ar</w:t>
      </w:r>
      <w:r w:rsidR="00163A32">
        <w:rPr>
          <w:bCs/>
        </w:rPr>
        <w:t>ticle</w:t>
      </w:r>
      <w:r w:rsidR="00AD01EA">
        <w:rPr>
          <w:bCs/>
        </w:rPr>
        <w:t>s</w:t>
      </w:r>
      <w:r w:rsidR="00163A32">
        <w:rPr>
          <w:bCs/>
        </w:rPr>
        <w:t xml:space="preserve"> depending </w:t>
      </w:r>
      <w:r w:rsidR="00AD4929">
        <w:rPr>
          <w:bCs/>
        </w:rPr>
        <w:t xml:space="preserve">on </w:t>
      </w:r>
      <w:r w:rsidR="00163A32">
        <w:rPr>
          <w:bCs/>
        </w:rPr>
        <w:t xml:space="preserve">first employer </w:t>
      </w:r>
      <w:r w:rsidR="00AD01EA">
        <w:rPr>
          <w:bCs/>
        </w:rPr>
        <w:t>tier level</w:t>
      </w:r>
      <w:r w:rsidR="00A6727B">
        <w:rPr>
          <w:bCs/>
        </w:rPr>
        <w:t xml:space="preserve">. It is evident from the figure that the authors whose first placement is in </w:t>
      </w:r>
      <w:r w:rsidR="00163A32">
        <w:rPr>
          <w:bCs/>
        </w:rPr>
        <w:t xml:space="preserve">a </w:t>
      </w:r>
      <w:r w:rsidR="00EF1F42">
        <w:rPr>
          <w:bCs/>
        </w:rPr>
        <w:t>top-tier</w:t>
      </w:r>
      <w:r w:rsidR="00A6727B">
        <w:rPr>
          <w:bCs/>
        </w:rPr>
        <w:t xml:space="preserve"> university are on average more productive than their peers whose first placement is in </w:t>
      </w:r>
      <w:r w:rsidR="00163A32">
        <w:rPr>
          <w:bCs/>
        </w:rPr>
        <w:t xml:space="preserve">a </w:t>
      </w:r>
      <w:r w:rsidR="00EF1F42">
        <w:rPr>
          <w:bCs/>
        </w:rPr>
        <w:t>second-tier</w:t>
      </w:r>
      <w:r w:rsidR="00A6727B">
        <w:rPr>
          <w:bCs/>
        </w:rPr>
        <w:t xml:space="preserve"> university. For example, for sample 2, the top 10% of authors </w:t>
      </w:r>
      <w:r w:rsidR="00AD4929">
        <w:rPr>
          <w:bCs/>
        </w:rPr>
        <w:t xml:space="preserve">in a top-tier university </w:t>
      </w:r>
      <w:r w:rsidR="00A6727B">
        <w:rPr>
          <w:bCs/>
        </w:rPr>
        <w:t xml:space="preserve">have 12 or more A </w:t>
      </w:r>
      <w:r w:rsidR="0013441F">
        <w:rPr>
          <w:bCs/>
        </w:rPr>
        <w:t xml:space="preserve">accumulated </w:t>
      </w:r>
      <w:r w:rsidR="00A6727B">
        <w:rPr>
          <w:bCs/>
        </w:rPr>
        <w:t>publications</w:t>
      </w:r>
      <w:r w:rsidR="00AF6B4A">
        <w:rPr>
          <w:rFonts w:hint="cs"/>
          <w:bCs/>
          <w:rtl/>
          <w:lang w:bidi="he-IL"/>
        </w:rPr>
        <w:t xml:space="preserve"> </w:t>
      </w:r>
      <w:r w:rsidR="00AF6B4A">
        <w:rPr>
          <w:bCs/>
          <w:lang w:bidi="he-IL"/>
        </w:rPr>
        <w:t>at year 20</w:t>
      </w:r>
      <w:r w:rsidR="00A6727B">
        <w:rPr>
          <w:bCs/>
        </w:rPr>
        <w:t xml:space="preserve">, </w:t>
      </w:r>
      <w:r w:rsidR="00BA35B6">
        <w:rPr>
          <w:bCs/>
        </w:rPr>
        <w:t xml:space="preserve">while </w:t>
      </w:r>
      <w:r w:rsidR="00A6727B">
        <w:rPr>
          <w:bCs/>
        </w:rPr>
        <w:t>the</w:t>
      </w:r>
      <w:r w:rsidR="00BA35B6">
        <w:rPr>
          <w:bCs/>
        </w:rPr>
        <w:t xml:space="preserve"> corresponding number for authors whose first affiliation is second-tier is only 5</w:t>
      </w:r>
      <w:r w:rsidR="00A6727B">
        <w:rPr>
          <w:bCs/>
        </w:rPr>
        <w:t xml:space="preserve"> </w:t>
      </w:r>
      <w:r w:rsidR="00BA35B6">
        <w:rPr>
          <w:bCs/>
        </w:rPr>
        <w:t xml:space="preserve">or more </w:t>
      </w:r>
      <w:r w:rsidR="00A6727B">
        <w:rPr>
          <w:bCs/>
        </w:rPr>
        <w:t xml:space="preserve">A publications. Nevertheless, </w:t>
      </w:r>
      <w:r w:rsidR="00AD4929">
        <w:rPr>
          <w:bCs/>
        </w:rPr>
        <w:t xml:space="preserve">the figure shows that there </w:t>
      </w:r>
      <w:r w:rsidR="00A6727B">
        <w:rPr>
          <w:bCs/>
        </w:rPr>
        <w:t xml:space="preserve">is </w:t>
      </w:r>
      <w:r w:rsidR="00AD4929">
        <w:rPr>
          <w:bCs/>
        </w:rPr>
        <w:t xml:space="preserve">an obvious </w:t>
      </w:r>
      <w:r w:rsidR="00A6727B">
        <w:rPr>
          <w:bCs/>
        </w:rPr>
        <w:t>high level of heterogeneity in authors' productivity</w:t>
      </w:r>
      <w:r w:rsidR="00832511">
        <w:rPr>
          <w:bCs/>
        </w:rPr>
        <w:t xml:space="preserve"> within a tier-level</w:t>
      </w:r>
      <w:r w:rsidR="00A6727B">
        <w:rPr>
          <w:bCs/>
        </w:rPr>
        <w:t xml:space="preserve">. For example, we can see that the top 10% </w:t>
      </w:r>
      <w:r w:rsidR="00BA35B6">
        <w:rPr>
          <w:bCs/>
        </w:rPr>
        <w:t xml:space="preserve">percentile </w:t>
      </w:r>
      <w:r w:rsidR="00A6727B">
        <w:rPr>
          <w:bCs/>
        </w:rPr>
        <w:t xml:space="preserve">of authors whose first placement is in a </w:t>
      </w:r>
      <w:r w:rsidR="00163A32">
        <w:rPr>
          <w:bCs/>
        </w:rPr>
        <w:t>second</w:t>
      </w:r>
      <w:r w:rsidR="00EF1F42">
        <w:rPr>
          <w:bCs/>
        </w:rPr>
        <w:t>-tier</w:t>
      </w:r>
      <w:r w:rsidR="00A6727B">
        <w:rPr>
          <w:bCs/>
        </w:rPr>
        <w:t xml:space="preserve"> university is clearly above the mean productivity of authors whose first placement is </w:t>
      </w:r>
      <w:r w:rsidR="00EF1F42">
        <w:rPr>
          <w:bCs/>
        </w:rPr>
        <w:t xml:space="preserve">in a </w:t>
      </w:r>
      <w:r w:rsidR="00163A32">
        <w:rPr>
          <w:bCs/>
        </w:rPr>
        <w:t>top</w:t>
      </w:r>
      <w:r w:rsidR="00EF1F42">
        <w:rPr>
          <w:bCs/>
        </w:rPr>
        <w:t xml:space="preserve">-tier </w:t>
      </w:r>
      <w:r w:rsidR="00A6727B">
        <w:rPr>
          <w:bCs/>
        </w:rPr>
        <w:t>university</w:t>
      </w:r>
      <w:r w:rsidR="005F45D6">
        <w:rPr>
          <w:bCs/>
        </w:rPr>
        <w:t xml:space="preserve">; </w:t>
      </w:r>
      <w:r w:rsidR="00060650">
        <w:rPr>
          <w:bCs/>
        </w:rPr>
        <w:t>also</w:t>
      </w:r>
      <w:r w:rsidR="00A6727B">
        <w:rPr>
          <w:bCs/>
        </w:rPr>
        <w:t xml:space="preserve">, </w:t>
      </w:r>
      <w:r w:rsidR="00191AC4">
        <w:rPr>
          <w:bCs/>
        </w:rPr>
        <w:t xml:space="preserve">the top 10% </w:t>
      </w:r>
      <w:r w:rsidR="00D94EAF">
        <w:rPr>
          <w:bCs/>
        </w:rPr>
        <w:t xml:space="preserve">percentile </w:t>
      </w:r>
      <w:r w:rsidR="00191AC4">
        <w:rPr>
          <w:bCs/>
        </w:rPr>
        <w:t xml:space="preserve">of authors whose first placement is in a second-tier university </w:t>
      </w:r>
      <w:r w:rsidR="00A6727B">
        <w:rPr>
          <w:bCs/>
        </w:rPr>
        <w:t xml:space="preserve">follows a similar trajectory to that of the top 25% </w:t>
      </w:r>
      <w:r w:rsidR="00D94EAF">
        <w:rPr>
          <w:bCs/>
        </w:rPr>
        <w:t xml:space="preserve">percentile </w:t>
      </w:r>
      <w:r w:rsidR="00A6727B">
        <w:rPr>
          <w:bCs/>
        </w:rPr>
        <w:t xml:space="preserve">of authors whose first placement is </w:t>
      </w:r>
      <w:r w:rsidR="00EF1F42">
        <w:rPr>
          <w:bCs/>
        </w:rPr>
        <w:t>top-tier</w:t>
      </w:r>
      <w:r w:rsidR="00A6727B">
        <w:rPr>
          <w:bCs/>
        </w:rPr>
        <w:t xml:space="preserve">. In fact, for sample 2, the two trajectories are overlapping </w:t>
      </w:r>
      <w:r w:rsidR="00060650">
        <w:rPr>
          <w:bCs/>
        </w:rPr>
        <w:t xml:space="preserve">up </w:t>
      </w:r>
      <w:r w:rsidR="00A6727B">
        <w:rPr>
          <w:bCs/>
        </w:rPr>
        <w:t xml:space="preserve">until year 7. </w:t>
      </w:r>
      <w:r w:rsidR="005F45D6">
        <w:rPr>
          <w:bCs/>
        </w:rPr>
        <w:t xml:space="preserve">Similarly, the top quartile of authors whose first placement </w:t>
      </w:r>
      <w:r w:rsidR="0013441F">
        <w:rPr>
          <w:bCs/>
        </w:rPr>
        <w:t xml:space="preserve">is </w:t>
      </w:r>
      <w:r w:rsidR="00EF1F42">
        <w:rPr>
          <w:bCs/>
        </w:rPr>
        <w:t>second-tier</w:t>
      </w:r>
      <w:r w:rsidR="005F45D6">
        <w:rPr>
          <w:bCs/>
        </w:rPr>
        <w:t>, seem to track</w:t>
      </w:r>
      <w:r w:rsidR="00060650">
        <w:rPr>
          <w:bCs/>
        </w:rPr>
        <w:t>, up</w:t>
      </w:r>
      <w:r w:rsidR="005F45D6">
        <w:rPr>
          <w:bCs/>
        </w:rPr>
        <w:t xml:space="preserve"> </w:t>
      </w:r>
      <w:r w:rsidR="00AF6B4A">
        <w:rPr>
          <w:bCs/>
        </w:rPr>
        <w:t>till year 5-7</w:t>
      </w:r>
      <w:r w:rsidR="00060650">
        <w:rPr>
          <w:bCs/>
        </w:rPr>
        <w:t>,</w:t>
      </w:r>
      <w:r w:rsidR="005F45D6">
        <w:rPr>
          <w:bCs/>
        </w:rPr>
        <w:t xml:space="preserve"> the mean trajectory of authors whose first placement is </w:t>
      </w:r>
      <w:r w:rsidR="00EF1F42">
        <w:rPr>
          <w:bCs/>
        </w:rPr>
        <w:t>top-tier</w:t>
      </w:r>
      <w:r w:rsidR="00191AC4">
        <w:rPr>
          <w:bCs/>
        </w:rPr>
        <w:t>.</w:t>
      </w:r>
      <w:r w:rsidR="005F45D6">
        <w:rPr>
          <w:bCs/>
        </w:rPr>
        <w:t xml:space="preserve"> This implies two things. First, there is large heterogeneity in productivity </w:t>
      </w:r>
      <w:r w:rsidR="00191AC4">
        <w:rPr>
          <w:bCs/>
        </w:rPr>
        <w:t>with</w:t>
      </w:r>
      <w:r w:rsidR="00AD01EA">
        <w:rPr>
          <w:bCs/>
        </w:rPr>
        <w:t>in</w:t>
      </w:r>
      <w:r w:rsidR="00191AC4">
        <w:rPr>
          <w:bCs/>
        </w:rPr>
        <w:t xml:space="preserve"> a </w:t>
      </w:r>
      <w:r w:rsidR="005F45D6">
        <w:rPr>
          <w:bCs/>
        </w:rPr>
        <w:t>first placement</w:t>
      </w:r>
      <w:r w:rsidR="00191AC4">
        <w:rPr>
          <w:bCs/>
        </w:rPr>
        <w:t xml:space="preserve"> tier</w:t>
      </w:r>
      <w:r w:rsidR="00D94EAF">
        <w:rPr>
          <w:bCs/>
        </w:rPr>
        <w:t xml:space="preserve">. If one takes the view that productive authors strive to move to top-tier </w:t>
      </w:r>
      <w:r w:rsidR="00E679BB">
        <w:rPr>
          <w:bCs/>
        </w:rPr>
        <w:t>universities</w:t>
      </w:r>
      <w:r w:rsidR="00D94EAF">
        <w:rPr>
          <w:bCs/>
        </w:rPr>
        <w:t xml:space="preserve">, this heterogeneity </w:t>
      </w:r>
      <w:r w:rsidR="005F45D6">
        <w:rPr>
          <w:bCs/>
        </w:rPr>
        <w:t xml:space="preserve">seems to be inconsistent with the relative low level of </w:t>
      </w:r>
      <w:r w:rsidR="00F33275">
        <w:rPr>
          <w:bCs/>
        </w:rPr>
        <w:t>author-</w:t>
      </w:r>
      <w:r w:rsidR="00191AC4">
        <w:rPr>
          <w:bCs/>
        </w:rPr>
        <w:t>m</w:t>
      </w:r>
      <w:r w:rsidR="005F45D6">
        <w:rPr>
          <w:bCs/>
        </w:rPr>
        <w:t>obility that we observed in Table 1. Second, over-time the difference in productivity</w:t>
      </w:r>
      <w:r w:rsidR="00060650">
        <w:rPr>
          <w:bCs/>
        </w:rPr>
        <w:t>,</w:t>
      </w:r>
      <w:r w:rsidR="005F45D6">
        <w:rPr>
          <w:bCs/>
        </w:rPr>
        <w:t xml:space="preserve"> </w:t>
      </w:r>
      <w:r w:rsidR="00060650">
        <w:rPr>
          <w:bCs/>
        </w:rPr>
        <w:t>as related to</w:t>
      </w:r>
      <w:r w:rsidR="005F45D6">
        <w:rPr>
          <w:bCs/>
        </w:rPr>
        <w:t xml:space="preserve"> first placement</w:t>
      </w:r>
      <w:r w:rsidR="00D94EAF">
        <w:rPr>
          <w:bCs/>
        </w:rPr>
        <w:t xml:space="preserve"> tier-level</w:t>
      </w:r>
      <w:r w:rsidR="00060650">
        <w:rPr>
          <w:bCs/>
        </w:rPr>
        <w:t>,</w:t>
      </w:r>
      <w:r w:rsidR="005F45D6">
        <w:rPr>
          <w:bCs/>
        </w:rPr>
        <w:t xml:space="preserve"> seem</w:t>
      </w:r>
      <w:r w:rsidR="00060650">
        <w:rPr>
          <w:bCs/>
        </w:rPr>
        <w:t>s</w:t>
      </w:r>
      <w:r w:rsidR="005F45D6">
        <w:rPr>
          <w:bCs/>
        </w:rPr>
        <w:t xml:space="preserve"> to grow.</w:t>
      </w:r>
      <w:r w:rsidR="00EF1F42">
        <w:rPr>
          <w:bCs/>
        </w:rPr>
        <w:t xml:space="preserve"> </w:t>
      </w:r>
      <w:r w:rsidR="005F45D6">
        <w:rPr>
          <w:bCs/>
        </w:rPr>
        <w:t xml:space="preserve"> </w:t>
      </w:r>
    </w:p>
    <w:p w14:paraId="4D766B92" w14:textId="57D51072" w:rsidR="00163A32" w:rsidRDefault="0096673B" w:rsidP="00CA4B2E">
      <w:pPr>
        <w:spacing w:line="408" w:lineRule="auto"/>
        <w:ind w:firstLine="720"/>
        <w:jc w:val="both"/>
        <w:rPr>
          <w:bCs/>
        </w:rPr>
      </w:pPr>
      <w:r>
        <w:rPr>
          <w:bCs/>
        </w:rPr>
        <w:t>We next</w:t>
      </w:r>
      <w:r w:rsidR="00650C75">
        <w:rPr>
          <w:bCs/>
        </w:rPr>
        <w:t xml:space="preserve"> provide more </w:t>
      </w:r>
      <w:r>
        <w:rPr>
          <w:bCs/>
        </w:rPr>
        <w:t>detail</w:t>
      </w:r>
      <w:r w:rsidR="00AD01EA">
        <w:rPr>
          <w:bCs/>
        </w:rPr>
        <w:t>ed</w:t>
      </w:r>
      <w:r>
        <w:rPr>
          <w:bCs/>
        </w:rPr>
        <w:t xml:space="preserve"> </w:t>
      </w:r>
      <w:r w:rsidR="00650C75">
        <w:rPr>
          <w:bCs/>
        </w:rPr>
        <w:t xml:space="preserve">information on the heterogeneity in productivity depending on the first </w:t>
      </w:r>
      <w:r>
        <w:rPr>
          <w:bCs/>
        </w:rPr>
        <w:t xml:space="preserve">affiliation </w:t>
      </w:r>
      <w:r w:rsidR="00FE527E">
        <w:rPr>
          <w:bCs/>
        </w:rPr>
        <w:t xml:space="preserve">tier-level </w:t>
      </w:r>
      <w:r>
        <w:rPr>
          <w:bCs/>
        </w:rPr>
        <w:t>of the author</w:t>
      </w:r>
      <w:r w:rsidR="00650C75">
        <w:rPr>
          <w:bCs/>
        </w:rPr>
        <w:t xml:space="preserve">. </w:t>
      </w:r>
      <w:r w:rsidR="00191AC4">
        <w:rPr>
          <w:bCs/>
        </w:rPr>
        <w:t xml:space="preserve">Figure 2 (and Table 2) </w:t>
      </w:r>
      <w:r>
        <w:rPr>
          <w:bCs/>
        </w:rPr>
        <w:t>provide the distribution of authors according to their productivity in term</w:t>
      </w:r>
      <w:r w:rsidR="00191AC4">
        <w:rPr>
          <w:bCs/>
        </w:rPr>
        <w:t>s</w:t>
      </w:r>
      <w:r>
        <w:rPr>
          <w:bCs/>
        </w:rPr>
        <w:t xml:space="preserve"> of </w:t>
      </w:r>
      <w:r w:rsidR="00191AC4">
        <w:rPr>
          <w:bCs/>
        </w:rPr>
        <w:t xml:space="preserve">the number of </w:t>
      </w:r>
      <w:r>
        <w:rPr>
          <w:bCs/>
        </w:rPr>
        <w:t xml:space="preserve">A level published articles. The </w:t>
      </w:r>
      <w:r w:rsidR="00191AC4">
        <w:rPr>
          <w:bCs/>
        </w:rPr>
        <w:t xml:space="preserve">top diagram of </w:t>
      </w:r>
      <w:r w:rsidR="00851E49">
        <w:rPr>
          <w:bCs/>
        </w:rPr>
        <w:t xml:space="preserve">Figure </w:t>
      </w:r>
      <w:r w:rsidR="00191AC4">
        <w:rPr>
          <w:bCs/>
        </w:rPr>
        <w:t>2,</w:t>
      </w:r>
      <w:r>
        <w:rPr>
          <w:bCs/>
        </w:rPr>
        <w:t xml:space="preserve"> which concerns </w:t>
      </w:r>
      <w:r w:rsidR="00655EDE">
        <w:rPr>
          <w:bCs/>
        </w:rPr>
        <w:t xml:space="preserve">Sample </w:t>
      </w:r>
      <w:r w:rsidR="00650C75">
        <w:rPr>
          <w:bCs/>
        </w:rPr>
        <w:t>1, provide</w:t>
      </w:r>
      <w:r>
        <w:rPr>
          <w:bCs/>
        </w:rPr>
        <w:t>s</w:t>
      </w:r>
      <w:r w:rsidR="00650C75">
        <w:rPr>
          <w:bCs/>
        </w:rPr>
        <w:t xml:space="preserve"> the accumulated productivity </w:t>
      </w:r>
      <w:r w:rsidR="00AF6B4A">
        <w:rPr>
          <w:bCs/>
        </w:rPr>
        <w:t>at year 5</w:t>
      </w:r>
      <w:r w:rsidR="00650C75">
        <w:rPr>
          <w:bCs/>
        </w:rPr>
        <w:t xml:space="preserve">; while </w:t>
      </w:r>
      <w:r>
        <w:rPr>
          <w:bCs/>
        </w:rPr>
        <w:t xml:space="preserve">the </w:t>
      </w:r>
      <w:r w:rsidR="00191AC4">
        <w:rPr>
          <w:bCs/>
        </w:rPr>
        <w:t>bottom diagram</w:t>
      </w:r>
      <w:r>
        <w:rPr>
          <w:bCs/>
        </w:rPr>
        <w:t xml:space="preserve">, which concerns </w:t>
      </w:r>
      <w:r w:rsidR="00655EDE">
        <w:rPr>
          <w:bCs/>
        </w:rPr>
        <w:t xml:space="preserve">Sample </w:t>
      </w:r>
      <w:r w:rsidR="00650C75">
        <w:rPr>
          <w:bCs/>
        </w:rPr>
        <w:t>2, provide</w:t>
      </w:r>
      <w:r>
        <w:rPr>
          <w:bCs/>
        </w:rPr>
        <w:t>s</w:t>
      </w:r>
      <w:r w:rsidR="00650C75">
        <w:rPr>
          <w:bCs/>
        </w:rPr>
        <w:t xml:space="preserve"> the accumulated productivity at year 10. </w:t>
      </w:r>
      <w:r w:rsidR="00191AC4">
        <w:rPr>
          <w:bCs/>
        </w:rPr>
        <w:t xml:space="preserve">There are several </w:t>
      </w:r>
      <w:r w:rsidR="00CA4B2E">
        <w:rPr>
          <w:bCs/>
        </w:rPr>
        <w:t xml:space="preserve">insights that can be taken from </w:t>
      </w:r>
      <w:r w:rsidR="00191AC4">
        <w:rPr>
          <w:bCs/>
        </w:rPr>
        <w:t>Figure 2 and Table 2 that are worth no</w:t>
      </w:r>
      <w:r w:rsidR="00AD01EA">
        <w:rPr>
          <w:bCs/>
        </w:rPr>
        <w:t>t</w:t>
      </w:r>
      <w:r w:rsidR="00191AC4">
        <w:rPr>
          <w:bCs/>
        </w:rPr>
        <w:t xml:space="preserve">ing. First, there is a positive relation between accumulated productivity and the first affiliation </w:t>
      </w:r>
      <w:r w:rsidR="00655EDE">
        <w:rPr>
          <w:bCs/>
        </w:rPr>
        <w:t xml:space="preserve">tier-level </w:t>
      </w:r>
      <w:r w:rsidR="00191AC4">
        <w:rPr>
          <w:bCs/>
        </w:rPr>
        <w:t xml:space="preserve">of the author. </w:t>
      </w:r>
      <w:r w:rsidR="00650C75">
        <w:rPr>
          <w:bCs/>
        </w:rPr>
        <w:t xml:space="preserve">For example, for </w:t>
      </w:r>
      <w:r w:rsidR="00832511">
        <w:rPr>
          <w:bCs/>
        </w:rPr>
        <w:t xml:space="preserve">Sample </w:t>
      </w:r>
      <w:r w:rsidR="00650C75">
        <w:rPr>
          <w:bCs/>
        </w:rPr>
        <w:t xml:space="preserve">1, we observe that 24.6% of </w:t>
      </w:r>
      <w:r w:rsidR="006F1520">
        <w:rPr>
          <w:bCs/>
        </w:rPr>
        <w:t xml:space="preserve">the </w:t>
      </w:r>
      <w:r w:rsidR="00650C75">
        <w:rPr>
          <w:bCs/>
        </w:rPr>
        <w:t>authors</w:t>
      </w:r>
      <w:r w:rsidR="00D0456B">
        <w:rPr>
          <w:bCs/>
        </w:rPr>
        <w:t xml:space="preserve"> whose first affiliation is a top-tier university,</w:t>
      </w:r>
      <w:r w:rsidR="00650C75">
        <w:rPr>
          <w:bCs/>
        </w:rPr>
        <w:t xml:space="preserve"> have no A articles after 5 years</w:t>
      </w:r>
      <w:r w:rsidR="00D0456B">
        <w:rPr>
          <w:bCs/>
        </w:rPr>
        <w:t>;</w:t>
      </w:r>
      <w:r w:rsidR="00650C75">
        <w:rPr>
          <w:bCs/>
        </w:rPr>
        <w:t xml:space="preserve"> while that percentage is about double </w:t>
      </w:r>
      <w:r w:rsidR="00D0456B">
        <w:rPr>
          <w:bCs/>
        </w:rPr>
        <w:t xml:space="preserve">(48.2%) </w:t>
      </w:r>
      <w:r w:rsidR="00650C75">
        <w:rPr>
          <w:bCs/>
        </w:rPr>
        <w:t>for second</w:t>
      </w:r>
      <w:r w:rsidR="00D0456B">
        <w:rPr>
          <w:bCs/>
        </w:rPr>
        <w:t>-</w:t>
      </w:r>
      <w:r w:rsidR="00D0456B">
        <w:rPr>
          <w:bCs/>
        </w:rPr>
        <w:lastRenderedPageBreak/>
        <w:t xml:space="preserve">tier university. </w:t>
      </w:r>
      <w:r w:rsidR="00C23442">
        <w:rPr>
          <w:bCs/>
        </w:rPr>
        <w:t xml:space="preserve">Second, </w:t>
      </w:r>
      <w:r w:rsidR="00AD01EA">
        <w:rPr>
          <w:bCs/>
        </w:rPr>
        <w:t xml:space="preserve">the percentage of authors that have </w:t>
      </w:r>
      <w:r w:rsidR="006F1520">
        <w:rPr>
          <w:bCs/>
        </w:rPr>
        <w:t xml:space="preserve">a single </w:t>
      </w:r>
      <w:r w:rsidR="00AD01EA">
        <w:rPr>
          <w:bCs/>
        </w:rPr>
        <w:t>A publication is similar in both tier-levels</w:t>
      </w:r>
      <w:r>
        <w:rPr>
          <w:bCs/>
        </w:rPr>
        <w:t xml:space="preserve">.  </w:t>
      </w:r>
      <w:r w:rsidR="00C23442">
        <w:rPr>
          <w:bCs/>
        </w:rPr>
        <w:t xml:space="preserve">Third, </w:t>
      </w:r>
      <w:r w:rsidR="00191AC4">
        <w:rPr>
          <w:bCs/>
        </w:rPr>
        <w:t xml:space="preserve">if </w:t>
      </w:r>
      <w:r w:rsidR="006F1520">
        <w:rPr>
          <w:bCs/>
        </w:rPr>
        <w:t xml:space="preserve">an </w:t>
      </w:r>
      <w:r>
        <w:rPr>
          <w:bCs/>
        </w:rPr>
        <w:t xml:space="preserve">author has two A articles or more, it is more likely that the author's first affiliation is </w:t>
      </w:r>
      <w:r w:rsidR="006F1520">
        <w:rPr>
          <w:bCs/>
        </w:rPr>
        <w:t xml:space="preserve">with </w:t>
      </w:r>
      <w:r>
        <w:rPr>
          <w:bCs/>
        </w:rPr>
        <w:t>a top tier</w:t>
      </w:r>
      <w:r w:rsidR="006F1520">
        <w:rPr>
          <w:bCs/>
        </w:rPr>
        <w:t xml:space="preserve"> institution</w:t>
      </w:r>
      <w:r>
        <w:rPr>
          <w:bCs/>
        </w:rPr>
        <w:t>.</w:t>
      </w:r>
      <w:r w:rsidR="00C23442">
        <w:rPr>
          <w:bCs/>
        </w:rPr>
        <w:t xml:space="preserve"> </w:t>
      </w:r>
      <w:r w:rsidR="00655EDE">
        <w:rPr>
          <w:bCs/>
        </w:rPr>
        <w:t>Also,</w:t>
      </w:r>
      <w:r w:rsidR="00163A32">
        <w:rPr>
          <w:bCs/>
        </w:rPr>
        <w:t xml:space="preserve"> the percentage of author</w:t>
      </w:r>
      <w:r w:rsidR="00C23442">
        <w:rPr>
          <w:bCs/>
        </w:rPr>
        <w:t xml:space="preserve">s having </w:t>
      </w:r>
      <w:r w:rsidR="00163A32">
        <w:rPr>
          <w:bCs/>
        </w:rPr>
        <w:t>more than 4 A</w:t>
      </w:r>
      <w:r w:rsidR="00EA682E">
        <w:rPr>
          <w:bCs/>
        </w:rPr>
        <w:t xml:space="preserve"> articles</w:t>
      </w:r>
      <w:r w:rsidR="00163A32">
        <w:rPr>
          <w:bCs/>
        </w:rPr>
        <w:t xml:space="preserve"> after 5 years</w:t>
      </w:r>
      <w:r w:rsidR="00193BD2">
        <w:rPr>
          <w:bCs/>
        </w:rPr>
        <w:t xml:space="preserve"> </w:t>
      </w:r>
      <w:r w:rsidR="00163A32">
        <w:rPr>
          <w:bCs/>
        </w:rPr>
        <w:t xml:space="preserve">is very low. Only 9.8% of </w:t>
      </w:r>
      <w:r w:rsidR="006F1520">
        <w:rPr>
          <w:bCs/>
        </w:rPr>
        <w:t xml:space="preserve">the </w:t>
      </w:r>
      <w:r w:rsidR="00163A32">
        <w:rPr>
          <w:bCs/>
        </w:rPr>
        <w:t xml:space="preserve">authors whose first affiliation is top-tier, and 2% of </w:t>
      </w:r>
      <w:r w:rsidR="006F1520">
        <w:rPr>
          <w:bCs/>
        </w:rPr>
        <w:t xml:space="preserve">the </w:t>
      </w:r>
      <w:r w:rsidR="00163A32">
        <w:rPr>
          <w:bCs/>
        </w:rPr>
        <w:t>authors whose first affiliation is second-tier, have a</w:t>
      </w:r>
      <w:r w:rsidR="006F1520">
        <w:rPr>
          <w:bCs/>
        </w:rPr>
        <w:t>n accumulated</w:t>
      </w:r>
      <w:r w:rsidR="00163A32">
        <w:rPr>
          <w:bCs/>
        </w:rPr>
        <w:t xml:space="preserve"> productivity of more than </w:t>
      </w:r>
      <w:r w:rsidR="00AD01EA">
        <w:rPr>
          <w:bCs/>
        </w:rPr>
        <w:t>4</w:t>
      </w:r>
      <w:r w:rsidR="00163A32">
        <w:rPr>
          <w:bCs/>
        </w:rPr>
        <w:t xml:space="preserve"> A articles. </w:t>
      </w:r>
      <w:r w:rsidR="00C23442">
        <w:rPr>
          <w:bCs/>
        </w:rPr>
        <w:t xml:space="preserve">Finally, the distribution in productivity after 10 years looks similar to that of 5 years. The only major difference is that it is more </w:t>
      </w:r>
      <w:r w:rsidR="00655EDE">
        <w:rPr>
          <w:bCs/>
        </w:rPr>
        <w:t>skewed</w:t>
      </w:r>
      <w:r w:rsidR="00C23442">
        <w:rPr>
          <w:bCs/>
        </w:rPr>
        <w:t xml:space="preserve"> to the right after 10 years compared to 5 years, which is expected</w:t>
      </w:r>
      <w:r w:rsidR="00AD01EA">
        <w:rPr>
          <w:bCs/>
        </w:rPr>
        <w:t xml:space="preserve"> given th</w:t>
      </w:r>
      <w:r w:rsidR="00EA682E">
        <w:rPr>
          <w:bCs/>
        </w:rPr>
        <w:t>at differences in productivity should become more apparent over time</w:t>
      </w:r>
      <w:r w:rsidR="00C23442">
        <w:rPr>
          <w:bCs/>
        </w:rPr>
        <w:t xml:space="preserve">. </w:t>
      </w:r>
      <w:r w:rsidR="00163A32">
        <w:rPr>
          <w:bCs/>
        </w:rPr>
        <w:t>Overall, the evidence of Table 2 shows that authors</w:t>
      </w:r>
      <w:r w:rsidR="006F1520">
        <w:rPr>
          <w:bCs/>
        </w:rPr>
        <w:t>’</w:t>
      </w:r>
      <w:r w:rsidR="00163A32">
        <w:rPr>
          <w:bCs/>
        </w:rPr>
        <w:t xml:space="preserve"> first affiliation is strongly related to </w:t>
      </w:r>
      <w:r w:rsidR="006F1520">
        <w:rPr>
          <w:bCs/>
        </w:rPr>
        <w:t xml:space="preserve">their </w:t>
      </w:r>
      <w:r w:rsidR="00163A32">
        <w:rPr>
          <w:bCs/>
        </w:rPr>
        <w:t xml:space="preserve">productivity, but there is much heterogeneity </w:t>
      </w:r>
      <w:r w:rsidR="00C23442">
        <w:rPr>
          <w:bCs/>
        </w:rPr>
        <w:t>in authors' productivity within a</w:t>
      </w:r>
      <w:r w:rsidR="00163A32">
        <w:rPr>
          <w:bCs/>
        </w:rPr>
        <w:t xml:space="preserve"> tier level</w:t>
      </w:r>
      <w:r w:rsidR="00495859">
        <w:rPr>
          <w:bCs/>
        </w:rPr>
        <w:t xml:space="preserve">, </w:t>
      </w:r>
      <w:r w:rsidR="00737040">
        <w:rPr>
          <w:bCs/>
        </w:rPr>
        <w:t>as well as</w:t>
      </w:r>
      <w:r w:rsidR="00495859">
        <w:rPr>
          <w:bCs/>
        </w:rPr>
        <w:t xml:space="preserve"> considerable overlap across tiers</w:t>
      </w:r>
      <w:r w:rsidR="00163A32">
        <w:rPr>
          <w:bCs/>
        </w:rPr>
        <w:t>.</w:t>
      </w:r>
    </w:p>
    <w:p w14:paraId="1ED00998" w14:textId="45728F44" w:rsidR="00650C75" w:rsidRDefault="00163A32" w:rsidP="00C23442">
      <w:pPr>
        <w:spacing w:line="408" w:lineRule="auto"/>
        <w:ind w:firstLine="720"/>
        <w:jc w:val="both"/>
        <w:rPr>
          <w:bCs/>
        </w:rPr>
      </w:pPr>
      <w:r>
        <w:rPr>
          <w:bCs/>
        </w:rPr>
        <w:t xml:space="preserve">  </w:t>
      </w:r>
    </w:p>
    <w:p w14:paraId="6A918251" w14:textId="53D09013" w:rsidR="00650C75" w:rsidRPr="007E184D" w:rsidRDefault="00650C75" w:rsidP="00E03256">
      <w:pPr>
        <w:spacing w:line="408" w:lineRule="auto"/>
        <w:ind w:firstLine="720"/>
        <w:jc w:val="both"/>
        <w:rPr>
          <w:b/>
        </w:rPr>
      </w:pPr>
      <w:r w:rsidRPr="007E184D">
        <w:rPr>
          <w:b/>
        </w:rPr>
        <w:t xml:space="preserve">3.2 </w:t>
      </w:r>
      <w:r w:rsidR="00D85B80">
        <w:rPr>
          <w:b/>
        </w:rPr>
        <w:t xml:space="preserve">Errors in first placement decisions </w:t>
      </w:r>
      <w:r w:rsidRPr="007E184D">
        <w:rPr>
          <w:b/>
        </w:rPr>
        <w:t xml:space="preserve"> </w:t>
      </w:r>
    </w:p>
    <w:p w14:paraId="066757E3" w14:textId="23E4D37C" w:rsidR="00516EEF" w:rsidRDefault="00516EEF" w:rsidP="001D3CE5">
      <w:pPr>
        <w:spacing w:line="408" w:lineRule="auto"/>
        <w:ind w:firstLine="720"/>
        <w:jc w:val="both"/>
        <w:rPr>
          <w:bCs/>
        </w:rPr>
      </w:pPr>
      <w:r>
        <w:rPr>
          <w:bCs/>
        </w:rPr>
        <w:t xml:space="preserve">Our next step is to better understand the </w:t>
      </w:r>
      <w:r w:rsidR="000D5E00">
        <w:rPr>
          <w:bCs/>
        </w:rPr>
        <w:t>academic</w:t>
      </w:r>
      <w:r w:rsidR="001C2F08">
        <w:rPr>
          <w:bCs/>
        </w:rPr>
        <w:t xml:space="preserve"> job </w:t>
      </w:r>
      <w:r w:rsidR="000D5E00">
        <w:rPr>
          <w:bCs/>
        </w:rPr>
        <w:t xml:space="preserve">market efficiency, in terms of </w:t>
      </w:r>
      <w:r w:rsidR="001C2F08">
        <w:rPr>
          <w:bCs/>
        </w:rPr>
        <w:t>placing r</w:t>
      </w:r>
      <w:r w:rsidR="000D5E00">
        <w:rPr>
          <w:bCs/>
        </w:rPr>
        <w:t xml:space="preserve">esearchers </w:t>
      </w:r>
      <w:r w:rsidR="00F90877">
        <w:rPr>
          <w:bCs/>
        </w:rPr>
        <w:t>in</w:t>
      </w:r>
      <w:r w:rsidR="000D5E00">
        <w:rPr>
          <w:bCs/>
        </w:rPr>
        <w:t xml:space="preserve"> the most fitting institutions. </w:t>
      </w:r>
      <w:r w:rsidR="00792E00">
        <w:rPr>
          <w:bCs/>
        </w:rPr>
        <w:t>Naturally</w:t>
      </w:r>
      <w:r>
        <w:rPr>
          <w:bCs/>
        </w:rPr>
        <w:t xml:space="preserve">, </w:t>
      </w:r>
      <w:r w:rsidR="00651834">
        <w:rPr>
          <w:bCs/>
        </w:rPr>
        <w:t>given the better career advancement potential</w:t>
      </w:r>
      <w:r w:rsidR="00651834" w:rsidDel="000D5E00">
        <w:rPr>
          <w:bCs/>
        </w:rPr>
        <w:t xml:space="preserve"> </w:t>
      </w:r>
      <w:r w:rsidR="00651834">
        <w:rPr>
          <w:bCs/>
        </w:rPr>
        <w:t xml:space="preserve">in top universities, </w:t>
      </w:r>
      <w:r>
        <w:rPr>
          <w:bCs/>
        </w:rPr>
        <w:t>researcher</w:t>
      </w:r>
      <w:r w:rsidR="00792E00">
        <w:rPr>
          <w:bCs/>
        </w:rPr>
        <w:t>s</w:t>
      </w:r>
      <w:r>
        <w:rPr>
          <w:bCs/>
        </w:rPr>
        <w:t xml:space="preserve"> would </w:t>
      </w:r>
      <w:r w:rsidR="004B16BD">
        <w:rPr>
          <w:bCs/>
        </w:rPr>
        <w:t xml:space="preserve">typically </w:t>
      </w:r>
      <w:r w:rsidR="000D5E00">
        <w:rPr>
          <w:bCs/>
        </w:rPr>
        <w:t>strive for employment</w:t>
      </w:r>
      <w:r>
        <w:rPr>
          <w:bCs/>
        </w:rPr>
        <w:t xml:space="preserve"> by </w:t>
      </w:r>
      <w:r w:rsidR="006159C3">
        <w:rPr>
          <w:bCs/>
        </w:rPr>
        <w:t>these institutions</w:t>
      </w:r>
      <w:r>
        <w:rPr>
          <w:bCs/>
        </w:rPr>
        <w:t xml:space="preserve">. Therefore, it is conceivable that the matching of PhD graduates to universities is mostly demand driven; </w:t>
      </w:r>
      <w:r w:rsidR="004B16BD">
        <w:rPr>
          <w:bCs/>
        </w:rPr>
        <w:t xml:space="preserve">i.e. </w:t>
      </w:r>
      <w:r>
        <w:rPr>
          <w:bCs/>
        </w:rPr>
        <w:t>the top-tier universities employ the researcher</w:t>
      </w:r>
      <w:r w:rsidR="00792E00">
        <w:rPr>
          <w:bCs/>
        </w:rPr>
        <w:t>s</w:t>
      </w:r>
      <w:r>
        <w:rPr>
          <w:bCs/>
        </w:rPr>
        <w:t xml:space="preserve"> which they perceive to be those that have the highest potential in research productivity, and the second-tier school researchers </w:t>
      </w:r>
      <w:r w:rsidR="00751471">
        <w:rPr>
          <w:bCs/>
        </w:rPr>
        <w:t xml:space="preserve">are </w:t>
      </w:r>
      <w:r>
        <w:rPr>
          <w:bCs/>
        </w:rPr>
        <w:t>hire</w:t>
      </w:r>
      <w:r w:rsidR="00751471">
        <w:rPr>
          <w:bCs/>
        </w:rPr>
        <w:t>d</w:t>
      </w:r>
      <w:r>
        <w:rPr>
          <w:bCs/>
        </w:rPr>
        <w:t xml:space="preserve"> </w:t>
      </w:r>
      <w:r w:rsidR="006159C3">
        <w:rPr>
          <w:bCs/>
        </w:rPr>
        <w:t xml:space="preserve">from </w:t>
      </w:r>
      <w:r>
        <w:rPr>
          <w:bCs/>
        </w:rPr>
        <w:t xml:space="preserve">candidates that were not picked by the top-tier schools. </w:t>
      </w:r>
      <w:r w:rsidR="006159C3">
        <w:rPr>
          <w:bCs/>
        </w:rPr>
        <w:t xml:space="preserve">Obviously, </w:t>
      </w:r>
      <w:r w:rsidR="000F07B4">
        <w:rPr>
          <w:bCs/>
        </w:rPr>
        <w:t xml:space="preserve">hiring </w:t>
      </w:r>
      <w:r w:rsidR="006159C3">
        <w:rPr>
          <w:bCs/>
        </w:rPr>
        <w:t xml:space="preserve">institutions </w:t>
      </w:r>
      <w:r w:rsidR="004B16BD">
        <w:rPr>
          <w:bCs/>
        </w:rPr>
        <w:t xml:space="preserve">cannot </w:t>
      </w:r>
      <w:r w:rsidR="006159C3">
        <w:rPr>
          <w:bCs/>
        </w:rPr>
        <w:t>fully</w:t>
      </w:r>
      <w:r>
        <w:rPr>
          <w:bCs/>
        </w:rPr>
        <w:t xml:space="preserve"> predict the productivity of an individual, so some researchers</w:t>
      </w:r>
      <w:r w:rsidR="006159C3">
        <w:rPr>
          <w:bCs/>
        </w:rPr>
        <w:t xml:space="preserve"> may not be </w:t>
      </w:r>
      <w:r w:rsidR="004B16BD">
        <w:rPr>
          <w:bCs/>
        </w:rPr>
        <w:t xml:space="preserve">hired </w:t>
      </w:r>
      <w:r w:rsidR="006159C3">
        <w:rPr>
          <w:bCs/>
        </w:rPr>
        <w:t xml:space="preserve">by top universities </w:t>
      </w:r>
      <w:r>
        <w:rPr>
          <w:bCs/>
        </w:rPr>
        <w:t xml:space="preserve">even though they </w:t>
      </w:r>
      <w:r w:rsidR="006159C3">
        <w:rPr>
          <w:bCs/>
        </w:rPr>
        <w:t>eventually turn out to be highly productive</w:t>
      </w:r>
      <w:r>
        <w:rPr>
          <w:bCs/>
        </w:rPr>
        <w:t xml:space="preserve"> (</w:t>
      </w:r>
      <w:r w:rsidR="00C8147F">
        <w:rPr>
          <w:bCs/>
        </w:rPr>
        <w:t xml:space="preserve">which we define </w:t>
      </w:r>
      <w:r>
        <w:rPr>
          <w:bCs/>
        </w:rPr>
        <w:t>a</w:t>
      </w:r>
      <w:r w:rsidR="001D3CE5">
        <w:rPr>
          <w:bCs/>
        </w:rPr>
        <w:t>s a</w:t>
      </w:r>
      <w:r>
        <w:rPr>
          <w:bCs/>
        </w:rPr>
        <w:t xml:space="preserve"> type 1 error</w:t>
      </w:r>
      <w:r w:rsidR="004B16BD">
        <w:rPr>
          <w:bCs/>
        </w:rPr>
        <w:t xml:space="preserve">); </w:t>
      </w:r>
      <w:r>
        <w:rPr>
          <w:bCs/>
        </w:rPr>
        <w:t xml:space="preserve">and some researchers </w:t>
      </w:r>
      <w:r w:rsidR="006159C3">
        <w:rPr>
          <w:bCs/>
        </w:rPr>
        <w:t xml:space="preserve">may be hired by </w:t>
      </w:r>
      <w:r>
        <w:rPr>
          <w:bCs/>
        </w:rPr>
        <w:t>a top-tier university</w:t>
      </w:r>
      <w:r w:rsidR="006159C3">
        <w:rPr>
          <w:bCs/>
        </w:rPr>
        <w:t xml:space="preserve"> even though they end up showing low productivity levels</w:t>
      </w:r>
      <w:r>
        <w:rPr>
          <w:bCs/>
        </w:rPr>
        <w:t xml:space="preserve"> (which we define a</w:t>
      </w:r>
      <w:r w:rsidR="001D3CE5">
        <w:rPr>
          <w:bCs/>
        </w:rPr>
        <w:t>s</w:t>
      </w:r>
      <w:r>
        <w:rPr>
          <w:bCs/>
        </w:rPr>
        <w:t xml:space="preserve"> </w:t>
      </w:r>
      <w:r w:rsidR="001D3CE5">
        <w:rPr>
          <w:bCs/>
        </w:rPr>
        <w:t xml:space="preserve">a </w:t>
      </w:r>
      <w:r>
        <w:rPr>
          <w:bCs/>
        </w:rPr>
        <w:t xml:space="preserve">type </w:t>
      </w:r>
      <w:r w:rsidR="00C8147F">
        <w:rPr>
          <w:bCs/>
        </w:rPr>
        <w:t>2</w:t>
      </w:r>
      <w:r>
        <w:rPr>
          <w:bCs/>
        </w:rPr>
        <w:t xml:space="preserve"> error). In this section, we analyze </w:t>
      </w:r>
      <w:r w:rsidR="00792E00">
        <w:rPr>
          <w:bCs/>
        </w:rPr>
        <w:t>the</w:t>
      </w:r>
      <w:r>
        <w:rPr>
          <w:bCs/>
        </w:rPr>
        <w:t xml:space="preserve"> prevalen</w:t>
      </w:r>
      <w:r w:rsidR="00792E00">
        <w:rPr>
          <w:bCs/>
        </w:rPr>
        <w:t xml:space="preserve">ce of </w:t>
      </w:r>
      <w:r w:rsidR="000F07B4">
        <w:rPr>
          <w:bCs/>
        </w:rPr>
        <w:t xml:space="preserve">both types of </w:t>
      </w:r>
      <w:r w:rsidR="00C8147F">
        <w:rPr>
          <w:bCs/>
        </w:rPr>
        <w:t>errors</w:t>
      </w:r>
      <w:r>
        <w:rPr>
          <w:bCs/>
        </w:rPr>
        <w:t>.</w:t>
      </w:r>
    </w:p>
    <w:p w14:paraId="7A425524" w14:textId="451ED196" w:rsidR="00016FDC" w:rsidRDefault="00C8147F" w:rsidP="00862781">
      <w:pPr>
        <w:spacing w:line="408" w:lineRule="auto"/>
        <w:ind w:firstLine="720"/>
        <w:jc w:val="both"/>
        <w:rPr>
          <w:bCs/>
        </w:rPr>
      </w:pPr>
      <w:r>
        <w:rPr>
          <w:bCs/>
        </w:rPr>
        <w:t xml:space="preserve">Table 3 </w:t>
      </w:r>
      <w:r w:rsidR="000F07B4">
        <w:rPr>
          <w:bCs/>
        </w:rPr>
        <w:t>provides</w:t>
      </w:r>
      <w:r w:rsidR="00F90877">
        <w:rPr>
          <w:bCs/>
        </w:rPr>
        <w:t xml:space="preserve"> </w:t>
      </w:r>
      <w:r w:rsidR="006159C3">
        <w:rPr>
          <w:bCs/>
        </w:rPr>
        <w:t>our</w:t>
      </w:r>
      <w:r>
        <w:rPr>
          <w:bCs/>
        </w:rPr>
        <w:t xml:space="preserve"> </w:t>
      </w:r>
      <w:r w:rsidR="006159C3">
        <w:rPr>
          <w:bCs/>
        </w:rPr>
        <w:t xml:space="preserve">quantification of </w:t>
      </w:r>
      <w:r>
        <w:rPr>
          <w:bCs/>
        </w:rPr>
        <w:t xml:space="preserve">misplaced </w:t>
      </w:r>
      <w:r w:rsidR="00E37E77">
        <w:rPr>
          <w:bCs/>
        </w:rPr>
        <w:t>authors</w:t>
      </w:r>
      <w:r>
        <w:rPr>
          <w:bCs/>
        </w:rPr>
        <w:t xml:space="preserve"> based on their accumulated productivity after 5 years (Panel A) and 10 year</w:t>
      </w:r>
      <w:r w:rsidR="00F90877">
        <w:rPr>
          <w:bCs/>
        </w:rPr>
        <w:t>s</w:t>
      </w:r>
      <w:r>
        <w:rPr>
          <w:bCs/>
        </w:rPr>
        <w:t xml:space="preserve"> (Panel B). We start by quantifying the percentage of researchers whose first affiliation is a second-tier university, </w:t>
      </w:r>
      <w:r w:rsidR="00D66D50">
        <w:rPr>
          <w:bCs/>
        </w:rPr>
        <w:t>al</w:t>
      </w:r>
      <w:r>
        <w:rPr>
          <w:bCs/>
        </w:rPr>
        <w:t xml:space="preserve">though their </w:t>
      </w:r>
      <w:r w:rsidR="00D66D50">
        <w:rPr>
          <w:bCs/>
        </w:rPr>
        <w:t xml:space="preserve">realized </w:t>
      </w:r>
      <w:r>
        <w:rPr>
          <w:bCs/>
        </w:rPr>
        <w:t xml:space="preserve">productivity </w:t>
      </w:r>
      <w:r w:rsidR="00E37E77">
        <w:rPr>
          <w:bCs/>
        </w:rPr>
        <w:t xml:space="preserve">after </w:t>
      </w:r>
      <w:r w:rsidR="00E37E77">
        <w:rPr>
          <w:bCs/>
        </w:rPr>
        <w:lastRenderedPageBreak/>
        <w:t xml:space="preserve">5 years </w:t>
      </w:r>
      <w:r>
        <w:rPr>
          <w:bCs/>
        </w:rPr>
        <w:t xml:space="preserve">warrants a first-tier placement. </w:t>
      </w:r>
      <w:r w:rsidR="001C2F08">
        <w:rPr>
          <w:bCs/>
        </w:rPr>
        <w:t xml:space="preserve">Because there is a total of </w:t>
      </w:r>
      <w:r w:rsidR="001C2F08" w:rsidRPr="006A14C9">
        <w:rPr>
          <w:bCs/>
        </w:rPr>
        <w:t>1572 authors</w:t>
      </w:r>
      <w:r w:rsidR="001C2F08">
        <w:rPr>
          <w:bCs/>
        </w:rPr>
        <w:t xml:space="preserve"> in </w:t>
      </w:r>
      <w:r w:rsidR="00751471">
        <w:rPr>
          <w:bCs/>
        </w:rPr>
        <w:t xml:space="preserve">Sample </w:t>
      </w:r>
      <w:r w:rsidR="001C2F08">
        <w:rPr>
          <w:bCs/>
        </w:rPr>
        <w:t>1, from which 921 authors have their first affiliation in a top-tier university, perfect placement efficiency would mean that the 921 most productive authors are hired by a top-tier university employer.</w:t>
      </w:r>
      <w:r w:rsidR="00751471">
        <w:rPr>
          <w:rStyle w:val="FootnoteReference"/>
          <w:bCs/>
        </w:rPr>
        <w:footnoteReference w:id="11"/>
      </w:r>
      <w:r w:rsidR="001C2F08">
        <w:rPr>
          <w:bCs/>
        </w:rPr>
        <w:t xml:space="preserve"> </w:t>
      </w:r>
      <w:r w:rsidR="00F90877">
        <w:rPr>
          <w:bCs/>
        </w:rPr>
        <w:t>In the table, c</w:t>
      </w:r>
      <w:r>
        <w:rPr>
          <w:bCs/>
        </w:rPr>
        <w:t>olumn (1) list</w:t>
      </w:r>
      <w:r w:rsidR="00E37E77">
        <w:rPr>
          <w:bCs/>
        </w:rPr>
        <w:t>s</w:t>
      </w:r>
      <w:r>
        <w:rPr>
          <w:bCs/>
        </w:rPr>
        <w:t xml:space="preserve"> the accumulated number of authors whose productivity is </w:t>
      </w:r>
      <w:r w:rsidR="00993DC3">
        <w:rPr>
          <w:bCs/>
        </w:rPr>
        <w:t xml:space="preserve">at least (i.e. </w:t>
      </w:r>
      <w:r>
        <w:rPr>
          <w:bCs/>
        </w:rPr>
        <w:t xml:space="preserve">greater </w:t>
      </w:r>
      <w:r w:rsidR="00AA4207">
        <w:rPr>
          <w:bCs/>
        </w:rPr>
        <w:t xml:space="preserve">than </w:t>
      </w:r>
      <w:r>
        <w:rPr>
          <w:bCs/>
        </w:rPr>
        <w:t>or equal to</w:t>
      </w:r>
      <w:r w:rsidR="00993DC3">
        <w:rPr>
          <w:bCs/>
        </w:rPr>
        <w:t>)</w:t>
      </w:r>
      <w:r>
        <w:rPr>
          <w:bCs/>
        </w:rPr>
        <w:t xml:space="preserve"> the </w:t>
      </w:r>
      <w:r w:rsidR="006A14C9">
        <w:rPr>
          <w:bCs/>
        </w:rPr>
        <w:t>number</w:t>
      </w:r>
      <w:r>
        <w:rPr>
          <w:bCs/>
        </w:rPr>
        <w:t xml:space="preserve"> </w:t>
      </w:r>
      <w:r w:rsidR="000F07B4">
        <w:rPr>
          <w:bCs/>
        </w:rPr>
        <w:t xml:space="preserve">shown </w:t>
      </w:r>
      <w:r w:rsidR="00E37E77">
        <w:rPr>
          <w:bCs/>
        </w:rPr>
        <w:t>in</w:t>
      </w:r>
      <w:r>
        <w:rPr>
          <w:bCs/>
        </w:rPr>
        <w:t xml:space="preserve"> column</w:t>
      </w:r>
      <w:r w:rsidR="00E37E77">
        <w:rPr>
          <w:bCs/>
        </w:rPr>
        <w:t xml:space="preserve"> (0)</w:t>
      </w:r>
      <w:r>
        <w:rPr>
          <w:bCs/>
        </w:rPr>
        <w:t xml:space="preserve">. For example, </w:t>
      </w:r>
      <w:r w:rsidR="00A578D7">
        <w:rPr>
          <w:bCs/>
        </w:rPr>
        <w:t>data about the</w:t>
      </w:r>
      <w:r w:rsidR="000F07B4">
        <w:rPr>
          <w:bCs/>
        </w:rPr>
        <w:t xml:space="preserve"> number of authors with </w:t>
      </w:r>
      <w:r w:rsidR="00A578D7">
        <w:rPr>
          <w:bCs/>
        </w:rPr>
        <w:t xml:space="preserve">at least </w:t>
      </w:r>
      <w:r w:rsidR="000F07B4">
        <w:rPr>
          <w:bCs/>
        </w:rPr>
        <w:t xml:space="preserve">3 </w:t>
      </w:r>
      <w:r w:rsidR="00A578D7">
        <w:rPr>
          <w:bCs/>
        </w:rPr>
        <w:t xml:space="preserve">A </w:t>
      </w:r>
      <w:r w:rsidR="000F07B4">
        <w:rPr>
          <w:bCs/>
        </w:rPr>
        <w:t>publications (</w:t>
      </w:r>
      <w:r w:rsidR="00A578D7">
        <w:rPr>
          <w:bCs/>
        </w:rPr>
        <w:t xml:space="preserve">i.e., the row that has </w:t>
      </w:r>
      <w:r w:rsidR="006A14C9">
        <w:rPr>
          <w:bCs/>
        </w:rPr>
        <w:t>3 in column 0</w:t>
      </w:r>
      <w:r w:rsidR="00A578D7">
        <w:rPr>
          <w:bCs/>
        </w:rPr>
        <w:t>)</w:t>
      </w:r>
      <w:r w:rsidR="006A14C9">
        <w:rPr>
          <w:bCs/>
        </w:rPr>
        <w:t xml:space="preserve">, </w:t>
      </w:r>
      <w:r w:rsidR="00A578D7">
        <w:rPr>
          <w:bCs/>
        </w:rPr>
        <w:t>shows us</w:t>
      </w:r>
      <w:r w:rsidR="006A14C9">
        <w:rPr>
          <w:bCs/>
        </w:rPr>
        <w:t xml:space="preserve"> that </w:t>
      </w:r>
      <w:r>
        <w:rPr>
          <w:bCs/>
        </w:rPr>
        <w:t xml:space="preserve">there are 369 authors in </w:t>
      </w:r>
      <w:r w:rsidR="006A061A">
        <w:rPr>
          <w:bCs/>
        </w:rPr>
        <w:t xml:space="preserve">Sample </w:t>
      </w:r>
      <w:r>
        <w:rPr>
          <w:bCs/>
        </w:rPr>
        <w:t>1</w:t>
      </w:r>
      <w:r w:rsidR="00A578D7">
        <w:rPr>
          <w:bCs/>
        </w:rPr>
        <w:t xml:space="preserve"> (column 1 of that row)</w:t>
      </w:r>
      <w:r>
        <w:rPr>
          <w:bCs/>
        </w:rPr>
        <w:t xml:space="preserve"> </w:t>
      </w:r>
      <w:r w:rsidR="00993DC3">
        <w:rPr>
          <w:bCs/>
        </w:rPr>
        <w:t>with such accomplishments</w:t>
      </w:r>
      <w:r>
        <w:rPr>
          <w:bCs/>
        </w:rPr>
        <w:t xml:space="preserve"> by </w:t>
      </w:r>
      <w:r w:rsidR="00E37E77">
        <w:rPr>
          <w:bCs/>
        </w:rPr>
        <w:t xml:space="preserve">the end of </w:t>
      </w:r>
      <w:r w:rsidR="00AA4207">
        <w:rPr>
          <w:bCs/>
        </w:rPr>
        <w:t>their 5</w:t>
      </w:r>
      <w:r w:rsidR="006A14C9">
        <w:rPr>
          <w:bCs/>
        </w:rPr>
        <w:t>th</w:t>
      </w:r>
      <w:r w:rsidR="00AA4207">
        <w:rPr>
          <w:bCs/>
        </w:rPr>
        <w:t xml:space="preserve"> </w:t>
      </w:r>
      <w:r>
        <w:rPr>
          <w:bCs/>
        </w:rPr>
        <w:t xml:space="preserve">year </w:t>
      </w:r>
      <w:r w:rsidR="00AA4207">
        <w:rPr>
          <w:bCs/>
        </w:rPr>
        <w:t>mark</w:t>
      </w:r>
      <w:r>
        <w:rPr>
          <w:bCs/>
        </w:rPr>
        <w:t xml:space="preserve">. </w:t>
      </w:r>
      <w:r w:rsidR="00515F3E">
        <w:rPr>
          <w:bCs/>
        </w:rPr>
        <w:t xml:space="preserve">When looking for a productivity level </w:t>
      </w:r>
      <w:r w:rsidR="00BA7312">
        <w:rPr>
          <w:bCs/>
        </w:rPr>
        <w:t>of</w:t>
      </w:r>
      <w:r w:rsidR="00515F3E">
        <w:rPr>
          <w:bCs/>
        </w:rPr>
        <w:t xml:space="preserve"> the 921 most productive researchers, w</w:t>
      </w:r>
      <w:r>
        <w:rPr>
          <w:bCs/>
        </w:rPr>
        <w:t xml:space="preserve">e </w:t>
      </w:r>
      <w:r w:rsidR="00515F3E">
        <w:rPr>
          <w:bCs/>
        </w:rPr>
        <w:t>find</w:t>
      </w:r>
      <w:r>
        <w:rPr>
          <w:bCs/>
        </w:rPr>
        <w:t xml:space="preserve"> </w:t>
      </w:r>
      <w:r w:rsidR="004B16BD">
        <w:rPr>
          <w:bCs/>
        </w:rPr>
        <w:t>(</w:t>
      </w:r>
      <w:r w:rsidR="00515F3E">
        <w:rPr>
          <w:bCs/>
        </w:rPr>
        <w:t xml:space="preserve">from </w:t>
      </w:r>
      <w:r>
        <w:rPr>
          <w:bCs/>
        </w:rPr>
        <w:t>column 1) that the closest (</w:t>
      </w:r>
      <w:r w:rsidR="00E37E77">
        <w:rPr>
          <w:bCs/>
        </w:rPr>
        <w:t>but still</w:t>
      </w:r>
      <w:r>
        <w:rPr>
          <w:bCs/>
        </w:rPr>
        <w:t xml:space="preserve"> smaller) number </w:t>
      </w:r>
      <w:r w:rsidR="00E37E77">
        <w:rPr>
          <w:bCs/>
        </w:rPr>
        <w:t>compared to</w:t>
      </w:r>
      <w:r>
        <w:rPr>
          <w:bCs/>
        </w:rPr>
        <w:t xml:space="preserve"> 921 is 654, which corresponds to </w:t>
      </w:r>
      <w:r w:rsidR="00E37E77">
        <w:rPr>
          <w:bCs/>
        </w:rPr>
        <w:t>a</w:t>
      </w:r>
      <w:r>
        <w:rPr>
          <w:bCs/>
        </w:rPr>
        <w:t xml:space="preserve"> productivity of </w:t>
      </w:r>
      <w:r w:rsidR="00515F3E">
        <w:rPr>
          <w:bCs/>
        </w:rPr>
        <w:t xml:space="preserve">at least </w:t>
      </w:r>
      <w:r>
        <w:rPr>
          <w:bCs/>
        </w:rPr>
        <w:t xml:space="preserve">2 A articles. Thus, we </w:t>
      </w:r>
      <w:r w:rsidR="00E37E77">
        <w:rPr>
          <w:bCs/>
        </w:rPr>
        <w:t>can conclude</w:t>
      </w:r>
      <w:r>
        <w:rPr>
          <w:bCs/>
        </w:rPr>
        <w:t xml:space="preserve"> that </w:t>
      </w:r>
      <w:r w:rsidR="006F4308">
        <w:rPr>
          <w:bCs/>
        </w:rPr>
        <w:t xml:space="preserve">under an efficient placement market, </w:t>
      </w:r>
      <w:r>
        <w:rPr>
          <w:bCs/>
        </w:rPr>
        <w:t xml:space="preserve">authors who </w:t>
      </w:r>
      <w:r w:rsidR="006F4308">
        <w:rPr>
          <w:bCs/>
        </w:rPr>
        <w:t xml:space="preserve">ended up </w:t>
      </w:r>
      <w:r w:rsidR="00515F3E">
        <w:rPr>
          <w:bCs/>
        </w:rPr>
        <w:t>publishing</w:t>
      </w:r>
      <w:r w:rsidR="006F4308">
        <w:rPr>
          <w:bCs/>
        </w:rPr>
        <w:t xml:space="preserve"> </w:t>
      </w:r>
      <w:r>
        <w:rPr>
          <w:bCs/>
        </w:rPr>
        <w:t xml:space="preserve">2 A </w:t>
      </w:r>
      <w:r w:rsidR="00E37E77">
        <w:rPr>
          <w:bCs/>
        </w:rPr>
        <w:t xml:space="preserve">articles </w:t>
      </w:r>
      <w:r>
        <w:rPr>
          <w:bCs/>
        </w:rPr>
        <w:t xml:space="preserve">or </w:t>
      </w:r>
      <w:r w:rsidR="006F4308">
        <w:rPr>
          <w:bCs/>
        </w:rPr>
        <w:t xml:space="preserve">more within 5 years, </w:t>
      </w:r>
      <w:r>
        <w:rPr>
          <w:bCs/>
        </w:rPr>
        <w:t xml:space="preserve">should have been </w:t>
      </w:r>
      <w:r w:rsidR="006F4308">
        <w:rPr>
          <w:bCs/>
        </w:rPr>
        <w:t>affiliated with a</w:t>
      </w:r>
      <w:r>
        <w:rPr>
          <w:bCs/>
        </w:rPr>
        <w:t xml:space="preserve"> top-tier universit</w:t>
      </w:r>
      <w:r w:rsidR="00E37E77">
        <w:rPr>
          <w:bCs/>
        </w:rPr>
        <w:t>y</w:t>
      </w:r>
      <w:r>
        <w:rPr>
          <w:bCs/>
        </w:rPr>
        <w:t xml:space="preserve">. </w:t>
      </w:r>
      <w:r w:rsidR="00E37E77">
        <w:rPr>
          <w:bCs/>
        </w:rPr>
        <w:t xml:space="preserve">Column (2) provides the number of authors whose first affiliation is in second-tier university, and who achieve a higher or equal productivity than the number of articles that appears in column (0). For example, </w:t>
      </w:r>
      <w:r w:rsidR="00016FDC">
        <w:rPr>
          <w:bCs/>
        </w:rPr>
        <w:t xml:space="preserve">14 authors published 5 or more A articles, and that </w:t>
      </w:r>
      <w:r w:rsidR="00EE6E9E">
        <w:rPr>
          <w:bCs/>
        </w:rPr>
        <w:t xml:space="preserve">amounts </w:t>
      </w:r>
      <w:r w:rsidR="00016FDC">
        <w:rPr>
          <w:bCs/>
        </w:rPr>
        <w:t xml:space="preserve">to 13.5% of </w:t>
      </w:r>
      <w:r w:rsidR="005B4FB0">
        <w:rPr>
          <w:bCs/>
        </w:rPr>
        <w:t>the 118 a</w:t>
      </w:r>
      <w:r w:rsidR="00016FDC">
        <w:rPr>
          <w:bCs/>
        </w:rPr>
        <w:t>uthors</w:t>
      </w:r>
      <w:r w:rsidR="005B4FB0">
        <w:rPr>
          <w:bCs/>
        </w:rPr>
        <w:t xml:space="preserve"> </w:t>
      </w:r>
      <w:r w:rsidR="00016FDC">
        <w:rPr>
          <w:bCs/>
        </w:rPr>
        <w:t>in the sample</w:t>
      </w:r>
      <w:r w:rsidR="005B4FB0">
        <w:rPr>
          <w:bCs/>
        </w:rPr>
        <w:t xml:space="preserve"> that have such a productivity record</w:t>
      </w:r>
      <w:r w:rsidR="00016FDC">
        <w:rPr>
          <w:bCs/>
        </w:rPr>
        <w:t xml:space="preserve"> (</w:t>
      </w:r>
      <w:r w:rsidR="005B4FB0">
        <w:rPr>
          <w:bCs/>
        </w:rPr>
        <w:t>14 second tier authors and 104 first tier authors</w:t>
      </w:r>
      <w:r w:rsidR="00EE6E9E">
        <w:rPr>
          <w:bCs/>
        </w:rPr>
        <w:t>), or</w:t>
      </w:r>
      <w:r w:rsidR="005B4FB0">
        <w:rPr>
          <w:bCs/>
        </w:rPr>
        <w:t xml:space="preserve"> </w:t>
      </w:r>
      <w:r w:rsidR="00016FDC">
        <w:rPr>
          <w:bCs/>
        </w:rPr>
        <w:t xml:space="preserve">about 1 in 7.5 authors. </w:t>
      </w:r>
      <w:r w:rsidR="00EE6E9E">
        <w:rPr>
          <w:bCs/>
        </w:rPr>
        <w:t>Using this information</w:t>
      </w:r>
      <w:r w:rsidR="00016FDC">
        <w:rPr>
          <w:bCs/>
        </w:rPr>
        <w:t>,</w:t>
      </w:r>
      <w:r w:rsidR="007767DE">
        <w:rPr>
          <w:bCs/>
        </w:rPr>
        <w:t xml:space="preserve"> </w:t>
      </w:r>
      <w:r w:rsidR="00E91BA8">
        <w:rPr>
          <w:bCs/>
        </w:rPr>
        <w:t>we</w:t>
      </w:r>
      <w:r w:rsidR="007767DE">
        <w:rPr>
          <w:bCs/>
        </w:rPr>
        <w:t xml:space="preserve"> see that</w:t>
      </w:r>
      <w:r w:rsidR="00016FDC">
        <w:rPr>
          <w:bCs/>
        </w:rPr>
        <w:t xml:space="preserve"> 182 authors</w:t>
      </w:r>
      <w:r w:rsidR="00E37E77">
        <w:rPr>
          <w:bCs/>
        </w:rPr>
        <w:t xml:space="preserve"> </w:t>
      </w:r>
      <w:r w:rsidR="00016FDC">
        <w:rPr>
          <w:bCs/>
        </w:rPr>
        <w:t xml:space="preserve">whose first affiliation is a second-tier university </w:t>
      </w:r>
      <w:r w:rsidR="007767DE">
        <w:rPr>
          <w:bCs/>
        </w:rPr>
        <w:t xml:space="preserve">were successful in reaching the estimated top tier benchmark, of </w:t>
      </w:r>
      <w:r w:rsidR="00016FDC">
        <w:rPr>
          <w:bCs/>
        </w:rPr>
        <w:t xml:space="preserve">2 or more A </w:t>
      </w:r>
      <w:r w:rsidR="00C24EA7">
        <w:rPr>
          <w:bCs/>
        </w:rPr>
        <w:t>articles</w:t>
      </w:r>
      <w:r w:rsidR="007767DE">
        <w:rPr>
          <w:bCs/>
        </w:rPr>
        <w:t xml:space="preserve">. This </w:t>
      </w:r>
      <w:r w:rsidR="00016FDC">
        <w:rPr>
          <w:bCs/>
        </w:rPr>
        <w:t xml:space="preserve">corresponds to 27.8% of </w:t>
      </w:r>
      <w:r w:rsidR="007767DE">
        <w:rPr>
          <w:bCs/>
        </w:rPr>
        <w:t xml:space="preserve">the second-tier affiliated </w:t>
      </w:r>
      <w:r w:rsidR="00016FDC">
        <w:rPr>
          <w:bCs/>
        </w:rPr>
        <w:t xml:space="preserve">authors </w:t>
      </w:r>
      <w:r w:rsidR="00EE6E9E">
        <w:rPr>
          <w:bCs/>
        </w:rPr>
        <w:t xml:space="preserve">of </w:t>
      </w:r>
      <w:r w:rsidR="00016FDC">
        <w:rPr>
          <w:bCs/>
        </w:rPr>
        <w:t>the sample</w:t>
      </w:r>
      <w:r w:rsidR="007767DE">
        <w:rPr>
          <w:bCs/>
        </w:rPr>
        <w:t xml:space="preserve"> </w:t>
      </w:r>
      <w:r w:rsidR="00016FDC">
        <w:rPr>
          <w:bCs/>
        </w:rPr>
        <w:t xml:space="preserve">(i.e., </w:t>
      </w:r>
      <w:r w:rsidR="006A061A">
        <w:rPr>
          <w:bCs/>
        </w:rPr>
        <w:t xml:space="preserve">approximately </w:t>
      </w:r>
      <w:r w:rsidR="00016FDC">
        <w:rPr>
          <w:bCs/>
        </w:rPr>
        <w:t xml:space="preserve">1 in every 3 authors). </w:t>
      </w:r>
      <w:r w:rsidR="00193BD2">
        <w:rPr>
          <w:bCs/>
        </w:rPr>
        <w:t>Note</w:t>
      </w:r>
      <w:r w:rsidR="00993DC3">
        <w:rPr>
          <w:bCs/>
        </w:rPr>
        <w:t>,</w:t>
      </w:r>
      <w:r w:rsidR="00193BD2">
        <w:rPr>
          <w:bCs/>
        </w:rPr>
        <w:t xml:space="preserve"> however</w:t>
      </w:r>
      <w:r w:rsidR="00993DC3">
        <w:rPr>
          <w:bCs/>
        </w:rPr>
        <w:t>,</w:t>
      </w:r>
      <w:r w:rsidR="00193BD2">
        <w:rPr>
          <w:bCs/>
        </w:rPr>
        <w:t xml:space="preserve"> that this calculation does not consider the </w:t>
      </w:r>
      <w:r w:rsidR="00993DC3">
        <w:rPr>
          <w:bCs/>
        </w:rPr>
        <w:t xml:space="preserve">number </w:t>
      </w:r>
      <w:r w:rsidR="00193BD2">
        <w:rPr>
          <w:bCs/>
        </w:rPr>
        <w:t xml:space="preserve">of top-tier and second-tier affiliates. For example, if the sample included a much larger </w:t>
      </w:r>
      <w:r w:rsidR="00993DC3">
        <w:rPr>
          <w:bCs/>
        </w:rPr>
        <w:t xml:space="preserve">number </w:t>
      </w:r>
      <w:r w:rsidR="00193BD2">
        <w:rPr>
          <w:bCs/>
        </w:rPr>
        <w:t xml:space="preserve">of second-tier authors compared to top-tier, then </w:t>
      </w:r>
      <w:r w:rsidR="0057505B">
        <w:rPr>
          <w:bCs/>
        </w:rPr>
        <w:t xml:space="preserve">having 27.8% of </w:t>
      </w:r>
      <w:r w:rsidR="004B16BD">
        <w:rPr>
          <w:bCs/>
        </w:rPr>
        <w:t xml:space="preserve">the </w:t>
      </w:r>
      <w:r w:rsidR="0057505B">
        <w:rPr>
          <w:bCs/>
        </w:rPr>
        <w:t xml:space="preserve">high-quality authors in second-tier may not seem like a big mistake. Therefore, </w:t>
      </w:r>
      <w:r w:rsidR="00016FDC">
        <w:rPr>
          <w:bCs/>
        </w:rPr>
        <w:t xml:space="preserve">to </w:t>
      </w:r>
      <w:r w:rsidR="00EA0E5A">
        <w:rPr>
          <w:bCs/>
        </w:rPr>
        <w:t xml:space="preserve">better assess </w:t>
      </w:r>
      <w:r w:rsidR="00BC18B1">
        <w:rPr>
          <w:bCs/>
        </w:rPr>
        <w:t xml:space="preserve">the prevalence of </w:t>
      </w:r>
      <w:r w:rsidR="006A061A">
        <w:rPr>
          <w:bCs/>
        </w:rPr>
        <w:t xml:space="preserve">misplacement, </w:t>
      </w:r>
      <w:r w:rsidR="00016FDC">
        <w:rPr>
          <w:bCs/>
        </w:rPr>
        <w:t xml:space="preserve">type 1 error </w:t>
      </w:r>
      <w:r w:rsidR="006A061A">
        <w:rPr>
          <w:bCs/>
        </w:rPr>
        <w:t xml:space="preserve">is defined as </w:t>
      </w:r>
      <w:r w:rsidR="00016FDC">
        <w:rPr>
          <w:bCs/>
        </w:rPr>
        <w:t xml:space="preserve">the number of authors whose first placement warrants a first-tier </w:t>
      </w:r>
      <w:r w:rsidR="00C24EA7">
        <w:rPr>
          <w:bCs/>
        </w:rPr>
        <w:t>affiliation</w:t>
      </w:r>
      <w:r w:rsidR="00016FDC">
        <w:rPr>
          <w:bCs/>
        </w:rPr>
        <w:t xml:space="preserve"> as a percentage of the total number of authors whose first </w:t>
      </w:r>
      <w:r w:rsidR="00C24EA7">
        <w:rPr>
          <w:bCs/>
        </w:rPr>
        <w:t>affiliation</w:t>
      </w:r>
      <w:r w:rsidR="00016FDC">
        <w:rPr>
          <w:bCs/>
        </w:rPr>
        <w:t xml:space="preserve"> is second-tier</w:t>
      </w:r>
      <w:r w:rsidR="00A627B7">
        <w:rPr>
          <w:bCs/>
        </w:rPr>
        <w:t xml:space="preserve">. This results in an </w:t>
      </w:r>
      <w:r w:rsidR="00A627B7">
        <w:rPr>
          <w:bCs/>
        </w:rPr>
        <w:lastRenderedPageBreak/>
        <w:t>estimate of</w:t>
      </w:r>
      <w:r w:rsidR="00016FDC">
        <w:rPr>
          <w:bCs/>
        </w:rPr>
        <w:t xml:space="preserve"> 28% (but note that this is a lower bound estimate, given the discreetness of the distribution of the accumulated number of publications).</w:t>
      </w:r>
    </w:p>
    <w:p w14:paraId="52ADD2C4" w14:textId="117868A2" w:rsidR="00DB07EA" w:rsidRDefault="00016FDC" w:rsidP="00A627B7">
      <w:pPr>
        <w:spacing w:line="408" w:lineRule="auto"/>
        <w:ind w:firstLine="720"/>
        <w:jc w:val="both"/>
        <w:rPr>
          <w:bCs/>
        </w:rPr>
      </w:pPr>
      <w:r>
        <w:rPr>
          <w:bCs/>
        </w:rPr>
        <w:t xml:space="preserve">We next move to quantify type 2 errors. Type 2 errors </w:t>
      </w:r>
      <w:r w:rsidR="00EE6E9E">
        <w:rPr>
          <w:bCs/>
        </w:rPr>
        <w:t>occur when an</w:t>
      </w:r>
      <w:r w:rsidR="007C3BD6">
        <w:rPr>
          <w:bCs/>
        </w:rPr>
        <w:t xml:space="preserve"> </w:t>
      </w:r>
      <w:r>
        <w:rPr>
          <w:bCs/>
        </w:rPr>
        <w:t>author</w:t>
      </w:r>
      <w:r w:rsidR="00EE6E9E">
        <w:rPr>
          <w:bCs/>
        </w:rPr>
        <w:t>’</w:t>
      </w:r>
      <w:r>
        <w:rPr>
          <w:bCs/>
        </w:rPr>
        <w:t xml:space="preserve">s </w:t>
      </w:r>
      <w:r w:rsidR="007C3BD6">
        <w:rPr>
          <w:bCs/>
        </w:rPr>
        <w:t xml:space="preserve">first affiliation is a top-tier university, </w:t>
      </w:r>
      <w:r w:rsidR="00EE6E9E">
        <w:rPr>
          <w:bCs/>
        </w:rPr>
        <w:t>while the author’s</w:t>
      </w:r>
      <w:r w:rsidR="007C3BD6">
        <w:rPr>
          <w:bCs/>
        </w:rPr>
        <w:t xml:space="preserve"> </w:t>
      </w:r>
      <w:r w:rsidR="00EE6E9E">
        <w:rPr>
          <w:bCs/>
        </w:rPr>
        <w:t xml:space="preserve">realized </w:t>
      </w:r>
      <w:r w:rsidR="007C3BD6">
        <w:rPr>
          <w:bCs/>
        </w:rPr>
        <w:t>produc</w:t>
      </w:r>
      <w:r w:rsidR="00DB07EA">
        <w:rPr>
          <w:bCs/>
        </w:rPr>
        <w:t>tivity warrant</w:t>
      </w:r>
      <w:r w:rsidR="00C24EA7">
        <w:rPr>
          <w:bCs/>
        </w:rPr>
        <w:t>s</w:t>
      </w:r>
      <w:r w:rsidR="00DB07EA">
        <w:rPr>
          <w:bCs/>
        </w:rPr>
        <w:t xml:space="preserve"> a second-tier placement. In </w:t>
      </w:r>
      <w:r w:rsidR="00A627B7">
        <w:rPr>
          <w:bCs/>
        </w:rPr>
        <w:t xml:space="preserve">Sample </w:t>
      </w:r>
      <w:r w:rsidR="00DB07EA">
        <w:rPr>
          <w:bCs/>
        </w:rPr>
        <w:t xml:space="preserve">1 we have 651 second-tier authors, so a perfect matching of first placement </w:t>
      </w:r>
      <w:r w:rsidR="00EE6E9E">
        <w:rPr>
          <w:bCs/>
        </w:rPr>
        <w:t xml:space="preserve">according to </w:t>
      </w:r>
      <w:r w:rsidR="00DB07EA">
        <w:rPr>
          <w:bCs/>
        </w:rPr>
        <w:t xml:space="preserve">future productivity would </w:t>
      </w:r>
      <w:r w:rsidR="00EE6E9E">
        <w:rPr>
          <w:bCs/>
        </w:rPr>
        <w:t>have</w:t>
      </w:r>
      <w:r w:rsidR="00DB07EA">
        <w:rPr>
          <w:bCs/>
        </w:rPr>
        <w:t xml:space="preserve"> the 651 least productive </w:t>
      </w:r>
      <w:r w:rsidR="00EE6E9E">
        <w:rPr>
          <w:bCs/>
        </w:rPr>
        <w:t>researchers hired</w:t>
      </w:r>
      <w:r w:rsidR="00DB07EA">
        <w:rPr>
          <w:bCs/>
        </w:rPr>
        <w:t xml:space="preserve"> </w:t>
      </w:r>
      <w:r w:rsidR="00EE6E9E">
        <w:rPr>
          <w:bCs/>
        </w:rPr>
        <w:t xml:space="preserve">by </w:t>
      </w:r>
      <w:r w:rsidR="00DB07EA">
        <w:rPr>
          <w:bCs/>
        </w:rPr>
        <w:t>second-tier universities. In column (4) we have the accumulated number of authors</w:t>
      </w:r>
      <w:r w:rsidR="00EC183C">
        <w:rPr>
          <w:bCs/>
        </w:rPr>
        <w:t>,</w:t>
      </w:r>
      <w:r w:rsidR="00DB07EA">
        <w:rPr>
          <w:bCs/>
        </w:rPr>
        <w:t xml:space="preserve"> </w:t>
      </w:r>
      <w:r w:rsidR="00EC183C">
        <w:rPr>
          <w:bCs/>
        </w:rPr>
        <w:t xml:space="preserve">whose publication record of A articles after five years is, at most, the number of publications indicated </w:t>
      </w:r>
      <w:r w:rsidR="00C24EA7">
        <w:rPr>
          <w:bCs/>
        </w:rPr>
        <w:t>in column (0);</w:t>
      </w:r>
      <w:r w:rsidR="00DB07EA">
        <w:rPr>
          <w:bCs/>
        </w:rPr>
        <w:t xml:space="preserve"> and in column (5) we have </w:t>
      </w:r>
      <w:r w:rsidR="00EC183C">
        <w:rPr>
          <w:bCs/>
        </w:rPr>
        <w:t xml:space="preserve">the accumulated number of authors with such accomplishments </w:t>
      </w:r>
      <w:r w:rsidR="00DB07EA">
        <w:rPr>
          <w:bCs/>
        </w:rPr>
        <w:t xml:space="preserve">whose first placement is a top-tier school. Note that the closest number to 651 </w:t>
      </w:r>
      <w:r w:rsidR="00EC183C">
        <w:rPr>
          <w:bCs/>
        </w:rPr>
        <w:t xml:space="preserve">that does not exceed it </w:t>
      </w:r>
      <w:r w:rsidR="00DB07EA">
        <w:rPr>
          <w:bCs/>
        </w:rPr>
        <w:t xml:space="preserve">in column (4) is 541, which corresponds to a productivity </w:t>
      </w:r>
      <w:r w:rsidR="00EC183C">
        <w:rPr>
          <w:bCs/>
        </w:rPr>
        <w:t xml:space="preserve">level </w:t>
      </w:r>
      <w:r w:rsidR="00DB07EA">
        <w:rPr>
          <w:bCs/>
        </w:rPr>
        <w:t xml:space="preserve">of 0 A </w:t>
      </w:r>
      <w:r w:rsidR="00C24EA7">
        <w:rPr>
          <w:bCs/>
        </w:rPr>
        <w:t>articles</w:t>
      </w:r>
      <w:r w:rsidR="00EC183C">
        <w:rPr>
          <w:bCs/>
        </w:rPr>
        <w:t xml:space="preserve"> by the </w:t>
      </w:r>
      <w:r w:rsidR="00EB20B2">
        <w:rPr>
          <w:bCs/>
        </w:rPr>
        <w:t>5-year</w:t>
      </w:r>
      <w:r w:rsidR="00EC183C">
        <w:rPr>
          <w:bCs/>
        </w:rPr>
        <w:t xml:space="preserve"> mark</w:t>
      </w:r>
      <w:r w:rsidR="00DB07EA">
        <w:rPr>
          <w:bCs/>
        </w:rPr>
        <w:t xml:space="preserve">. Hence, only authors with </w:t>
      </w:r>
      <w:r w:rsidR="00A627B7">
        <w:rPr>
          <w:bCs/>
        </w:rPr>
        <w:t xml:space="preserve">no </w:t>
      </w:r>
      <w:r w:rsidR="00DB07EA">
        <w:rPr>
          <w:bCs/>
        </w:rPr>
        <w:t xml:space="preserve">A </w:t>
      </w:r>
      <w:r w:rsidR="00C24EA7">
        <w:rPr>
          <w:bCs/>
        </w:rPr>
        <w:t>articles</w:t>
      </w:r>
      <w:r w:rsidR="00DB07EA">
        <w:rPr>
          <w:bCs/>
        </w:rPr>
        <w:t xml:space="preserve"> can be considered misplaced if their first affiliation is a top-tier schools. Th</w:t>
      </w:r>
      <w:r w:rsidR="006A061A">
        <w:rPr>
          <w:bCs/>
        </w:rPr>
        <w:t xml:space="preserve">us, type 2 error, which is defined as the percentage of top-tier authors </w:t>
      </w:r>
      <w:r w:rsidR="001B6E6F">
        <w:rPr>
          <w:bCs/>
        </w:rPr>
        <w:t xml:space="preserve">whose productivity warrants a second-tier placement is </w:t>
      </w:r>
      <w:r w:rsidR="00DB07EA">
        <w:rPr>
          <w:bCs/>
        </w:rPr>
        <w:t>24.6%. Hence, we conclude that 1 in 4 authors whose first affiliation is in a top-tier university is misplaced (again, note that this is a lower bound estimate).</w:t>
      </w:r>
    </w:p>
    <w:p w14:paraId="76075557" w14:textId="452DC060" w:rsidR="00016FDC" w:rsidRDefault="00DB07EA" w:rsidP="00C24EA7">
      <w:pPr>
        <w:spacing w:line="408" w:lineRule="auto"/>
        <w:ind w:firstLine="720"/>
        <w:jc w:val="both"/>
        <w:rPr>
          <w:bCs/>
        </w:rPr>
      </w:pPr>
      <w:r>
        <w:rPr>
          <w:bCs/>
        </w:rPr>
        <w:t xml:space="preserve">Finally, we repeat the analysis </w:t>
      </w:r>
      <w:r w:rsidR="001B6E6F">
        <w:rPr>
          <w:bCs/>
        </w:rPr>
        <w:t xml:space="preserve">for Sample </w:t>
      </w:r>
      <w:r>
        <w:rPr>
          <w:bCs/>
        </w:rPr>
        <w:t xml:space="preserve">2, where misplacement is measured at year 10. Interestingly, the results remain relatively unchanged. </w:t>
      </w:r>
      <w:r w:rsidR="00C24EA7">
        <w:rPr>
          <w:bCs/>
        </w:rPr>
        <w:t xml:space="preserve">Based on Panel B, one </w:t>
      </w:r>
      <w:r>
        <w:rPr>
          <w:bCs/>
        </w:rPr>
        <w:t xml:space="preserve">can conclude that 31.7% of </w:t>
      </w:r>
      <w:r w:rsidR="00EC183C">
        <w:rPr>
          <w:bCs/>
        </w:rPr>
        <w:t xml:space="preserve">the </w:t>
      </w:r>
      <w:r>
        <w:rPr>
          <w:bCs/>
        </w:rPr>
        <w:t xml:space="preserve">authors whose first placement is second-tier have a productivity level that warrants a top-tier affiliation; and about 20% of authors whose first placement is first-tier have a productivity level that warrants a second-tier affiliation. </w:t>
      </w:r>
    </w:p>
    <w:p w14:paraId="5B9C8FBF" w14:textId="77777777" w:rsidR="00C24EA7" w:rsidRDefault="00C24EA7" w:rsidP="00C24EA7">
      <w:pPr>
        <w:spacing w:line="408" w:lineRule="auto"/>
        <w:ind w:firstLine="720"/>
        <w:jc w:val="both"/>
        <w:rPr>
          <w:bCs/>
        </w:rPr>
      </w:pPr>
    </w:p>
    <w:p w14:paraId="302F79F5" w14:textId="211772E5" w:rsidR="00C8147F" w:rsidRPr="00E03256" w:rsidRDefault="00E03256" w:rsidP="00834344">
      <w:pPr>
        <w:spacing w:line="408" w:lineRule="auto"/>
        <w:ind w:firstLine="720"/>
        <w:jc w:val="both"/>
        <w:rPr>
          <w:b/>
        </w:rPr>
      </w:pPr>
      <w:r w:rsidRPr="00E03256">
        <w:rPr>
          <w:b/>
        </w:rPr>
        <w:t xml:space="preserve">4. </w:t>
      </w:r>
      <w:r w:rsidR="00834344">
        <w:rPr>
          <w:b/>
        </w:rPr>
        <w:t>Assessing the effect of the first affiliation</w:t>
      </w:r>
    </w:p>
    <w:p w14:paraId="22283D3C" w14:textId="1EA00C23" w:rsidR="00970AD0" w:rsidRDefault="003B36F8" w:rsidP="00834344">
      <w:pPr>
        <w:spacing w:line="408" w:lineRule="auto"/>
        <w:ind w:firstLine="720"/>
        <w:jc w:val="both"/>
        <w:rPr>
          <w:bCs/>
        </w:rPr>
      </w:pPr>
      <w:r>
        <w:rPr>
          <w:bCs/>
        </w:rPr>
        <w:t xml:space="preserve">Our premise is that the top-tier universities </w:t>
      </w:r>
      <w:r w:rsidR="00B42216">
        <w:rPr>
          <w:bCs/>
        </w:rPr>
        <w:t xml:space="preserve">provide a superior nurturing environment for </w:t>
      </w:r>
      <w:r>
        <w:rPr>
          <w:bCs/>
        </w:rPr>
        <w:t>conducting research than second-tier universities</w:t>
      </w:r>
      <w:r w:rsidR="00B42216">
        <w:rPr>
          <w:bCs/>
        </w:rPr>
        <w:t xml:space="preserve"> do</w:t>
      </w:r>
      <w:r>
        <w:rPr>
          <w:bCs/>
        </w:rPr>
        <w:t xml:space="preserve">. Namely, researchers </w:t>
      </w:r>
      <w:r w:rsidR="00B42216">
        <w:rPr>
          <w:bCs/>
        </w:rPr>
        <w:t>working</w:t>
      </w:r>
      <w:r>
        <w:rPr>
          <w:bCs/>
        </w:rPr>
        <w:t xml:space="preserve"> in top-tier </w:t>
      </w:r>
      <w:r w:rsidR="00C12970">
        <w:rPr>
          <w:bCs/>
        </w:rPr>
        <w:t xml:space="preserve">universities </w:t>
      </w:r>
      <w:r>
        <w:rPr>
          <w:bCs/>
        </w:rPr>
        <w:t xml:space="preserve">are exposed to better research practices, are able to cooperate with </w:t>
      </w:r>
      <w:r w:rsidR="00B42216">
        <w:rPr>
          <w:bCs/>
        </w:rPr>
        <w:t>leading</w:t>
      </w:r>
      <w:r>
        <w:rPr>
          <w:bCs/>
        </w:rPr>
        <w:t xml:space="preserve"> researchers, have </w:t>
      </w:r>
      <w:r w:rsidR="00C12970">
        <w:rPr>
          <w:bCs/>
        </w:rPr>
        <w:t xml:space="preserve">more </w:t>
      </w:r>
      <w:r>
        <w:rPr>
          <w:bCs/>
        </w:rPr>
        <w:t xml:space="preserve">access to funding, and are </w:t>
      </w:r>
      <w:r w:rsidR="00B42216">
        <w:rPr>
          <w:bCs/>
        </w:rPr>
        <w:t xml:space="preserve">encouraged </w:t>
      </w:r>
      <w:r>
        <w:rPr>
          <w:bCs/>
        </w:rPr>
        <w:t xml:space="preserve">to achieve research </w:t>
      </w:r>
      <w:r w:rsidR="00C12970">
        <w:rPr>
          <w:bCs/>
        </w:rPr>
        <w:t>excellence</w:t>
      </w:r>
      <w:r>
        <w:rPr>
          <w:bCs/>
        </w:rPr>
        <w:t xml:space="preserve"> </w:t>
      </w:r>
      <w:r w:rsidR="00FD4963">
        <w:rPr>
          <w:bCs/>
        </w:rPr>
        <w:t>compared to</w:t>
      </w:r>
      <w:r>
        <w:rPr>
          <w:bCs/>
        </w:rPr>
        <w:t xml:space="preserve"> researchers </w:t>
      </w:r>
      <w:r w:rsidR="00C12970">
        <w:rPr>
          <w:bCs/>
        </w:rPr>
        <w:t>affiliated with</w:t>
      </w:r>
      <w:r>
        <w:rPr>
          <w:bCs/>
        </w:rPr>
        <w:t xml:space="preserve"> second-tier universities.</w:t>
      </w:r>
      <w:r w:rsidR="001241ED">
        <w:rPr>
          <w:bCs/>
        </w:rPr>
        <w:t xml:space="preserve"> </w:t>
      </w:r>
      <w:r w:rsidR="0003131D">
        <w:rPr>
          <w:bCs/>
        </w:rPr>
        <w:t xml:space="preserve"> </w:t>
      </w:r>
    </w:p>
    <w:p w14:paraId="618C8BAE" w14:textId="2F0CEB25" w:rsidR="000A2DAF" w:rsidRDefault="00A3122D" w:rsidP="00A627B7">
      <w:pPr>
        <w:spacing w:line="408" w:lineRule="auto"/>
        <w:ind w:firstLine="720"/>
        <w:jc w:val="both"/>
        <w:rPr>
          <w:bCs/>
        </w:rPr>
      </w:pPr>
      <w:r>
        <w:rPr>
          <w:bCs/>
        </w:rPr>
        <w:lastRenderedPageBreak/>
        <w:t xml:space="preserve">The degree of performance heterogeneity </w:t>
      </w:r>
      <w:r w:rsidR="0058701B">
        <w:rPr>
          <w:bCs/>
        </w:rPr>
        <w:t xml:space="preserve">that we have observed </w:t>
      </w:r>
      <w:r>
        <w:rPr>
          <w:bCs/>
        </w:rPr>
        <w:t xml:space="preserve">within and across the two-tiers allows </w:t>
      </w:r>
      <w:r w:rsidR="00097D4A">
        <w:rPr>
          <w:bCs/>
        </w:rPr>
        <w:t xml:space="preserve">us </w:t>
      </w:r>
      <w:r>
        <w:rPr>
          <w:bCs/>
        </w:rPr>
        <w:t xml:space="preserve">to </w:t>
      </w:r>
      <w:r w:rsidR="00097D4A">
        <w:rPr>
          <w:bCs/>
        </w:rPr>
        <w:t>study</w:t>
      </w:r>
      <w:r w:rsidR="00970AD0">
        <w:rPr>
          <w:bCs/>
        </w:rPr>
        <w:t xml:space="preserve"> </w:t>
      </w:r>
      <w:r w:rsidR="006F61A0">
        <w:rPr>
          <w:bCs/>
        </w:rPr>
        <w:t>the relative importance of</w:t>
      </w:r>
      <w:r w:rsidR="00970AD0">
        <w:rPr>
          <w:bCs/>
        </w:rPr>
        <w:t xml:space="preserve"> </w:t>
      </w:r>
      <w:r w:rsidR="00C350C3">
        <w:rPr>
          <w:bCs/>
        </w:rPr>
        <w:t>talent</w:t>
      </w:r>
      <w:r w:rsidR="003A786B">
        <w:rPr>
          <w:bCs/>
        </w:rPr>
        <w:t xml:space="preserve"> </w:t>
      </w:r>
      <w:r w:rsidR="006F61A0">
        <w:rPr>
          <w:bCs/>
        </w:rPr>
        <w:t>and</w:t>
      </w:r>
      <w:r w:rsidR="003A786B">
        <w:rPr>
          <w:bCs/>
        </w:rPr>
        <w:t xml:space="preserve"> </w:t>
      </w:r>
      <w:r w:rsidR="00970AD0">
        <w:rPr>
          <w:bCs/>
        </w:rPr>
        <w:t>nurtur</w:t>
      </w:r>
      <w:r w:rsidR="003A786B">
        <w:rPr>
          <w:bCs/>
        </w:rPr>
        <w:t xml:space="preserve">ing </w:t>
      </w:r>
      <w:r w:rsidR="00E443FC">
        <w:rPr>
          <w:bCs/>
        </w:rPr>
        <w:t>on research productivity</w:t>
      </w:r>
      <w:r w:rsidR="0083688F">
        <w:rPr>
          <w:bCs/>
        </w:rPr>
        <w:t>.</w:t>
      </w:r>
      <w:r w:rsidR="00970AD0">
        <w:rPr>
          <w:bCs/>
        </w:rPr>
        <w:t xml:space="preserve"> Our analysis </w:t>
      </w:r>
      <w:r w:rsidR="0058701B">
        <w:rPr>
          <w:bCs/>
        </w:rPr>
        <w:t xml:space="preserve">in this respect </w:t>
      </w:r>
      <w:r w:rsidR="00450651">
        <w:rPr>
          <w:bCs/>
        </w:rPr>
        <w:t xml:space="preserve">is </w:t>
      </w:r>
      <w:r w:rsidR="008D554D">
        <w:rPr>
          <w:bCs/>
        </w:rPr>
        <w:t xml:space="preserve">inspired </w:t>
      </w:r>
      <w:r w:rsidR="00450651">
        <w:rPr>
          <w:bCs/>
        </w:rPr>
        <w:t>by</w:t>
      </w:r>
      <w:r w:rsidR="00970AD0">
        <w:rPr>
          <w:bCs/>
        </w:rPr>
        <w:t xml:space="preserve"> the literature that analyzes nature versus nurture by comparing identical twins. </w:t>
      </w:r>
      <w:r w:rsidR="00450651">
        <w:rPr>
          <w:bCs/>
        </w:rPr>
        <w:t xml:space="preserve">In that line of research, since </w:t>
      </w:r>
      <w:r w:rsidR="00E46C4B">
        <w:rPr>
          <w:bCs/>
        </w:rPr>
        <w:t>i</w:t>
      </w:r>
      <w:r w:rsidR="00970AD0">
        <w:rPr>
          <w:bCs/>
        </w:rPr>
        <w:t>dentical twins have the same DNA, exposing them to different nurturing environment</w:t>
      </w:r>
      <w:r w:rsidR="0083688F">
        <w:rPr>
          <w:bCs/>
        </w:rPr>
        <w:t>s</w:t>
      </w:r>
      <w:r w:rsidR="00E46C4B">
        <w:rPr>
          <w:bCs/>
        </w:rPr>
        <w:t xml:space="preserve"> enables </w:t>
      </w:r>
      <w:r w:rsidR="00970AD0">
        <w:rPr>
          <w:bCs/>
        </w:rPr>
        <w:t xml:space="preserve">one </w:t>
      </w:r>
      <w:r w:rsidR="00E46C4B">
        <w:rPr>
          <w:bCs/>
        </w:rPr>
        <w:t xml:space="preserve">to </w:t>
      </w:r>
      <w:r w:rsidR="00970AD0">
        <w:rPr>
          <w:bCs/>
        </w:rPr>
        <w:t xml:space="preserve">assess the effect of </w:t>
      </w:r>
      <w:r w:rsidR="0083688F">
        <w:rPr>
          <w:bCs/>
        </w:rPr>
        <w:t>the environment o</w:t>
      </w:r>
      <w:r w:rsidR="00970AD0">
        <w:rPr>
          <w:bCs/>
        </w:rPr>
        <w:t xml:space="preserve">n </w:t>
      </w:r>
      <w:r w:rsidR="004A400B">
        <w:rPr>
          <w:bCs/>
        </w:rPr>
        <w:t>different outcomes</w:t>
      </w:r>
      <w:r w:rsidR="00970AD0">
        <w:rPr>
          <w:bCs/>
        </w:rPr>
        <w:t>.</w:t>
      </w:r>
      <w:r>
        <w:rPr>
          <w:bCs/>
        </w:rPr>
        <w:t xml:space="preserve"> In our an</w:t>
      </w:r>
      <w:r w:rsidR="0083688F">
        <w:rPr>
          <w:bCs/>
        </w:rPr>
        <w:t>a</w:t>
      </w:r>
      <w:r>
        <w:rPr>
          <w:bCs/>
        </w:rPr>
        <w:t>lysis</w:t>
      </w:r>
      <w:r w:rsidR="0083688F">
        <w:rPr>
          <w:bCs/>
        </w:rPr>
        <w:t>,</w:t>
      </w:r>
      <w:r>
        <w:rPr>
          <w:bCs/>
        </w:rPr>
        <w:t xml:space="preserve"> </w:t>
      </w:r>
      <w:r w:rsidR="00C454DA">
        <w:rPr>
          <w:bCs/>
        </w:rPr>
        <w:t xml:space="preserve">however, </w:t>
      </w:r>
      <w:r>
        <w:rPr>
          <w:bCs/>
        </w:rPr>
        <w:t xml:space="preserve">we </w:t>
      </w:r>
      <w:r w:rsidR="00E46C4B">
        <w:rPr>
          <w:bCs/>
        </w:rPr>
        <w:t xml:space="preserve">do </w:t>
      </w:r>
      <w:r w:rsidR="00D60B20">
        <w:rPr>
          <w:bCs/>
        </w:rPr>
        <w:t xml:space="preserve">not </w:t>
      </w:r>
      <w:r w:rsidR="007F5A18">
        <w:rPr>
          <w:bCs/>
        </w:rPr>
        <w:t>observe</w:t>
      </w:r>
      <w:r w:rsidR="00E46C4B">
        <w:rPr>
          <w:bCs/>
        </w:rPr>
        <w:t xml:space="preserve"> pairs of </w:t>
      </w:r>
      <w:r w:rsidR="003A786B">
        <w:rPr>
          <w:bCs/>
        </w:rPr>
        <w:t xml:space="preserve">researchers with identical </w:t>
      </w:r>
      <w:r w:rsidR="00F8730D">
        <w:rPr>
          <w:bCs/>
        </w:rPr>
        <w:t>talent</w:t>
      </w:r>
      <w:r w:rsidR="0083688F">
        <w:rPr>
          <w:bCs/>
        </w:rPr>
        <w:t xml:space="preserve"> (</w:t>
      </w:r>
      <w:r w:rsidR="003A786B">
        <w:rPr>
          <w:bCs/>
        </w:rPr>
        <w:t xml:space="preserve">same </w:t>
      </w:r>
      <w:r w:rsidR="0083688F">
        <w:rPr>
          <w:bCs/>
        </w:rPr>
        <w:t xml:space="preserve">research </w:t>
      </w:r>
      <w:r w:rsidR="00F8730D">
        <w:rPr>
          <w:bCs/>
        </w:rPr>
        <w:t xml:space="preserve">ability </w:t>
      </w:r>
      <w:r w:rsidR="004A400B">
        <w:rPr>
          <w:bCs/>
        </w:rPr>
        <w:t xml:space="preserve">when finishing </w:t>
      </w:r>
      <w:r w:rsidR="00E46C4B">
        <w:rPr>
          <w:bCs/>
        </w:rPr>
        <w:t xml:space="preserve">the </w:t>
      </w:r>
      <w:r w:rsidR="004A400B">
        <w:rPr>
          <w:bCs/>
        </w:rPr>
        <w:t>PhD</w:t>
      </w:r>
      <w:r w:rsidR="00E46C4B">
        <w:rPr>
          <w:bCs/>
        </w:rPr>
        <w:t xml:space="preserve"> degree</w:t>
      </w:r>
      <w:r w:rsidR="0083688F">
        <w:rPr>
          <w:bCs/>
        </w:rPr>
        <w:t>)</w:t>
      </w:r>
      <w:r>
        <w:rPr>
          <w:bCs/>
        </w:rPr>
        <w:t xml:space="preserve">; however, we can match individuals based on their research productivity at year 5. </w:t>
      </w:r>
      <w:r w:rsidR="003B28F9">
        <w:rPr>
          <w:bCs/>
        </w:rPr>
        <w:t>Assuming that the</w:t>
      </w:r>
      <w:r w:rsidR="00A30201">
        <w:rPr>
          <w:bCs/>
        </w:rPr>
        <w:t>re</w:t>
      </w:r>
      <w:r w:rsidR="00D8530E">
        <w:rPr>
          <w:bCs/>
        </w:rPr>
        <w:t xml:space="preserve"> is only a limited</w:t>
      </w:r>
      <w:r w:rsidR="003B28F9">
        <w:rPr>
          <w:bCs/>
        </w:rPr>
        <w:t xml:space="preserve"> degree of nurturing in the first 5 years as faculty, researchers with </w:t>
      </w:r>
      <w:r w:rsidR="00A627B7">
        <w:rPr>
          <w:bCs/>
        </w:rPr>
        <w:t xml:space="preserve">the </w:t>
      </w:r>
      <w:r w:rsidR="003B28F9">
        <w:rPr>
          <w:bCs/>
        </w:rPr>
        <w:t xml:space="preserve">same accumulated productivity </w:t>
      </w:r>
      <w:r w:rsidR="00A627B7">
        <w:rPr>
          <w:bCs/>
        </w:rPr>
        <w:t xml:space="preserve">at the </w:t>
      </w:r>
      <w:r w:rsidR="003B28F9">
        <w:rPr>
          <w:bCs/>
        </w:rPr>
        <w:t xml:space="preserve">5 year </w:t>
      </w:r>
      <w:r w:rsidR="00A627B7">
        <w:rPr>
          <w:bCs/>
        </w:rPr>
        <w:t xml:space="preserve">mark </w:t>
      </w:r>
      <w:r w:rsidR="00C06980">
        <w:rPr>
          <w:bCs/>
        </w:rPr>
        <w:t xml:space="preserve">can be regarded as having similar </w:t>
      </w:r>
      <w:r w:rsidR="00F8730D">
        <w:rPr>
          <w:bCs/>
        </w:rPr>
        <w:t>talent</w:t>
      </w:r>
      <w:r w:rsidR="00C06980">
        <w:rPr>
          <w:bCs/>
        </w:rPr>
        <w:t>, no matter whether they landed a job in a top-tier or second-tier university.</w:t>
      </w:r>
      <w:r w:rsidR="00C06980">
        <w:rPr>
          <w:rStyle w:val="FootnoteReference"/>
          <w:bCs/>
        </w:rPr>
        <w:footnoteReference w:id="12"/>
      </w:r>
      <w:r w:rsidR="00C06980">
        <w:rPr>
          <w:bCs/>
        </w:rPr>
        <w:t xml:space="preserve"> </w:t>
      </w:r>
      <w:r w:rsidR="00230C5D">
        <w:rPr>
          <w:bCs/>
        </w:rPr>
        <w:t>This mean</w:t>
      </w:r>
      <w:r w:rsidR="000A2DAF">
        <w:rPr>
          <w:bCs/>
        </w:rPr>
        <w:t>s</w:t>
      </w:r>
      <w:r w:rsidR="00230C5D">
        <w:rPr>
          <w:bCs/>
        </w:rPr>
        <w:t xml:space="preserve">, that if we follow the two </w:t>
      </w:r>
      <w:r w:rsidR="000A2DAF">
        <w:rPr>
          <w:bCs/>
        </w:rPr>
        <w:t>individuals’</w:t>
      </w:r>
      <w:r w:rsidR="00230C5D">
        <w:rPr>
          <w:bCs/>
        </w:rPr>
        <w:t xml:space="preserve"> productivity during the years after </w:t>
      </w:r>
      <w:r w:rsidR="002D023D">
        <w:rPr>
          <w:bCs/>
        </w:rPr>
        <w:t>the matching year (</w:t>
      </w:r>
      <w:r w:rsidR="000A2DAF">
        <w:rPr>
          <w:bCs/>
        </w:rPr>
        <w:t xml:space="preserve">from </w:t>
      </w:r>
      <w:r w:rsidR="002D023D">
        <w:rPr>
          <w:bCs/>
        </w:rPr>
        <w:t>tenure=</w:t>
      </w:r>
      <w:r w:rsidR="000A2DAF">
        <w:rPr>
          <w:bCs/>
        </w:rPr>
        <w:t>6</w:t>
      </w:r>
      <w:r w:rsidR="002D023D">
        <w:rPr>
          <w:bCs/>
        </w:rPr>
        <w:t>)</w:t>
      </w:r>
      <w:r w:rsidR="00230C5D">
        <w:rPr>
          <w:bCs/>
        </w:rPr>
        <w:t xml:space="preserve">, we should be able to learn whether </w:t>
      </w:r>
      <w:r w:rsidR="00E41F86">
        <w:rPr>
          <w:bCs/>
        </w:rPr>
        <w:t xml:space="preserve">the </w:t>
      </w:r>
      <w:r w:rsidR="00A627B7">
        <w:rPr>
          <w:bCs/>
        </w:rPr>
        <w:t xml:space="preserve">expected </w:t>
      </w:r>
      <w:r w:rsidR="00E41F86">
        <w:rPr>
          <w:bCs/>
        </w:rPr>
        <w:t xml:space="preserve">better </w:t>
      </w:r>
      <w:r w:rsidR="00230C5D">
        <w:rPr>
          <w:bCs/>
        </w:rPr>
        <w:t xml:space="preserve">nurturing </w:t>
      </w:r>
      <w:r w:rsidR="00E41F86">
        <w:rPr>
          <w:bCs/>
        </w:rPr>
        <w:t xml:space="preserve">in top-tier universities </w:t>
      </w:r>
      <w:r w:rsidR="00230C5D">
        <w:rPr>
          <w:bCs/>
        </w:rPr>
        <w:t xml:space="preserve">is important. If the accumulated productivity of the second-tier author is </w:t>
      </w:r>
      <w:r w:rsidR="002D023D">
        <w:rPr>
          <w:bCs/>
        </w:rPr>
        <w:t xml:space="preserve">no less </w:t>
      </w:r>
      <w:r w:rsidR="00230C5D">
        <w:rPr>
          <w:bCs/>
        </w:rPr>
        <w:t xml:space="preserve">than </w:t>
      </w:r>
      <w:r w:rsidR="008C3534">
        <w:rPr>
          <w:bCs/>
        </w:rPr>
        <w:t xml:space="preserve">that of </w:t>
      </w:r>
      <w:r w:rsidR="00230C5D">
        <w:rPr>
          <w:bCs/>
        </w:rPr>
        <w:t xml:space="preserve">the top-tier author, we can conclude that </w:t>
      </w:r>
      <w:r w:rsidR="00F8730D">
        <w:rPr>
          <w:bCs/>
        </w:rPr>
        <w:t xml:space="preserve">talent </w:t>
      </w:r>
      <w:r w:rsidR="00230C5D">
        <w:rPr>
          <w:bCs/>
        </w:rPr>
        <w:t xml:space="preserve">is </w:t>
      </w:r>
      <w:r w:rsidR="000A2DAF">
        <w:rPr>
          <w:bCs/>
        </w:rPr>
        <w:t>the sole determinant of research productivity</w:t>
      </w:r>
      <w:r w:rsidR="00230C5D">
        <w:rPr>
          <w:bCs/>
        </w:rPr>
        <w:t xml:space="preserve">. That is, regardless of where the researcher lands </w:t>
      </w:r>
      <w:r w:rsidR="00450651">
        <w:rPr>
          <w:bCs/>
        </w:rPr>
        <w:t xml:space="preserve">his/her first </w:t>
      </w:r>
      <w:r w:rsidR="00230C5D">
        <w:rPr>
          <w:bCs/>
        </w:rPr>
        <w:t xml:space="preserve">position, the </w:t>
      </w:r>
      <w:r w:rsidR="00F8730D">
        <w:rPr>
          <w:bCs/>
        </w:rPr>
        <w:t xml:space="preserve">talent </w:t>
      </w:r>
      <w:r w:rsidR="00230C5D">
        <w:rPr>
          <w:bCs/>
        </w:rPr>
        <w:t xml:space="preserve">of the individual </w:t>
      </w:r>
      <w:r w:rsidR="002D023D">
        <w:rPr>
          <w:bCs/>
        </w:rPr>
        <w:t xml:space="preserve">ultimately </w:t>
      </w:r>
      <w:r w:rsidR="00230C5D">
        <w:rPr>
          <w:bCs/>
        </w:rPr>
        <w:t xml:space="preserve">determines research productivity. However, if the accumulated productivity of the second-tier author </w:t>
      </w:r>
      <w:r w:rsidR="008C3534">
        <w:rPr>
          <w:bCs/>
        </w:rPr>
        <w:t xml:space="preserve">becomes </w:t>
      </w:r>
      <w:r w:rsidR="00230C5D">
        <w:rPr>
          <w:bCs/>
        </w:rPr>
        <w:t xml:space="preserve">lower than </w:t>
      </w:r>
      <w:r w:rsidR="008C3534">
        <w:rPr>
          <w:bCs/>
        </w:rPr>
        <w:t xml:space="preserve">that of </w:t>
      </w:r>
      <w:r w:rsidR="00230C5D">
        <w:rPr>
          <w:bCs/>
        </w:rPr>
        <w:t xml:space="preserve">the top-tier author, we </w:t>
      </w:r>
      <w:r w:rsidR="00A627B7">
        <w:rPr>
          <w:bCs/>
        </w:rPr>
        <w:t xml:space="preserve">can </w:t>
      </w:r>
      <w:r w:rsidR="006F61A0">
        <w:rPr>
          <w:bCs/>
        </w:rPr>
        <w:t>reject the null that nurturing</w:t>
      </w:r>
      <w:r w:rsidR="00230C5D">
        <w:rPr>
          <w:bCs/>
        </w:rPr>
        <w:t xml:space="preserve"> </w:t>
      </w:r>
      <w:r w:rsidR="008C3534">
        <w:rPr>
          <w:bCs/>
        </w:rPr>
        <w:t xml:space="preserve">has </w:t>
      </w:r>
      <w:r w:rsidR="006F61A0">
        <w:rPr>
          <w:bCs/>
        </w:rPr>
        <w:t>no effect</w:t>
      </w:r>
      <w:r w:rsidR="008C3534">
        <w:rPr>
          <w:bCs/>
        </w:rPr>
        <w:t xml:space="preserve"> in shaping</w:t>
      </w:r>
      <w:r w:rsidR="000A2DAF">
        <w:rPr>
          <w:bCs/>
        </w:rPr>
        <w:t xml:space="preserve"> the </w:t>
      </w:r>
      <w:r w:rsidR="006F61A0">
        <w:rPr>
          <w:bCs/>
        </w:rPr>
        <w:t xml:space="preserve">research </w:t>
      </w:r>
      <w:r w:rsidR="000A2DAF">
        <w:rPr>
          <w:bCs/>
        </w:rPr>
        <w:t xml:space="preserve">trajectory of the researcher. Given the relatively high level of misplacement we observe (Table 3), such a conclusion would imply that luck in first placement has a major effect on the productivity of academics throughout their career. </w:t>
      </w:r>
    </w:p>
    <w:p w14:paraId="2D7588AB" w14:textId="6699EBBE" w:rsidR="00970AD0" w:rsidRDefault="000A2DAF" w:rsidP="004A400B">
      <w:pPr>
        <w:spacing w:line="408" w:lineRule="auto"/>
        <w:ind w:firstLine="720"/>
        <w:jc w:val="both"/>
        <w:rPr>
          <w:bCs/>
        </w:rPr>
      </w:pPr>
      <w:r>
        <w:rPr>
          <w:bCs/>
        </w:rPr>
        <w:t xml:space="preserve"> </w:t>
      </w:r>
      <w:r w:rsidR="00230C5D">
        <w:rPr>
          <w:bCs/>
        </w:rPr>
        <w:t xml:space="preserve"> </w:t>
      </w:r>
    </w:p>
    <w:p w14:paraId="48EED611" w14:textId="378C25DD" w:rsidR="000A2DAF" w:rsidRPr="008F082A" w:rsidRDefault="000A2DAF" w:rsidP="004A400B">
      <w:pPr>
        <w:spacing w:line="408" w:lineRule="auto"/>
        <w:ind w:firstLine="720"/>
        <w:jc w:val="both"/>
        <w:rPr>
          <w:b/>
        </w:rPr>
      </w:pPr>
      <w:r w:rsidRPr="008F082A">
        <w:rPr>
          <w:b/>
        </w:rPr>
        <w:t>4.1 Matching of research based on accumulate</w:t>
      </w:r>
      <w:r w:rsidR="00745FCE" w:rsidRPr="008F082A">
        <w:rPr>
          <w:b/>
        </w:rPr>
        <w:t>d</w:t>
      </w:r>
      <w:r w:rsidRPr="008F082A">
        <w:rPr>
          <w:b/>
        </w:rPr>
        <w:t xml:space="preserve"> productivity</w:t>
      </w:r>
    </w:p>
    <w:p w14:paraId="39F5C592" w14:textId="459F8D53" w:rsidR="000A2DAF" w:rsidRDefault="000A2DAF" w:rsidP="00C87FF5">
      <w:pPr>
        <w:spacing w:line="408" w:lineRule="auto"/>
        <w:ind w:firstLine="720"/>
        <w:jc w:val="both"/>
        <w:rPr>
          <w:bCs/>
        </w:rPr>
      </w:pPr>
      <w:r>
        <w:rPr>
          <w:bCs/>
        </w:rPr>
        <w:t xml:space="preserve">Table 4 </w:t>
      </w:r>
      <w:r w:rsidR="008F082A">
        <w:rPr>
          <w:bCs/>
        </w:rPr>
        <w:t xml:space="preserve">and Figure 3 </w:t>
      </w:r>
      <w:r w:rsidR="007E6670">
        <w:rPr>
          <w:bCs/>
        </w:rPr>
        <w:t xml:space="preserve">summarize our </w:t>
      </w:r>
      <w:r w:rsidR="008F082A">
        <w:rPr>
          <w:bCs/>
        </w:rPr>
        <w:t xml:space="preserve">analysis of </w:t>
      </w:r>
      <w:r w:rsidR="007977A3">
        <w:rPr>
          <w:bCs/>
        </w:rPr>
        <w:t xml:space="preserve">the </w:t>
      </w:r>
      <w:r w:rsidR="008F082A">
        <w:rPr>
          <w:bCs/>
        </w:rPr>
        <w:t>mean</w:t>
      </w:r>
      <w:r>
        <w:rPr>
          <w:bCs/>
        </w:rPr>
        <w:t xml:space="preserve"> accumulated productivity </w:t>
      </w:r>
      <w:r w:rsidR="00745FCE">
        <w:rPr>
          <w:bCs/>
        </w:rPr>
        <w:t xml:space="preserve">of authors </w:t>
      </w:r>
      <w:r w:rsidR="0081771E">
        <w:rPr>
          <w:bCs/>
        </w:rPr>
        <w:t>between</w:t>
      </w:r>
      <w:r>
        <w:rPr>
          <w:bCs/>
        </w:rPr>
        <w:t xml:space="preserve"> the end of </w:t>
      </w:r>
      <w:r w:rsidR="0081771E">
        <w:rPr>
          <w:bCs/>
        </w:rPr>
        <w:t xml:space="preserve">the </w:t>
      </w:r>
      <w:r>
        <w:rPr>
          <w:bCs/>
        </w:rPr>
        <w:t xml:space="preserve">year 5 </w:t>
      </w:r>
      <w:r w:rsidR="0081771E">
        <w:rPr>
          <w:bCs/>
        </w:rPr>
        <w:t xml:space="preserve">mark </w:t>
      </w:r>
      <w:r>
        <w:rPr>
          <w:bCs/>
        </w:rPr>
        <w:t xml:space="preserve">and </w:t>
      </w:r>
      <w:r w:rsidR="0081771E">
        <w:rPr>
          <w:bCs/>
        </w:rPr>
        <w:t xml:space="preserve">the </w:t>
      </w:r>
      <w:r>
        <w:rPr>
          <w:bCs/>
        </w:rPr>
        <w:t>year 10</w:t>
      </w:r>
      <w:r w:rsidR="0081771E">
        <w:rPr>
          <w:bCs/>
        </w:rPr>
        <w:t xml:space="preserve"> mark</w:t>
      </w:r>
      <w:r>
        <w:rPr>
          <w:bCs/>
        </w:rPr>
        <w:t xml:space="preserve">. </w:t>
      </w:r>
      <w:r w:rsidR="00745FCE">
        <w:rPr>
          <w:bCs/>
        </w:rPr>
        <w:t xml:space="preserve">For each author in </w:t>
      </w:r>
      <w:r w:rsidR="00030959">
        <w:rPr>
          <w:bCs/>
        </w:rPr>
        <w:t xml:space="preserve">Sample </w:t>
      </w:r>
      <w:r w:rsidR="00745FCE">
        <w:rPr>
          <w:bCs/>
        </w:rPr>
        <w:t xml:space="preserve">1, we count the </w:t>
      </w:r>
      <w:r w:rsidR="00745FCE">
        <w:rPr>
          <w:bCs/>
        </w:rPr>
        <w:lastRenderedPageBreak/>
        <w:t xml:space="preserve">accumulated number of A articles </w:t>
      </w:r>
      <w:r w:rsidR="00C87FF5">
        <w:rPr>
          <w:bCs/>
        </w:rPr>
        <w:t xml:space="preserve">published </w:t>
      </w:r>
      <w:r w:rsidR="00745FCE">
        <w:rPr>
          <w:bCs/>
        </w:rPr>
        <w:t>by the end of year 5</w:t>
      </w:r>
      <w:r w:rsidR="00F8730D">
        <w:rPr>
          <w:bCs/>
        </w:rPr>
        <w:t xml:space="preserve"> (our measure of talent)</w:t>
      </w:r>
      <w:r w:rsidR="00745FCE">
        <w:rPr>
          <w:bCs/>
        </w:rPr>
        <w:t xml:space="preserve">. We then </w:t>
      </w:r>
      <w:r w:rsidR="008F082A">
        <w:rPr>
          <w:bCs/>
        </w:rPr>
        <w:t xml:space="preserve">partition authors to </w:t>
      </w:r>
      <w:r w:rsidR="003A786B">
        <w:rPr>
          <w:bCs/>
        </w:rPr>
        <w:t>g</w:t>
      </w:r>
      <w:r w:rsidR="008F082A">
        <w:rPr>
          <w:bCs/>
        </w:rPr>
        <w:t>roups</w:t>
      </w:r>
      <w:r w:rsidR="00F71A3D">
        <w:rPr>
          <w:bCs/>
        </w:rPr>
        <w:t xml:space="preserve"> according to</w:t>
      </w:r>
      <w:r w:rsidR="00551EC3">
        <w:rPr>
          <w:bCs/>
        </w:rPr>
        <w:t xml:space="preserve"> the tier level of</w:t>
      </w:r>
      <w:r w:rsidR="00F71A3D">
        <w:rPr>
          <w:bCs/>
        </w:rPr>
        <w:t xml:space="preserve"> their first affiliation and</w:t>
      </w:r>
      <w:r w:rsidR="00551EC3">
        <w:rPr>
          <w:bCs/>
        </w:rPr>
        <w:t xml:space="preserve"> according to their</w:t>
      </w:r>
      <w:r w:rsidR="00F71A3D">
        <w:rPr>
          <w:bCs/>
        </w:rPr>
        <w:t xml:space="preserve"> </w:t>
      </w:r>
      <w:r w:rsidR="00F8730D">
        <w:rPr>
          <w:bCs/>
        </w:rPr>
        <w:t xml:space="preserve">talent. </w:t>
      </w:r>
      <w:r w:rsidR="008F082A">
        <w:rPr>
          <w:bCs/>
        </w:rPr>
        <w:t xml:space="preserve">Table 4 provides difference of means test in accumulated productivity </w:t>
      </w:r>
      <w:r w:rsidR="00F71A3D" w:rsidRPr="00F71A3D">
        <w:rPr>
          <w:bCs/>
        </w:rPr>
        <w:t>in years 6-10</w:t>
      </w:r>
      <w:r w:rsidR="00F71A3D">
        <w:rPr>
          <w:bCs/>
        </w:rPr>
        <w:t xml:space="preserve">, </w:t>
      </w:r>
      <w:r w:rsidR="008F082A">
        <w:rPr>
          <w:bCs/>
        </w:rPr>
        <w:t xml:space="preserve">between top-tier and second-tier authors that had </w:t>
      </w:r>
      <w:r w:rsidR="00F8730D">
        <w:rPr>
          <w:bCs/>
        </w:rPr>
        <w:t xml:space="preserve">same observed talent </w:t>
      </w:r>
      <w:r w:rsidR="00030959">
        <w:rPr>
          <w:bCs/>
        </w:rPr>
        <w:t>at year 5</w:t>
      </w:r>
      <w:r w:rsidR="00F8730D">
        <w:rPr>
          <w:bCs/>
        </w:rPr>
        <w:t xml:space="preserve">. </w:t>
      </w:r>
      <w:r w:rsidR="008F082A">
        <w:rPr>
          <w:bCs/>
        </w:rPr>
        <w:t xml:space="preserve">In this analysis we follow 90% of </w:t>
      </w:r>
      <w:r w:rsidR="00C87FF5">
        <w:rPr>
          <w:bCs/>
        </w:rPr>
        <w:t xml:space="preserve">the </w:t>
      </w:r>
      <w:r w:rsidR="008F082A">
        <w:rPr>
          <w:bCs/>
        </w:rPr>
        <w:t xml:space="preserve">authors, </w:t>
      </w:r>
      <w:r w:rsidR="00551EC3">
        <w:rPr>
          <w:bCs/>
        </w:rPr>
        <w:t xml:space="preserve">namely, </w:t>
      </w:r>
      <w:r w:rsidR="008F082A">
        <w:rPr>
          <w:bCs/>
        </w:rPr>
        <w:t>those that ha</w:t>
      </w:r>
      <w:r w:rsidR="009B09B1">
        <w:rPr>
          <w:bCs/>
        </w:rPr>
        <w:t>d</w:t>
      </w:r>
      <w:r w:rsidR="008F082A">
        <w:rPr>
          <w:bCs/>
        </w:rPr>
        <w:t xml:space="preserve"> between zero and four A articles by year 5</w:t>
      </w:r>
      <w:r w:rsidR="00534913">
        <w:rPr>
          <w:bCs/>
        </w:rPr>
        <w:t>.</w:t>
      </w:r>
      <w:r w:rsidR="000367F4">
        <w:rPr>
          <w:rStyle w:val="FootnoteReference"/>
          <w:bCs/>
        </w:rPr>
        <w:footnoteReference w:id="13"/>
      </w:r>
      <w:r w:rsidR="008F082A">
        <w:rPr>
          <w:bCs/>
        </w:rPr>
        <w:t xml:space="preserve"> </w:t>
      </w:r>
      <w:r w:rsidR="00010CA0">
        <w:rPr>
          <w:bCs/>
        </w:rPr>
        <w:t>The takeaway from Table 4 is that</w:t>
      </w:r>
      <w:r w:rsidR="000367F4">
        <w:rPr>
          <w:bCs/>
        </w:rPr>
        <w:t xml:space="preserve"> authors with </w:t>
      </w:r>
      <w:r w:rsidR="00551EC3">
        <w:rPr>
          <w:bCs/>
        </w:rPr>
        <w:t xml:space="preserve">the same </w:t>
      </w:r>
      <w:r w:rsidR="009B09B1">
        <w:rPr>
          <w:bCs/>
        </w:rPr>
        <w:t>productivity</w:t>
      </w:r>
      <w:r w:rsidR="0063701C">
        <w:rPr>
          <w:bCs/>
        </w:rPr>
        <w:t xml:space="preserve"> </w:t>
      </w:r>
      <w:r w:rsidR="00551EC3">
        <w:rPr>
          <w:bCs/>
        </w:rPr>
        <w:t xml:space="preserve">level </w:t>
      </w:r>
      <w:r w:rsidR="0063701C" w:rsidRPr="0063701C">
        <w:rPr>
          <w:bCs/>
        </w:rPr>
        <w:t>early in their career</w:t>
      </w:r>
      <w:r w:rsidR="0063701C">
        <w:rPr>
          <w:bCs/>
        </w:rPr>
        <w:t xml:space="preserve">, become different </w:t>
      </w:r>
      <w:r w:rsidR="003B21AF">
        <w:rPr>
          <w:bCs/>
        </w:rPr>
        <w:t xml:space="preserve">due to first-placement affiliation. </w:t>
      </w:r>
      <w:r w:rsidR="0063701C">
        <w:rPr>
          <w:bCs/>
        </w:rPr>
        <w:t>By year 10,</w:t>
      </w:r>
      <w:r w:rsidR="000367F4">
        <w:rPr>
          <w:bCs/>
        </w:rPr>
        <w:t xml:space="preserve"> the researchers with an </w:t>
      </w:r>
      <w:r w:rsidR="009B09B1">
        <w:rPr>
          <w:bCs/>
        </w:rPr>
        <w:t xml:space="preserve">initial affiliation </w:t>
      </w:r>
      <w:r w:rsidR="000367F4">
        <w:rPr>
          <w:bCs/>
        </w:rPr>
        <w:t>of a top tier university become more productive</w:t>
      </w:r>
      <w:r w:rsidR="000367F4" w:rsidRPr="000367F4">
        <w:rPr>
          <w:bCs/>
        </w:rPr>
        <w:t xml:space="preserve"> </w:t>
      </w:r>
      <w:r w:rsidR="000367F4">
        <w:rPr>
          <w:bCs/>
        </w:rPr>
        <w:t xml:space="preserve">than the researchers </w:t>
      </w:r>
      <w:r w:rsidR="0063701C">
        <w:rPr>
          <w:bCs/>
        </w:rPr>
        <w:t>affiliated</w:t>
      </w:r>
      <w:r w:rsidR="000367F4">
        <w:rPr>
          <w:bCs/>
        </w:rPr>
        <w:t xml:space="preserve"> </w:t>
      </w:r>
      <w:r w:rsidR="0063701C">
        <w:rPr>
          <w:bCs/>
        </w:rPr>
        <w:t>with</w:t>
      </w:r>
      <w:r w:rsidR="000367F4">
        <w:rPr>
          <w:bCs/>
        </w:rPr>
        <w:t xml:space="preserve"> a lower tier university</w:t>
      </w:r>
      <w:r w:rsidR="00960D96">
        <w:rPr>
          <w:bCs/>
        </w:rPr>
        <w:t xml:space="preserve">. </w:t>
      </w:r>
      <w:r w:rsidR="00010CA0">
        <w:rPr>
          <w:bCs/>
        </w:rPr>
        <w:t>By year 8, t</w:t>
      </w:r>
      <w:r w:rsidR="00960D96">
        <w:rPr>
          <w:bCs/>
        </w:rPr>
        <w:t xml:space="preserve">he difference in accumulated A articles between top-tier and second-tier </w:t>
      </w:r>
      <w:r w:rsidR="00551EC3">
        <w:rPr>
          <w:bCs/>
        </w:rPr>
        <w:t xml:space="preserve">affiliated authors </w:t>
      </w:r>
      <w:r w:rsidR="00960D96">
        <w:rPr>
          <w:bCs/>
        </w:rPr>
        <w:t xml:space="preserve">is </w:t>
      </w:r>
      <w:r w:rsidR="00010CA0">
        <w:rPr>
          <w:bCs/>
        </w:rPr>
        <w:t xml:space="preserve">significant across all </w:t>
      </w:r>
      <w:r w:rsidR="00B305DD">
        <w:rPr>
          <w:bCs/>
        </w:rPr>
        <w:t xml:space="preserve">initial </w:t>
      </w:r>
      <w:r w:rsidR="00F8730D">
        <w:rPr>
          <w:bCs/>
        </w:rPr>
        <w:t>talent</w:t>
      </w:r>
      <w:r w:rsidR="003B21AF">
        <w:rPr>
          <w:bCs/>
        </w:rPr>
        <w:t xml:space="preserve"> </w:t>
      </w:r>
      <w:r w:rsidR="00010CA0">
        <w:rPr>
          <w:bCs/>
        </w:rPr>
        <w:t xml:space="preserve">levels. As one may expect, the average difference in accumulated productivity is larger in magnitude for the more </w:t>
      </w:r>
      <w:r w:rsidR="007A7E77">
        <w:rPr>
          <w:bCs/>
        </w:rPr>
        <w:t xml:space="preserve">talented </w:t>
      </w:r>
      <w:r w:rsidR="00010CA0">
        <w:rPr>
          <w:bCs/>
        </w:rPr>
        <w:t>authors</w:t>
      </w:r>
      <w:r w:rsidR="007A7E77">
        <w:rPr>
          <w:bCs/>
        </w:rPr>
        <w:t xml:space="preserve">, </w:t>
      </w:r>
      <w:r w:rsidR="00383527">
        <w:rPr>
          <w:bCs/>
        </w:rPr>
        <w:t xml:space="preserve">i.e. </w:t>
      </w:r>
      <w:r w:rsidR="007A7E77">
        <w:rPr>
          <w:bCs/>
        </w:rPr>
        <w:t xml:space="preserve">those who have a higher initial </w:t>
      </w:r>
      <w:r w:rsidR="00383527">
        <w:rPr>
          <w:bCs/>
        </w:rPr>
        <w:t>productivity</w:t>
      </w:r>
      <w:r w:rsidR="00010CA0">
        <w:rPr>
          <w:bCs/>
        </w:rPr>
        <w:t xml:space="preserve">.  </w:t>
      </w:r>
    </w:p>
    <w:p w14:paraId="3FBC5CA8" w14:textId="041A9B82" w:rsidR="00010CA0" w:rsidRDefault="00010CA0" w:rsidP="009F5015">
      <w:pPr>
        <w:spacing w:line="408" w:lineRule="auto"/>
        <w:ind w:firstLine="720"/>
        <w:jc w:val="both"/>
        <w:rPr>
          <w:bCs/>
        </w:rPr>
      </w:pPr>
      <w:r>
        <w:rPr>
          <w:bCs/>
        </w:rPr>
        <w:t>Figure 3 provides the same information as Table 4</w:t>
      </w:r>
      <w:r w:rsidR="0063701C">
        <w:rPr>
          <w:bCs/>
        </w:rPr>
        <w:t>,</w:t>
      </w:r>
      <w:r>
        <w:rPr>
          <w:bCs/>
        </w:rPr>
        <w:t xml:space="preserve"> </w:t>
      </w:r>
      <w:r w:rsidR="00F87C7A">
        <w:rPr>
          <w:bCs/>
        </w:rPr>
        <w:t xml:space="preserve">but </w:t>
      </w:r>
      <w:r w:rsidR="009F5015">
        <w:rPr>
          <w:bCs/>
        </w:rPr>
        <w:t>rather than</w:t>
      </w:r>
      <w:r w:rsidR="00F87C7A">
        <w:rPr>
          <w:bCs/>
        </w:rPr>
        <w:t xml:space="preserve"> </w:t>
      </w:r>
      <w:r w:rsidR="0063701C">
        <w:rPr>
          <w:bCs/>
        </w:rPr>
        <w:t xml:space="preserve">the </w:t>
      </w:r>
      <w:r w:rsidR="00F87C7A">
        <w:rPr>
          <w:bCs/>
        </w:rPr>
        <w:t xml:space="preserve">total accumulated productivity at year 6-10, it </w:t>
      </w:r>
      <w:r w:rsidR="0063701C">
        <w:rPr>
          <w:bCs/>
        </w:rPr>
        <w:t xml:space="preserve">includes </w:t>
      </w:r>
      <w:r w:rsidR="00F87C7A">
        <w:rPr>
          <w:bCs/>
        </w:rPr>
        <w:t>the accumulated productivity of authors starting at year 6 (</w:t>
      </w:r>
      <w:r w:rsidR="00E119BB">
        <w:rPr>
          <w:bCs/>
        </w:rPr>
        <w:t xml:space="preserve">therefore </w:t>
      </w:r>
      <w:r w:rsidR="00F87C7A">
        <w:rPr>
          <w:bCs/>
        </w:rPr>
        <w:t>all plots start from the origin)</w:t>
      </w:r>
      <w:r>
        <w:rPr>
          <w:bCs/>
        </w:rPr>
        <w:t>. The black</w:t>
      </w:r>
      <w:r w:rsidR="00E119BB">
        <w:rPr>
          <w:bCs/>
        </w:rPr>
        <w:t>-lined</w:t>
      </w:r>
      <w:r>
        <w:rPr>
          <w:bCs/>
        </w:rPr>
        <w:t xml:space="preserve"> plots are of authors whose first placement is a top-tier university, while the red</w:t>
      </w:r>
      <w:r w:rsidR="00E119BB">
        <w:rPr>
          <w:bCs/>
        </w:rPr>
        <w:t>-lined</w:t>
      </w:r>
      <w:r>
        <w:rPr>
          <w:bCs/>
        </w:rPr>
        <w:t xml:space="preserve"> plots are of authors whose first placement is a second-tier university. </w:t>
      </w:r>
      <w:r w:rsidR="00F87C7A">
        <w:rPr>
          <w:bCs/>
        </w:rPr>
        <w:t xml:space="preserve">Plots that have the same </w:t>
      </w:r>
      <w:r w:rsidR="00E119BB">
        <w:rPr>
          <w:bCs/>
        </w:rPr>
        <w:t xml:space="preserve">composition </w:t>
      </w:r>
      <w:r w:rsidR="00F87C7A">
        <w:rPr>
          <w:bCs/>
        </w:rPr>
        <w:t xml:space="preserve">(solid, dash, etc.) correspond to authors of similar </w:t>
      </w:r>
      <w:r w:rsidR="00F8730D">
        <w:rPr>
          <w:bCs/>
        </w:rPr>
        <w:t>talent</w:t>
      </w:r>
      <w:r w:rsidR="00533BE0">
        <w:rPr>
          <w:bCs/>
        </w:rPr>
        <w:t xml:space="preserve">, i.e., </w:t>
      </w:r>
      <w:r w:rsidR="0063701C">
        <w:rPr>
          <w:bCs/>
        </w:rPr>
        <w:t xml:space="preserve">accumulated </w:t>
      </w:r>
      <w:r w:rsidR="00F87C7A">
        <w:rPr>
          <w:bCs/>
        </w:rPr>
        <w:t>productivity at end of year 5. There are few takeaways that are easier to see in the figure than in the table. First, one can clearly observe that the black</w:t>
      </w:r>
      <w:r w:rsidR="00E119BB">
        <w:rPr>
          <w:bCs/>
        </w:rPr>
        <w:t>-lined</w:t>
      </w:r>
      <w:r w:rsidR="00F87C7A">
        <w:rPr>
          <w:bCs/>
        </w:rPr>
        <w:t xml:space="preserve"> plot</w:t>
      </w:r>
      <w:r w:rsidR="00E119BB">
        <w:rPr>
          <w:bCs/>
        </w:rPr>
        <w:t>s</w:t>
      </w:r>
      <w:r w:rsidR="00F87C7A">
        <w:rPr>
          <w:bCs/>
        </w:rPr>
        <w:t xml:space="preserve"> </w:t>
      </w:r>
      <w:r w:rsidR="00E119BB">
        <w:rPr>
          <w:bCs/>
        </w:rPr>
        <w:t xml:space="preserve">are </w:t>
      </w:r>
      <w:r w:rsidR="00F87C7A">
        <w:rPr>
          <w:bCs/>
        </w:rPr>
        <w:t>above the red</w:t>
      </w:r>
      <w:r w:rsidR="00E119BB">
        <w:rPr>
          <w:bCs/>
        </w:rPr>
        <w:t>-lined</w:t>
      </w:r>
      <w:r w:rsidR="00F87C7A">
        <w:rPr>
          <w:bCs/>
        </w:rPr>
        <w:t xml:space="preserve"> plot</w:t>
      </w:r>
      <w:r w:rsidR="00E119BB">
        <w:rPr>
          <w:bCs/>
        </w:rPr>
        <w:t>s</w:t>
      </w:r>
      <w:r w:rsidR="00F87C7A">
        <w:rPr>
          <w:bCs/>
        </w:rPr>
        <w:t xml:space="preserve"> for all initial </w:t>
      </w:r>
      <w:r w:rsidR="00F8730D">
        <w:rPr>
          <w:bCs/>
        </w:rPr>
        <w:t xml:space="preserve">talent </w:t>
      </w:r>
      <w:r w:rsidR="00F87C7A">
        <w:rPr>
          <w:bCs/>
        </w:rPr>
        <w:t xml:space="preserve">levels. </w:t>
      </w:r>
      <w:r w:rsidR="00652A24">
        <w:rPr>
          <w:bCs/>
        </w:rPr>
        <w:t>Second, the slope of plots within a tier level (within a plot color) is higher</w:t>
      </w:r>
      <w:r w:rsidR="0063701C">
        <w:rPr>
          <w:bCs/>
        </w:rPr>
        <w:t xml:space="preserve">, the </w:t>
      </w:r>
      <w:r w:rsidR="00652A24">
        <w:rPr>
          <w:bCs/>
        </w:rPr>
        <w:t xml:space="preserve">higher was the </w:t>
      </w:r>
      <w:r w:rsidR="00E119BB">
        <w:rPr>
          <w:bCs/>
        </w:rPr>
        <w:t>initial talent</w:t>
      </w:r>
      <w:r w:rsidR="00652A24">
        <w:rPr>
          <w:bCs/>
        </w:rPr>
        <w:t xml:space="preserve">. Hence, </w:t>
      </w:r>
      <w:r w:rsidR="00264D1C">
        <w:rPr>
          <w:bCs/>
        </w:rPr>
        <w:t>authors’</w:t>
      </w:r>
      <w:r w:rsidR="00652A24">
        <w:rPr>
          <w:bCs/>
        </w:rPr>
        <w:t xml:space="preserve"> productivity is </w:t>
      </w:r>
      <w:r w:rsidR="0063701C">
        <w:rPr>
          <w:bCs/>
        </w:rPr>
        <w:t>persistent</w:t>
      </w:r>
      <w:r w:rsidR="00BF6F44">
        <w:rPr>
          <w:bCs/>
        </w:rPr>
        <w:t>ly related to talent</w:t>
      </w:r>
      <w:r w:rsidR="00652A24">
        <w:rPr>
          <w:bCs/>
        </w:rPr>
        <w:t>. Third</w:t>
      </w:r>
      <w:r w:rsidR="00F87C7A">
        <w:rPr>
          <w:bCs/>
        </w:rPr>
        <w:t xml:space="preserve">, the </w:t>
      </w:r>
      <w:r w:rsidR="00840A84">
        <w:rPr>
          <w:bCs/>
        </w:rPr>
        <w:t xml:space="preserve">trajectory </w:t>
      </w:r>
      <w:r w:rsidR="003E6AE6">
        <w:rPr>
          <w:bCs/>
        </w:rPr>
        <w:t xml:space="preserve">of </w:t>
      </w:r>
      <w:r w:rsidR="00F87C7A">
        <w:rPr>
          <w:bCs/>
        </w:rPr>
        <w:t xml:space="preserve">the average accumulated productivity of zero A articles of authors whose first placement is top-tier is similar to </w:t>
      </w:r>
      <w:r w:rsidR="003E6AE6">
        <w:rPr>
          <w:bCs/>
        </w:rPr>
        <w:t>that</w:t>
      </w:r>
      <w:r w:rsidR="00F87C7A">
        <w:rPr>
          <w:bCs/>
        </w:rPr>
        <w:t xml:space="preserve"> of authors with one A article</w:t>
      </w:r>
      <w:r w:rsidR="00383527">
        <w:rPr>
          <w:bCs/>
        </w:rPr>
        <w:t>, and</w:t>
      </w:r>
      <w:r w:rsidR="00F87C7A">
        <w:rPr>
          <w:bCs/>
        </w:rPr>
        <w:t xml:space="preserve"> whose first placement is second-tier. </w:t>
      </w:r>
      <w:r w:rsidR="00652A24">
        <w:rPr>
          <w:bCs/>
        </w:rPr>
        <w:t>Fourth</w:t>
      </w:r>
      <w:r w:rsidR="00F87C7A">
        <w:rPr>
          <w:bCs/>
        </w:rPr>
        <w:t xml:space="preserve">, the most </w:t>
      </w:r>
      <w:r w:rsidR="00840A84">
        <w:rPr>
          <w:bCs/>
        </w:rPr>
        <w:t xml:space="preserve">talented </w:t>
      </w:r>
      <w:r w:rsidR="00F87C7A">
        <w:rPr>
          <w:bCs/>
        </w:rPr>
        <w:t xml:space="preserve">authors </w:t>
      </w:r>
      <w:r w:rsidR="0063701C">
        <w:rPr>
          <w:bCs/>
        </w:rPr>
        <w:t xml:space="preserve">in </w:t>
      </w:r>
      <w:r w:rsidR="00F87C7A">
        <w:rPr>
          <w:bCs/>
        </w:rPr>
        <w:t>second-tier universities (</w:t>
      </w:r>
      <w:r w:rsidR="00840A84">
        <w:rPr>
          <w:bCs/>
        </w:rPr>
        <w:t xml:space="preserve">the </w:t>
      </w:r>
      <w:r w:rsidR="00F87C7A">
        <w:rPr>
          <w:bCs/>
        </w:rPr>
        <w:t xml:space="preserve">3 A and 4 A </w:t>
      </w:r>
      <w:r w:rsidR="00840A84">
        <w:rPr>
          <w:bCs/>
        </w:rPr>
        <w:t xml:space="preserve">red-line </w:t>
      </w:r>
      <w:r w:rsidR="00F87C7A">
        <w:rPr>
          <w:bCs/>
        </w:rPr>
        <w:t xml:space="preserve">plots), have a similar trajectory </w:t>
      </w:r>
      <w:r w:rsidR="00652A24">
        <w:rPr>
          <w:bCs/>
        </w:rPr>
        <w:t xml:space="preserve">to that of authors whose first placement is a top-tier school but have only </w:t>
      </w:r>
      <w:r w:rsidR="00840A84">
        <w:rPr>
          <w:bCs/>
        </w:rPr>
        <w:t>medium talent (</w:t>
      </w:r>
      <w:r w:rsidR="00652A24">
        <w:rPr>
          <w:bCs/>
        </w:rPr>
        <w:t>2 A articles by year 5</w:t>
      </w:r>
      <w:r w:rsidR="00840A84">
        <w:rPr>
          <w:bCs/>
        </w:rPr>
        <w:t>)</w:t>
      </w:r>
      <w:r w:rsidR="00652A24">
        <w:rPr>
          <w:bCs/>
        </w:rPr>
        <w:t xml:space="preserve">. </w:t>
      </w:r>
      <w:r w:rsidR="00F87C7A">
        <w:rPr>
          <w:bCs/>
        </w:rPr>
        <w:t xml:space="preserve"> </w:t>
      </w:r>
      <w:r w:rsidR="00652A24">
        <w:rPr>
          <w:bCs/>
        </w:rPr>
        <w:t xml:space="preserve">Overall, the evidence is consistent with </w:t>
      </w:r>
      <w:r w:rsidR="008B20FD">
        <w:rPr>
          <w:bCs/>
        </w:rPr>
        <w:t xml:space="preserve">the notion that </w:t>
      </w:r>
      <w:r w:rsidR="008B20FD">
        <w:rPr>
          <w:bCs/>
        </w:rPr>
        <w:lastRenderedPageBreak/>
        <w:t xml:space="preserve">the </w:t>
      </w:r>
      <w:r w:rsidR="00652A24">
        <w:rPr>
          <w:bCs/>
        </w:rPr>
        <w:t xml:space="preserve">first placement decision </w:t>
      </w:r>
      <w:r w:rsidR="008B20FD">
        <w:rPr>
          <w:bCs/>
        </w:rPr>
        <w:t xml:space="preserve">makes </w:t>
      </w:r>
      <w:r w:rsidR="00652A24">
        <w:rPr>
          <w:bCs/>
        </w:rPr>
        <w:t xml:space="preserve">a difference, after controlling for the </w:t>
      </w:r>
      <w:r w:rsidR="00F8730D">
        <w:rPr>
          <w:bCs/>
        </w:rPr>
        <w:t>talent</w:t>
      </w:r>
      <w:r w:rsidR="003B21AF">
        <w:rPr>
          <w:bCs/>
        </w:rPr>
        <w:t xml:space="preserve"> </w:t>
      </w:r>
      <w:r w:rsidR="00652A24">
        <w:rPr>
          <w:bCs/>
        </w:rPr>
        <w:t xml:space="preserve">of individuals. Hence, we interpret the results </w:t>
      </w:r>
      <w:r w:rsidR="0063701C">
        <w:rPr>
          <w:bCs/>
        </w:rPr>
        <w:t xml:space="preserve">as </w:t>
      </w:r>
      <w:r w:rsidR="00652A24">
        <w:rPr>
          <w:bCs/>
        </w:rPr>
        <w:t xml:space="preserve">evidence that institutional nurturing is a major contributor to the </w:t>
      </w:r>
      <w:r w:rsidR="00DF0DEC">
        <w:rPr>
          <w:bCs/>
        </w:rPr>
        <w:t xml:space="preserve">research productivity </w:t>
      </w:r>
      <w:r w:rsidR="00652A24">
        <w:rPr>
          <w:bCs/>
        </w:rPr>
        <w:t>of researchers.</w:t>
      </w:r>
    </w:p>
    <w:p w14:paraId="7462BA09" w14:textId="77777777" w:rsidR="00E30C3A" w:rsidRDefault="00E30C3A" w:rsidP="001C25BA">
      <w:pPr>
        <w:spacing w:line="408" w:lineRule="auto"/>
        <w:ind w:firstLine="720"/>
        <w:jc w:val="both"/>
        <w:rPr>
          <w:b/>
        </w:rPr>
      </w:pPr>
    </w:p>
    <w:p w14:paraId="4DBF2819" w14:textId="42EDA6F7" w:rsidR="0000134F" w:rsidRPr="008C6837" w:rsidRDefault="0000134F" w:rsidP="00F8730D">
      <w:pPr>
        <w:spacing w:line="408" w:lineRule="auto"/>
        <w:ind w:firstLine="720"/>
        <w:jc w:val="both"/>
        <w:rPr>
          <w:b/>
        </w:rPr>
      </w:pPr>
      <w:r w:rsidRPr="008C6837">
        <w:rPr>
          <w:b/>
        </w:rPr>
        <w:t>4</w:t>
      </w:r>
      <w:r w:rsidR="00E30C3A">
        <w:rPr>
          <w:b/>
        </w:rPr>
        <w:t>.2</w:t>
      </w:r>
      <w:r w:rsidRPr="008C6837">
        <w:rPr>
          <w:b/>
        </w:rPr>
        <w:t xml:space="preserve"> Quantifying the </w:t>
      </w:r>
      <w:r w:rsidR="00F8730D">
        <w:rPr>
          <w:b/>
        </w:rPr>
        <w:t>talent</w:t>
      </w:r>
      <w:r w:rsidR="00F8730D" w:rsidRPr="008C6837">
        <w:rPr>
          <w:b/>
        </w:rPr>
        <w:t xml:space="preserve"> </w:t>
      </w:r>
      <w:r w:rsidRPr="008C6837">
        <w:rPr>
          <w:b/>
        </w:rPr>
        <w:t>and nurture component in productivity</w:t>
      </w:r>
    </w:p>
    <w:p w14:paraId="6F5FBB95" w14:textId="0CF0915A" w:rsidR="008C6837" w:rsidRDefault="0000134F" w:rsidP="00004595">
      <w:pPr>
        <w:spacing w:line="408" w:lineRule="auto"/>
        <w:ind w:firstLine="720"/>
        <w:jc w:val="both"/>
        <w:rPr>
          <w:bCs/>
        </w:rPr>
      </w:pPr>
      <w:r>
        <w:rPr>
          <w:bCs/>
        </w:rPr>
        <w:t xml:space="preserve">We next analyze </w:t>
      </w:r>
      <w:r w:rsidR="0003651C">
        <w:rPr>
          <w:bCs/>
        </w:rPr>
        <w:t>the extent to which</w:t>
      </w:r>
      <w:r w:rsidR="001351E4">
        <w:rPr>
          <w:bCs/>
        </w:rPr>
        <w:t xml:space="preserve"> a researcher's productivity can be </w:t>
      </w:r>
      <w:r w:rsidR="003E6AE6">
        <w:rPr>
          <w:bCs/>
        </w:rPr>
        <w:t xml:space="preserve">attributed </w:t>
      </w:r>
      <w:r w:rsidR="001351E4">
        <w:rPr>
          <w:bCs/>
        </w:rPr>
        <w:t>to the better nurturing environment that exists in top</w:t>
      </w:r>
      <w:r w:rsidR="008C6837">
        <w:rPr>
          <w:bCs/>
        </w:rPr>
        <w:t>-tier universities. For this, we analyze research productivity in the years 6-10 (</w:t>
      </w:r>
      <w:r w:rsidR="004F4565">
        <w:rPr>
          <w:bCs/>
        </w:rPr>
        <w:t xml:space="preserve">Sample </w:t>
      </w:r>
      <w:r w:rsidR="008C6837">
        <w:rPr>
          <w:bCs/>
        </w:rPr>
        <w:t>1) and years 6-20 (</w:t>
      </w:r>
      <w:r w:rsidR="004F4565">
        <w:rPr>
          <w:bCs/>
        </w:rPr>
        <w:t xml:space="preserve">Sample </w:t>
      </w:r>
      <w:r w:rsidR="008C6837">
        <w:rPr>
          <w:bCs/>
        </w:rPr>
        <w:t xml:space="preserve">2) as a function of the </w:t>
      </w:r>
      <w:r w:rsidR="004F4565">
        <w:rPr>
          <w:bCs/>
        </w:rPr>
        <w:t xml:space="preserve">talent </w:t>
      </w:r>
      <w:r w:rsidR="008C6837">
        <w:rPr>
          <w:bCs/>
        </w:rPr>
        <w:t xml:space="preserve">and nurture component of the individual. Namely, we </w:t>
      </w:r>
      <w:r w:rsidR="00004595">
        <w:rPr>
          <w:bCs/>
        </w:rPr>
        <w:t xml:space="preserve">estimate </w:t>
      </w:r>
      <w:r w:rsidR="008C6837">
        <w:rPr>
          <w:bCs/>
        </w:rPr>
        <w:t>the following regression specification,</w:t>
      </w:r>
    </w:p>
    <w:p w14:paraId="7F80709D" w14:textId="3EF2CBF4" w:rsidR="0000134F" w:rsidRDefault="0000134F" w:rsidP="00F8730D">
      <w:pPr>
        <w:spacing w:line="408" w:lineRule="auto"/>
        <w:ind w:firstLine="720"/>
        <w:jc w:val="both"/>
        <w:rPr>
          <w:bCs/>
        </w:rPr>
      </w:pPr>
      <w:r>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i,t</m:t>
            </m:r>
          </m:sub>
        </m:sSub>
        <m:r>
          <w:rPr>
            <w:rFonts w:ascii="Cambria Math" w:hAnsi="Cambria Math"/>
          </w:rPr>
          <m:t>=α+</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Talent</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Nurture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ε</m:t>
            </m:r>
          </m:e>
          <m:sub>
            <m:r>
              <w:rPr>
                <w:rFonts w:ascii="Cambria Math" w:hAnsi="Cambria Math"/>
              </w:rPr>
              <m:t>i,t</m:t>
            </m:r>
          </m:sub>
        </m:sSub>
      </m:oMath>
      <w:r w:rsidR="00DA3B6D">
        <w:rPr>
          <w:bCs/>
        </w:rPr>
        <w:t xml:space="preserve"> </w:t>
      </w:r>
      <w:r w:rsidR="00DA3B6D">
        <w:rPr>
          <w:bCs/>
        </w:rPr>
        <w:tab/>
      </w:r>
      <w:r w:rsidR="00DA3B6D">
        <w:rPr>
          <w:bCs/>
        </w:rPr>
        <w:tab/>
      </w:r>
      <w:r w:rsidR="00DA3B6D">
        <w:rPr>
          <w:bCs/>
        </w:rPr>
        <w:tab/>
      </w:r>
      <w:r w:rsidR="00DA3B6D">
        <w:rPr>
          <w:bCs/>
        </w:rPr>
        <w:tab/>
      </w:r>
      <w:r w:rsidR="00DA3B6D">
        <w:rPr>
          <w:bCs/>
        </w:rPr>
        <w:tab/>
        <w:t>(1)</w:t>
      </w:r>
    </w:p>
    <w:p w14:paraId="107BA382" w14:textId="0404DD66" w:rsidR="002212C0" w:rsidRDefault="00DA3B6D">
      <w:pPr>
        <w:spacing w:line="408" w:lineRule="auto"/>
        <w:ind w:firstLine="720"/>
        <w:jc w:val="both"/>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i,t</m:t>
            </m:r>
          </m:sub>
        </m:sSub>
      </m:oMath>
      <w:r>
        <w:rPr>
          <w:bCs/>
        </w:rPr>
        <w:t xml:space="preserve"> is an indicator that equals one if author </w:t>
      </w:r>
      <w:proofErr w:type="spellStart"/>
      <w:r w:rsidRPr="00DA3B6D">
        <w:rPr>
          <w:bCs/>
          <w:i/>
          <w:iCs/>
          <w:lang w:bidi="he-IL"/>
        </w:rPr>
        <w:t>i</w:t>
      </w:r>
      <w:proofErr w:type="spellEnd"/>
      <w:r>
        <w:rPr>
          <w:bCs/>
          <w:lang w:bidi="he-IL"/>
        </w:rPr>
        <w:t xml:space="preserve"> published at least one </w:t>
      </w:r>
      <w:proofErr w:type="spellStart"/>
      <w:r>
        <w:rPr>
          <w:bCs/>
          <w:lang w:bidi="he-IL"/>
        </w:rPr>
        <w:t>A</w:t>
      </w:r>
      <w:proofErr w:type="spellEnd"/>
      <w:r>
        <w:rPr>
          <w:bCs/>
          <w:lang w:bidi="he-IL"/>
        </w:rPr>
        <w:t xml:space="preserve"> article during tenure year </w:t>
      </w:r>
      <w:r w:rsidRPr="00DA3B6D">
        <w:rPr>
          <w:bCs/>
          <w:i/>
          <w:iCs/>
          <w:lang w:bidi="he-IL"/>
        </w:rPr>
        <w:t>t</w:t>
      </w:r>
      <w:r w:rsidR="0044284E">
        <w:rPr>
          <w:bCs/>
          <w:lang w:bidi="he-IL"/>
        </w:rPr>
        <w:t xml:space="preserve"> (</w:t>
      </w:r>
      <m:oMath>
        <m:r>
          <w:rPr>
            <w:rFonts w:ascii="Cambria Math" w:hAnsi="Cambria Math"/>
            <w:lang w:bidi="he-IL"/>
          </w:rPr>
          <m:t xml:space="preserve">5&lt;t≤10 or 5&lt;t≤20, </m:t>
        </m:r>
        <m:r>
          <m:rPr>
            <m:sty m:val="p"/>
          </m:rPr>
          <w:rPr>
            <w:rFonts w:ascii="Cambria Math" w:hAnsi="Cambria Math"/>
            <w:lang w:bidi="he-IL"/>
          </w:rPr>
          <m:t>depending on the Sample</m:t>
        </m:r>
        <m:r>
          <w:rPr>
            <w:rFonts w:ascii="Cambria Math" w:hAnsi="Cambria Math"/>
            <w:lang w:bidi="he-IL"/>
          </w:rPr>
          <m:t>)</m:t>
        </m:r>
      </m:oMath>
      <w:r>
        <w:rPr>
          <w:bCs/>
          <w:lang w:bidi="he-IL"/>
        </w:rPr>
        <w:t>, and zero otherwise</w:t>
      </w:r>
      <w:r>
        <w:rPr>
          <w:bCs/>
        </w:rPr>
        <w:t>,</w:t>
      </w:r>
      <w:r w:rsidR="003B21AF">
        <w:rPr>
          <w:bCs/>
        </w:rPr>
        <w:t xml:space="preserve"> </w:t>
      </w:r>
      <w:r w:rsidR="004F4565" w:rsidRPr="00DF0DEC">
        <w:rPr>
          <w:bCs/>
          <w:i/>
          <w:iCs/>
        </w:rPr>
        <w:t>Talent</w:t>
      </w:r>
      <w:r>
        <w:rPr>
          <w:bCs/>
        </w:rPr>
        <w:t xml:space="preserve"> </w:t>
      </w:r>
      <w:r w:rsidRPr="00DA3B6D">
        <w:rPr>
          <w:bCs/>
        </w:rPr>
        <w:t xml:space="preserve">is the number of A </w:t>
      </w:r>
      <w:r>
        <w:rPr>
          <w:bCs/>
        </w:rPr>
        <w:t>articles</w:t>
      </w:r>
      <w:r w:rsidR="004F4565">
        <w:rPr>
          <w:bCs/>
        </w:rPr>
        <w:t xml:space="preserve"> </w:t>
      </w:r>
      <w:r w:rsidRPr="00DA3B6D">
        <w:rPr>
          <w:bCs/>
        </w:rPr>
        <w:t xml:space="preserve">accumulated by </w:t>
      </w:r>
      <w:r w:rsidR="004F4565">
        <w:rPr>
          <w:bCs/>
        </w:rPr>
        <w:t>a</w:t>
      </w:r>
      <w:r w:rsidRPr="00DA3B6D">
        <w:rPr>
          <w:bCs/>
        </w:rPr>
        <w:t xml:space="preserve">uthor </w:t>
      </w:r>
      <w:proofErr w:type="spellStart"/>
      <w:r w:rsidR="004F4565" w:rsidRPr="004F4565">
        <w:rPr>
          <w:bCs/>
          <w:i/>
          <w:iCs/>
        </w:rPr>
        <w:t>i</w:t>
      </w:r>
      <w:proofErr w:type="spellEnd"/>
      <w:r w:rsidR="004F4565">
        <w:rPr>
          <w:bCs/>
        </w:rPr>
        <w:t xml:space="preserve"> </w:t>
      </w:r>
      <w:r w:rsidRPr="00DA3B6D">
        <w:rPr>
          <w:bCs/>
        </w:rPr>
        <w:t xml:space="preserve">till </w:t>
      </w:r>
      <w:r w:rsidR="0003651C">
        <w:rPr>
          <w:bCs/>
        </w:rPr>
        <w:t xml:space="preserve">year </w:t>
      </w:r>
      <w:r w:rsidRPr="00DA3B6D">
        <w:rPr>
          <w:bCs/>
        </w:rPr>
        <w:t xml:space="preserve">5; </w:t>
      </w:r>
      <w:r w:rsidRPr="00DF0DEC">
        <w:rPr>
          <w:bCs/>
          <w:i/>
          <w:iCs/>
        </w:rPr>
        <w:t>Nurture</w:t>
      </w:r>
      <w:r w:rsidRPr="00DA3B6D">
        <w:rPr>
          <w:bCs/>
        </w:rPr>
        <w:t xml:space="preserve"> equals one if the author's</w:t>
      </w:r>
      <w:r w:rsidR="004F4565">
        <w:rPr>
          <w:bCs/>
        </w:rPr>
        <w:t xml:space="preserve"> </w:t>
      </w:r>
      <w:proofErr w:type="spellStart"/>
      <w:r w:rsidR="004F4565" w:rsidRPr="004F4565">
        <w:rPr>
          <w:bCs/>
          <w:i/>
          <w:iCs/>
        </w:rPr>
        <w:t>i</w:t>
      </w:r>
      <w:proofErr w:type="spellEnd"/>
      <w:r w:rsidRPr="00DA3B6D">
        <w:rPr>
          <w:bCs/>
        </w:rPr>
        <w:t xml:space="preserve"> first affiliation (at </w:t>
      </w:r>
      <w:r w:rsidR="0044284E">
        <w:rPr>
          <w:bCs/>
        </w:rPr>
        <w:t>t</w:t>
      </w:r>
      <w:r w:rsidRPr="00DA3B6D">
        <w:rPr>
          <w:bCs/>
        </w:rPr>
        <w:t>=1) is a top-tier university, and zero if it is a second-tier university.</w:t>
      </w:r>
      <w:r>
        <w:rPr>
          <w:bCs/>
        </w:rPr>
        <w:t xml:space="preserve"> </w:t>
      </w:r>
      <w:r w:rsidR="00F95DF2">
        <w:rPr>
          <w:bCs/>
        </w:rPr>
        <w:t xml:space="preserve">Logistic regression is used to estimate </w:t>
      </w:r>
      <w:r w:rsidR="008C5FD2">
        <w:rPr>
          <w:bCs/>
        </w:rPr>
        <w:t xml:space="preserve">eq. (1). </w:t>
      </w:r>
    </w:p>
    <w:p w14:paraId="390DC0D1" w14:textId="0B5C1D83" w:rsidR="00316AEB" w:rsidRDefault="00B42DBC" w:rsidP="00D4731E">
      <w:pPr>
        <w:spacing w:line="408" w:lineRule="auto"/>
        <w:ind w:firstLine="720"/>
        <w:jc w:val="both"/>
        <w:rPr>
          <w:bCs/>
        </w:rPr>
      </w:pPr>
      <w:r>
        <w:rPr>
          <w:bCs/>
        </w:rPr>
        <w:t xml:space="preserve">Table </w:t>
      </w:r>
      <w:r w:rsidR="00F066B7">
        <w:rPr>
          <w:bCs/>
        </w:rPr>
        <w:t xml:space="preserve">5 </w:t>
      </w:r>
      <w:r w:rsidR="00400688">
        <w:rPr>
          <w:bCs/>
        </w:rPr>
        <w:t xml:space="preserve">provides the results </w:t>
      </w:r>
      <w:r w:rsidR="00F77885">
        <w:rPr>
          <w:bCs/>
        </w:rPr>
        <w:t xml:space="preserve">pertaining to the estimation of </w:t>
      </w:r>
      <w:r w:rsidR="00400688">
        <w:rPr>
          <w:bCs/>
        </w:rPr>
        <w:t>eq. (1). In specification</w:t>
      </w:r>
      <w:r w:rsidR="00F77885">
        <w:rPr>
          <w:bCs/>
        </w:rPr>
        <w:t>s</w:t>
      </w:r>
      <w:r w:rsidR="00400688">
        <w:rPr>
          <w:bCs/>
        </w:rPr>
        <w:t xml:space="preserve"> (1)-(3) the coefficient</w:t>
      </w:r>
      <w:r w:rsidR="00F77885">
        <w:rPr>
          <w:bCs/>
        </w:rPr>
        <w:t>s</w:t>
      </w:r>
      <w:r w:rsidR="00400688">
        <w:rPr>
          <w:bCs/>
        </w:rPr>
        <w:t xml:space="preserve"> </w:t>
      </w:r>
      <w:r w:rsidR="00BA5727">
        <w:rPr>
          <w:bCs/>
        </w:rPr>
        <w:t xml:space="preserve">provide the </w:t>
      </w:r>
      <w:r w:rsidR="00400688">
        <w:rPr>
          <w:bCs/>
        </w:rPr>
        <w:t>marginal effect</w:t>
      </w:r>
      <w:r w:rsidR="008F67EB">
        <w:rPr>
          <w:bCs/>
        </w:rPr>
        <w:t>s</w:t>
      </w:r>
      <w:r w:rsidR="00400688">
        <w:rPr>
          <w:bCs/>
        </w:rPr>
        <w:t xml:space="preserve"> at the mean of the sample. As expected, both </w:t>
      </w:r>
      <w:r w:rsidR="004F4565">
        <w:rPr>
          <w:bCs/>
        </w:rPr>
        <w:t xml:space="preserve">talent </w:t>
      </w:r>
      <w:r w:rsidR="00400688">
        <w:rPr>
          <w:bCs/>
        </w:rPr>
        <w:t xml:space="preserve">and nurture are significant predictors of a researcher's productivity. According to specification (1), an increase in one unit of </w:t>
      </w:r>
      <w:r w:rsidR="004F4565">
        <w:rPr>
          <w:bCs/>
        </w:rPr>
        <w:t>talent</w:t>
      </w:r>
      <w:r w:rsidR="00400688">
        <w:rPr>
          <w:bCs/>
        </w:rPr>
        <w:t xml:space="preserve"> (</w:t>
      </w:r>
      <w:r w:rsidR="008F67EB">
        <w:rPr>
          <w:bCs/>
        </w:rPr>
        <w:t xml:space="preserve">an increase in one </w:t>
      </w:r>
      <w:proofErr w:type="spellStart"/>
      <w:r w:rsidR="008F67EB">
        <w:rPr>
          <w:bCs/>
        </w:rPr>
        <w:t>A</w:t>
      </w:r>
      <w:proofErr w:type="spellEnd"/>
      <w:r w:rsidR="008F67EB">
        <w:rPr>
          <w:bCs/>
        </w:rPr>
        <w:t xml:space="preserve"> article by year 5</w:t>
      </w:r>
      <w:r w:rsidR="00400688">
        <w:rPr>
          <w:bCs/>
        </w:rPr>
        <w:t xml:space="preserve">) increases the probability of publishing in a given year (in years 6-10) by 4.5%.  According to specification (2), affiliation to a top-tier university compared to a second-tier increases the probability of publishing in a given year (in years 6-10) by 10.5%. </w:t>
      </w:r>
      <w:r w:rsidR="008F67EB">
        <w:rPr>
          <w:bCs/>
        </w:rPr>
        <w:t>S</w:t>
      </w:r>
      <w:r w:rsidR="00400688">
        <w:rPr>
          <w:bCs/>
        </w:rPr>
        <w:t xml:space="preserve">pecification (3) </w:t>
      </w:r>
      <w:r w:rsidR="002212C0">
        <w:rPr>
          <w:bCs/>
        </w:rPr>
        <w:t xml:space="preserve">estimates the </w:t>
      </w:r>
      <w:r w:rsidR="004F4565">
        <w:rPr>
          <w:bCs/>
        </w:rPr>
        <w:t>talent</w:t>
      </w:r>
      <w:r w:rsidR="00400688">
        <w:rPr>
          <w:bCs/>
        </w:rPr>
        <w:t xml:space="preserve"> and nurture </w:t>
      </w:r>
      <w:r w:rsidR="002212C0">
        <w:rPr>
          <w:bCs/>
        </w:rPr>
        <w:t>effects jointly</w:t>
      </w:r>
      <w:r w:rsidR="00400688">
        <w:rPr>
          <w:bCs/>
        </w:rPr>
        <w:t xml:space="preserve">. </w:t>
      </w:r>
      <w:r w:rsidR="008F67EB">
        <w:rPr>
          <w:bCs/>
        </w:rPr>
        <w:t xml:space="preserve">Note that </w:t>
      </w:r>
      <w:r w:rsidR="00400688">
        <w:rPr>
          <w:bCs/>
        </w:rPr>
        <w:t xml:space="preserve">the 4.1% in specification (3) is not </w:t>
      </w:r>
      <w:r w:rsidR="005D1B5B">
        <w:rPr>
          <w:bCs/>
        </w:rPr>
        <w:t>much</w:t>
      </w:r>
      <w:r w:rsidR="00400688">
        <w:rPr>
          <w:bCs/>
        </w:rPr>
        <w:t xml:space="preserve"> different than th</w:t>
      </w:r>
      <w:r w:rsidR="00726353">
        <w:rPr>
          <w:bCs/>
        </w:rPr>
        <w:t xml:space="preserve">e 4.5% estimate </w:t>
      </w:r>
      <w:r w:rsidR="00400688">
        <w:rPr>
          <w:bCs/>
        </w:rPr>
        <w:t>in specification (1)</w:t>
      </w:r>
      <w:r w:rsidR="00726353">
        <w:rPr>
          <w:bCs/>
        </w:rPr>
        <w:t xml:space="preserve">, which is consistent with the idea that </w:t>
      </w:r>
      <w:r w:rsidR="00517DC3">
        <w:rPr>
          <w:bCs/>
        </w:rPr>
        <w:t>initial productivity</w:t>
      </w:r>
      <w:r w:rsidR="00973484">
        <w:rPr>
          <w:bCs/>
        </w:rPr>
        <w:t xml:space="preserve"> proxies well for talent</w:t>
      </w:r>
      <w:r w:rsidR="00517DC3">
        <w:rPr>
          <w:bCs/>
        </w:rPr>
        <w:t>,</w:t>
      </w:r>
      <w:r w:rsidR="00726353">
        <w:rPr>
          <w:bCs/>
        </w:rPr>
        <w:t xml:space="preserve"> </w:t>
      </w:r>
      <w:r w:rsidR="00973484">
        <w:rPr>
          <w:bCs/>
        </w:rPr>
        <w:t>as it provides</w:t>
      </w:r>
      <w:r w:rsidR="00726353">
        <w:rPr>
          <w:bCs/>
        </w:rPr>
        <w:t xml:space="preserve"> </w:t>
      </w:r>
      <w:r w:rsidR="00030959">
        <w:rPr>
          <w:bCs/>
        </w:rPr>
        <w:t xml:space="preserve">a </w:t>
      </w:r>
      <w:r w:rsidR="004F4565">
        <w:rPr>
          <w:bCs/>
        </w:rPr>
        <w:t xml:space="preserve">relatively constant </w:t>
      </w:r>
      <w:r w:rsidR="00726353">
        <w:rPr>
          <w:bCs/>
        </w:rPr>
        <w:t>measure of a researcher</w:t>
      </w:r>
      <w:r w:rsidR="008F67EB">
        <w:rPr>
          <w:bCs/>
        </w:rPr>
        <w:t>'s ability</w:t>
      </w:r>
      <w:r w:rsidR="00726353">
        <w:rPr>
          <w:bCs/>
        </w:rPr>
        <w:t xml:space="preserve">, irrespective of the institution that employed the researcher. Differently, </w:t>
      </w:r>
      <w:r w:rsidR="00400688">
        <w:rPr>
          <w:bCs/>
        </w:rPr>
        <w:t xml:space="preserve">the nurture component </w:t>
      </w:r>
      <w:r w:rsidR="00726353">
        <w:rPr>
          <w:bCs/>
        </w:rPr>
        <w:t>of 5.6% in specification (3) is</w:t>
      </w:r>
      <w:r w:rsidR="005D1B5B">
        <w:rPr>
          <w:bCs/>
        </w:rPr>
        <w:t xml:space="preserve"> about half </w:t>
      </w:r>
      <w:r w:rsidR="00F77885">
        <w:rPr>
          <w:bCs/>
        </w:rPr>
        <w:t xml:space="preserve">of </w:t>
      </w:r>
      <w:r w:rsidR="005D1B5B">
        <w:rPr>
          <w:bCs/>
        </w:rPr>
        <w:t xml:space="preserve">the </w:t>
      </w:r>
      <w:r w:rsidR="00726353">
        <w:rPr>
          <w:bCs/>
        </w:rPr>
        <w:t xml:space="preserve">10.5% </w:t>
      </w:r>
      <w:r w:rsidR="005D1B5B">
        <w:rPr>
          <w:bCs/>
        </w:rPr>
        <w:t xml:space="preserve">estimate </w:t>
      </w:r>
      <w:r w:rsidR="00726353">
        <w:rPr>
          <w:bCs/>
        </w:rPr>
        <w:t xml:space="preserve">in specification (2), which </w:t>
      </w:r>
      <w:r w:rsidR="00360CD1">
        <w:rPr>
          <w:bCs/>
        </w:rPr>
        <w:t xml:space="preserve">is </w:t>
      </w:r>
      <w:r w:rsidR="00726353">
        <w:rPr>
          <w:bCs/>
        </w:rPr>
        <w:t xml:space="preserve">not surprising because </w:t>
      </w:r>
      <w:r w:rsidR="005D1B5B">
        <w:rPr>
          <w:bCs/>
        </w:rPr>
        <w:t>individuals</w:t>
      </w:r>
      <w:r w:rsidR="00726353">
        <w:rPr>
          <w:bCs/>
        </w:rPr>
        <w:t xml:space="preserve"> are not </w:t>
      </w:r>
      <w:r w:rsidR="004868C4" w:rsidRPr="004868C4">
        <w:rPr>
          <w:bCs/>
        </w:rPr>
        <w:t xml:space="preserve">randomly </w:t>
      </w:r>
      <w:r w:rsidR="00726353">
        <w:rPr>
          <w:bCs/>
        </w:rPr>
        <w:t>allocated</w:t>
      </w:r>
      <w:r w:rsidR="00054665">
        <w:rPr>
          <w:bCs/>
        </w:rPr>
        <w:t xml:space="preserve"> (i.e. hired)</w:t>
      </w:r>
      <w:r w:rsidR="00726353">
        <w:rPr>
          <w:bCs/>
        </w:rPr>
        <w:t xml:space="preserve"> to institutions, i</w:t>
      </w:r>
      <w:r w:rsidR="00054665">
        <w:rPr>
          <w:bCs/>
        </w:rPr>
        <w:t>.</w:t>
      </w:r>
      <w:r w:rsidR="00726353">
        <w:rPr>
          <w:bCs/>
        </w:rPr>
        <w:t>e</w:t>
      </w:r>
      <w:r w:rsidR="00DF0DEC">
        <w:rPr>
          <w:bCs/>
        </w:rPr>
        <w:t>.</w:t>
      </w:r>
      <w:r w:rsidR="00726353">
        <w:rPr>
          <w:bCs/>
        </w:rPr>
        <w:t xml:space="preserve">, </w:t>
      </w:r>
      <w:r w:rsidR="00726353">
        <w:rPr>
          <w:bCs/>
        </w:rPr>
        <w:lastRenderedPageBreak/>
        <w:t xml:space="preserve">in the stand-alone </w:t>
      </w:r>
      <w:r w:rsidR="00054665" w:rsidRPr="00054665">
        <w:rPr>
          <w:bCs/>
        </w:rPr>
        <w:t xml:space="preserve">specification </w:t>
      </w:r>
      <w:r w:rsidR="002212C0">
        <w:rPr>
          <w:bCs/>
        </w:rPr>
        <w:t>(2), the nurture coefficient c</w:t>
      </w:r>
      <w:r w:rsidR="00726353">
        <w:rPr>
          <w:bCs/>
        </w:rPr>
        <w:t xml:space="preserve">aptures the effect that </w:t>
      </w:r>
      <w:r w:rsidR="00400688">
        <w:rPr>
          <w:bCs/>
        </w:rPr>
        <w:t xml:space="preserve">higher </w:t>
      </w:r>
      <w:r w:rsidR="004F4565">
        <w:rPr>
          <w:bCs/>
        </w:rPr>
        <w:t>talent</w:t>
      </w:r>
      <w:r w:rsidR="00400688">
        <w:rPr>
          <w:bCs/>
        </w:rPr>
        <w:t xml:space="preserve"> individuals </w:t>
      </w:r>
      <w:r w:rsidR="002212C0">
        <w:rPr>
          <w:bCs/>
        </w:rPr>
        <w:t xml:space="preserve">tend to </w:t>
      </w:r>
      <w:r w:rsidR="00360CD1">
        <w:rPr>
          <w:bCs/>
        </w:rPr>
        <w:t xml:space="preserve">be hired </w:t>
      </w:r>
      <w:r w:rsidR="00D4731E">
        <w:rPr>
          <w:bCs/>
        </w:rPr>
        <w:t xml:space="preserve">by </w:t>
      </w:r>
      <w:r w:rsidR="00400688">
        <w:rPr>
          <w:bCs/>
        </w:rPr>
        <w:t>top</w:t>
      </w:r>
      <w:r w:rsidR="002212C0">
        <w:rPr>
          <w:bCs/>
        </w:rPr>
        <w:t>-tier</w:t>
      </w:r>
      <w:r w:rsidR="00400688">
        <w:rPr>
          <w:bCs/>
        </w:rPr>
        <w:t xml:space="preserve"> universities.</w:t>
      </w:r>
      <w:r w:rsidR="008F67EB">
        <w:rPr>
          <w:bCs/>
        </w:rPr>
        <w:t xml:space="preserve"> In essence, by comparing specification (3) and (2), one can conclude that half of the university</w:t>
      </w:r>
      <w:r w:rsidR="00360CD1">
        <w:rPr>
          <w:bCs/>
        </w:rPr>
        <w:t>-</w:t>
      </w:r>
      <w:r w:rsidR="008F67EB">
        <w:rPr>
          <w:bCs/>
        </w:rPr>
        <w:t xml:space="preserve">affiliation effect </w:t>
      </w:r>
      <w:r w:rsidR="00F77885">
        <w:rPr>
          <w:bCs/>
        </w:rPr>
        <w:t xml:space="preserve">estimated in specification (2) </w:t>
      </w:r>
      <w:r w:rsidR="008F67EB">
        <w:rPr>
          <w:bCs/>
        </w:rPr>
        <w:t xml:space="preserve">can be attributed to the selection bias, and half to nurturing. </w:t>
      </w:r>
    </w:p>
    <w:p w14:paraId="482E9DEE" w14:textId="01A8BB0A" w:rsidR="00132840" w:rsidRDefault="00132840" w:rsidP="00360CD1">
      <w:pPr>
        <w:spacing w:line="408" w:lineRule="auto"/>
        <w:ind w:firstLine="720"/>
        <w:jc w:val="both"/>
        <w:rPr>
          <w:bCs/>
        </w:rPr>
      </w:pPr>
      <w:r>
        <w:rPr>
          <w:bCs/>
        </w:rPr>
        <w:t xml:space="preserve">Specification (3) does not permit the assessment of the relative importance of </w:t>
      </w:r>
      <w:r w:rsidR="004F4565">
        <w:rPr>
          <w:bCs/>
        </w:rPr>
        <w:t xml:space="preserve">talent </w:t>
      </w:r>
      <w:r>
        <w:rPr>
          <w:bCs/>
        </w:rPr>
        <w:t>versus nurture because the coefficients' magnitude</w:t>
      </w:r>
      <w:r w:rsidR="004B43ED">
        <w:rPr>
          <w:bCs/>
        </w:rPr>
        <w:t>s</w:t>
      </w:r>
      <w:r>
        <w:rPr>
          <w:bCs/>
        </w:rPr>
        <w:t xml:space="preserve"> depend on the scale of the independent variables. In our model, </w:t>
      </w:r>
      <w:r w:rsidR="004F4565">
        <w:rPr>
          <w:bCs/>
        </w:rPr>
        <w:t xml:space="preserve">talent </w:t>
      </w:r>
      <w:r>
        <w:rPr>
          <w:bCs/>
        </w:rPr>
        <w:t xml:space="preserve">is a </w:t>
      </w:r>
      <w:r w:rsidR="00287040">
        <w:rPr>
          <w:bCs/>
        </w:rPr>
        <w:t xml:space="preserve">discrete </w:t>
      </w:r>
      <w:r>
        <w:rPr>
          <w:bCs/>
        </w:rPr>
        <w:t>variable that take</w:t>
      </w:r>
      <w:r w:rsidR="00517DC3">
        <w:rPr>
          <w:bCs/>
        </w:rPr>
        <w:t>s</w:t>
      </w:r>
      <w:r>
        <w:rPr>
          <w:bCs/>
        </w:rPr>
        <w:t xml:space="preserve"> on values </w:t>
      </w:r>
      <w:r w:rsidR="00287040">
        <w:rPr>
          <w:bCs/>
        </w:rPr>
        <w:t xml:space="preserve">between </w:t>
      </w:r>
      <w:r>
        <w:rPr>
          <w:bCs/>
        </w:rPr>
        <w:t>0-9, while nurture is an indicator variable. Comparing the coefficient without considering their variation is not appropriate. In OLS regression</w:t>
      </w:r>
      <w:r w:rsidR="002212C0">
        <w:rPr>
          <w:bCs/>
        </w:rPr>
        <w:t>s</w:t>
      </w:r>
      <w:r>
        <w:rPr>
          <w:bCs/>
        </w:rPr>
        <w:t xml:space="preserve">, </w:t>
      </w:r>
      <w:r w:rsidR="004910DC">
        <w:rPr>
          <w:bCs/>
        </w:rPr>
        <w:t>standardized</w:t>
      </w:r>
      <w:r>
        <w:rPr>
          <w:bCs/>
        </w:rPr>
        <w:t xml:space="preserve"> regression coefficient</w:t>
      </w:r>
      <w:r w:rsidR="00517DC3">
        <w:rPr>
          <w:bCs/>
        </w:rPr>
        <w:t>s</w:t>
      </w:r>
      <w:r>
        <w:rPr>
          <w:bCs/>
        </w:rPr>
        <w:t xml:space="preserve"> are usually used in order to compare coefficients (e.g., Kim and Ferree, 1981:24-25). </w:t>
      </w:r>
      <w:r w:rsidR="004910DC">
        <w:rPr>
          <w:bCs/>
        </w:rPr>
        <w:t xml:space="preserve">While there is still some subjective component in interpreting </w:t>
      </w:r>
      <w:r w:rsidR="00360CD1">
        <w:rPr>
          <w:bCs/>
        </w:rPr>
        <w:t>the magnitude of</w:t>
      </w:r>
      <w:r w:rsidR="00C87CC7">
        <w:rPr>
          <w:bCs/>
        </w:rPr>
        <w:t xml:space="preserve"> a </w:t>
      </w:r>
      <w:r w:rsidR="004910DC">
        <w:rPr>
          <w:bCs/>
        </w:rPr>
        <w:t>standardized effect</w:t>
      </w:r>
      <w:r w:rsidR="00C87CC7">
        <w:rPr>
          <w:bCs/>
        </w:rPr>
        <w:t xml:space="preserve"> (for example, some researches prefer the interquartile range)</w:t>
      </w:r>
      <w:r w:rsidR="004910DC">
        <w:rPr>
          <w:bCs/>
        </w:rPr>
        <w:t xml:space="preserve">, this approach does provide a framework for comparison and is commonly used in the </w:t>
      </w:r>
      <w:r w:rsidR="00D151CC">
        <w:rPr>
          <w:bCs/>
        </w:rPr>
        <w:t xml:space="preserve">finance and economics </w:t>
      </w:r>
      <w:r w:rsidR="004910DC">
        <w:rPr>
          <w:bCs/>
        </w:rPr>
        <w:t xml:space="preserve">literature (see for example, Rubin and Smith, 2011). </w:t>
      </w:r>
      <w:r w:rsidR="00287040">
        <w:rPr>
          <w:bCs/>
        </w:rPr>
        <w:t xml:space="preserve">Since our case </w:t>
      </w:r>
      <w:r w:rsidR="004910DC">
        <w:rPr>
          <w:bCs/>
        </w:rPr>
        <w:t>invol</w:t>
      </w:r>
      <w:r w:rsidR="002212C0">
        <w:rPr>
          <w:bCs/>
        </w:rPr>
        <w:t>v</w:t>
      </w:r>
      <w:r w:rsidR="004910DC">
        <w:rPr>
          <w:bCs/>
        </w:rPr>
        <w:t xml:space="preserve">es a logit estimation, </w:t>
      </w:r>
      <w:r w:rsidR="00287040">
        <w:rPr>
          <w:bCs/>
        </w:rPr>
        <w:t xml:space="preserve">we cannot </w:t>
      </w:r>
      <w:r w:rsidR="004910DC">
        <w:rPr>
          <w:bCs/>
        </w:rPr>
        <w:t>standardiz</w:t>
      </w:r>
      <w:r w:rsidR="00287040">
        <w:rPr>
          <w:bCs/>
        </w:rPr>
        <w:t xml:space="preserve">e </w:t>
      </w:r>
      <w:r w:rsidR="004910DC">
        <w:rPr>
          <w:bCs/>
        </w:rPr>
        <w:t xml:space="preserve">the dependent variable. However, Kaufman (1996) shows that quantifying the </w:t>
      </w:r>
      <w:r w:rsidR="00287040">
        <w:rPr>
          <w:bCs/>
        </w:rPr>
        <w:t xml:space="preserve">relative </w:t>
      </w:r>
      <w:r w:rsidR="004910DC">
        <w:rPr>
          <w:bCs/>
        </w:rPr>
        <w:t xml:space="preserve">importance of variables in a logit regression </w:t>
      </w:r>
      <w:r w:rsidR="00287040">
        <w:rPr>
          <w:bCs/>
        </w:rPr>
        <w:t xml:space="preserve">can be achieved </w:t>
      </w:r>
      <w:r w:rsidR="004910DC">
        <w:rPr>
          <w:bCs/>
        </w:rPr>
        <w:t>by first standardizing the independent variable</w:t>
      </w:r>
      <w:r w:rsidR="00287040">
        <w:rPr>
          <w:bCs/>
        </w:rPr>
        <w:t>s</w:t>
      </w:r>
      <w:r w:rsidR="004910DC">
        <w:rPr>
          <w:bCs/>
        </w:rPr>
        <w:t xml:space="preserve"> and then comparing their magnitude. </w:t>
      </w:r>
      <w:r w:rsidR="00287040">
        <w:rPr>
          <w:bCs/>
        </w:rPr>
        <w:t xml:space="preserve">Applying this method, we provide the results in </w:t>
      </w:r>
      <w:r w:rsidR="004910DC">
        <w:rPr>
          <w:bCs/>
        </w:rPr>
        <w:t>specification</w:t>
      </w:r>
      <w:r w:rsidR="00287040">
        <w:rPr>
          <w:bCs/>
        </w:rPr>
        <w:t>s</w:t>
      </w:r>
      <w:r w:rsidR="004910DC">
        <w:rPr>
          <w:bCs/>
        </w:rPr>
        <w:t xml:space="preserve"> (4) and (5). We find that the coefficient of nurture is 0.245, and that of </w:t>
      </w:r>
      <w:r w:rsidR="004F4565">
        <w:rPr>
          <w:bCs/>
        </w:rPr>
        <w:t xml:space="preserve">talent </w:t>
      </w:r>
      <w:r w:rsidR="004910DC">
        <w:rPr>
          <w:bCs/>
        </w:rPr>
        <w:t>is 0.607, implying that 29% of the (</w:t>
      </w:r>
      <w:r w:rsidR="00490C17">
        <w:rPr>
          <w:bCs/>
        </w:rPr>
        <w:t xml:space="preserve">talent </w:t>
      </w:r>
      <w:r w:rsidR="004910DC">
        <w:rPr>
          <w:bCs/>
        </w:rPr>
        <w:t xml:space="preserve">plus nurture) </w:t>
      </w:r>
      <w:r w:rsidR="00287040">
        <w:rPr>
          <w:bCs/>
        </w:rPr>
        <w:t xml:space="preserve">productivity </w:t>
      </w:r>
      <w:r w:rsidR="004910DC">
        <w:rPr>
          <w:bCs/>
        </w:rPr>
        <w:t>variation can be attributed to nurture (i.e., 0.245</w:t>
      </w:r>
      <w:proofErr w:type="gramStart"/>
      <w:r w:rsidR="004910DC">
        <w:rPr>
          <w:bCs/>
        </w:rPr>
        <w:t>/(</w:t>
      </w:r>
      <w:proofErr w:type="gramEnd"/>
      <w:r w:rsidR="004910DC">
        <w:rPr>
          <w:bCs/>
        </w:rPr>
        <w:t xml:space="preserve">0.245+0.607)). Specification (5) repeats specification (4) with two additional variables: an interaction term and tenure. The interaction term is negative, suggesting that individuals with high </w:t>
      </w:r>
      <w:r w:rsidR="00490C17">
        <w:rPr>
          <w:bCs/>
        </w:rPr>
        <w:t xml:space="preserve">talent </w:t>
      </w:r>
      <w:r w:rsidR="00B058C6">
        <w:rPr>
          <w:bCs/>
        </w:rPr>
        <w:t>are</w:t>
      </w:r>
      <w:r w:rsidR="004910DC">
        <w:rPr>
          <w:bCs/>
        </w:rPr>
        <w:t xml:space="preserve"> less a</w:t>
      </w:r>
      <w:r w:rsidR="00B058C6">
        <w:rPr>
          <w:bCs/>
        </w:rPr>
        <w:t xml:space="preserve">ffected by the nurturing environment. The tenure effect is insignificant. The bottom part of the table repeats the analysis for </w:t>
      </w:r>
      <w:r w:rsidR="00490C17">
        <w:rPr>
          <w:bCs/>
        </w:rPr>
        <w:t xml:space="preserve">Sample </w:t>
      </w:r>
      <w:r w:rsidR="00B058C6">
        <w:rPr>
          <w:bCs/>
        </w:rPr>
        <w:t>2. The results are rather similar, both in magnitude and significance. The only noticeable difference is in the effect of tenure, which becomes negative as tenure increases. It seems that in year</w:t>
      </w:r>
      <w:r w:rsidR="002212C0">
        <w:rPr>
          <w:bCs/>
        </w:rPr>
        <w:t>s</w:t>
      </w:r>
      <w:r w:rsidR="00B058C6">
        <w:rPr>
          <w:bCs/>
        </w:rPr>
        <w:t xml:space="preserve"> 10-20 researchers are on average less productive compared to years 6-10. Important, according to specification (9) and (10), the lower bound on the nurture component is</w:t>
      </w:r>
      <w:r w:rsidR="002212C0">
        <w:rPr>
          <w:bCs/>
        </w:rPr>
        <w:t xml:space="preserve"> very similar to </w:t>
      </w:r>
      <w:r w:rsidR="001F44BF">
        <w:rPr>
          <w:bCs/>
        </w:rPr>
        <w:t>the lower bound estimated</w:t>
      </w:r>
      <w:r w:rsidR="002212C0">
        <w:rPr>
          <w:bCs/>
        </w:rPr>
        <w:t xml:space="preserve"> </w:t>
      </w:r>
      <w:r w:rsidR="001F44BF">
        <w:rPr>
          <w:bCs/>
        </w:rPr>
        <w:t xml:space="preserve">in </w:t>
      </w:r>
      <w:r w:rsidR="00490C17">
        <w:rPr>
          <w:bCs/>
        </w:rPr>
        <w:t xml:space="preserve">Sample </w:t>
      </w:r>
      <w:r w:rsidR="001F44BF">
        <w:rPr>
          <w:bCs/>
        </w:rPr>
        <w:t>1</w:t>
      </w:r>
      <w:r w:rsidR="002212C0">
        <w:rPr>
          <w:bCs/>
        </w:rPr>
        <w:t>, and ranges at</w:t>
      </w:r>
      <w:r w:rsidR="00B058C6">
        <w:rPr>
          <w:bCs/>
        </w:rPr>
        <w:t xml:space="preserve"> 30</w:t>
      </w:r>
      <w:r w:rsidR="002212C0">
        <w:rPr>
          <w:bCs/>
        </w:rPr>
        <w:t>-32</w:t>
      </w:r>
      <w:r w:rsidR="00B058C6">
        <w:rPr>
          <w:bCs/>
        </w:rPr>
        <w:t xml:space="preserve">%. </w:t>
      </w:r>
      <w:r w:rsidR="004910DC">
        <w:rPr>
          <w:bCs/>
        </w:rPr>
        <w:t xml:space="preserve">  </w:t>
      </w:r>
    </w:p>
    <w:p w14:paraId="11D7DF22" w14:textId="2027FC7B" w:rsidR="00B42DBC" w:rsidRDefault="00400688" w:rsidP="008F67EB">
      <w:pPr>
        <w:spacing w:line="408" w:lineRule="auto"/>
        <w:ind w:firstLine="720"/>
        <w:jc w:val="both"/>
        <w:rPr>
          <w:bCs/>
        </w:rPr>
      </w:pPr>
      <w:r>
        <w:rPr>
          <w:bCs/>
        </w:rPr>
        <w:lastRenderedPageBreak/>
        <w:t xml:space="preserve"> </w:t>
      </w:r>
    </w:p>
    <w:p w14:paraId="2710FF27" w14:textId="21C82D69" w:rsidR="008C5FD2" w:rsidRDefault="008E6243" w:rsidP="00FE397F">
      <w:pPr>
        <w:spacing w:line="408" w:lineRule="auto"/>
        <w:ind w:firstLine="720"/>
        <w:jc w:val="both"/>
        <w:rPr>
          <w:bCs/>
        </w:rPr>
      </w:pPr>
      <w:r>
        <w:rPr>
          <w:b/>
        </w:rPr>
        <w:t>Conclusions</w:t>
      </w:r>
    </w:p>
    <w:p w14:paraId="4EDA772E" w14:textId="188CA776" w:rsidR="00AF51F3" w:rsidRDefault="00AF51F3">
      <w:pPr>
        <w:spacing w:line="408" w:lineRule="auto"/>
        <w:ind w:firstLine="720"/>
        <w:jc w:val="both"/>
      </w:pPr>
      <w:r>
        <w:t xml:space="preserve">In this research we </w:t>
      </w:r>
      <w:r w:rsidR="00646C73">
        <w:t>analyze the impact that an institution</w:t>
      </w:r>
      <w:r w:rsidR="00D6442D">
        <w:t>’s</w:t>
      </w:r>
      <w:r w:rsidR="00646C73">
        <w:t xml:space="preserve"> </w:t>
      </w:r>
      <w:r w:rsidR="00A55643">
        <w:t xml:space="preserve">tier-level </w:t>
      </w:r>
      <w:r w:rsidR="00646C73">
        <w:t xml:space="preserve">has on the productivity of scholars, </w:t>
      </w:r>
      <w:r w:rsidR="00D6442D">
        <w:t>while</w:t>
      </w:r>
      <w:r w:rsidR="00646C73">
        <w:t xml:space="preserve"> a</w:t>
      </w:r>
      <w:r w:rsidR="001625A4">
        <w:t>ddres</w:t>
      </w:r>
      <w:r w:rsidR="00C84A79">
        <w:t>s</w:t>
      </w:r>
      <w:r w:rsidR="00D6442D">
        <w:t>ing</w:t>
      </w:r>
      <w:r w:rsidR="001625A4">
        <w:t xml:space="preserve"> the selection-bias problem</w:t>
      </w:r>
      <w:r w:rsidR="00646C73">
        <w:t xml:space="preserve"> that the top-tier institutions tend the hire the more talented individuals.</w:t>
      </w:r>
      <w:r w:rsidR="001625A4">
        <w:t xml:space="preserve"> </w:t>
      </w:r>
    </w:p>
    <w:p w14:paraId="25DF3E6F" w14:textId="67012B03" w:rsidR="00BA5E7D" w:rsidRDefault="00FE397F" w:rsidP="000F5C12">
      <w:pPr>
        <w:spacing w:line="408" w:lineRule="auto"/>
        <w:ind w:firstLine="720"/>
        <w:jc w:val="both"/>
      </w:pPr>
      <w:r>
        <w:t xml:space="preserve">We find that while </w:t>
      </w:r>
      <w:r w:rsidR="008147AA">
        <w:t>on average</w:t>
      </w:r>
      <w:r>
        <w:t xml:space="preserve"> top institutions</w:t>
      </w:r>
      <w:r w:rsidR="008147AA">
        <w:t xml:space="preserve"> </w:t>
      </w:r>
      <w:r>
        <w:t xml:space="preserve">employ more </w:t>
      </w:r>
      <w:r w:rsidR="009B0623">
        <w:t>talented</w:t>
      </w:r>
      <w:r>
        <w:t xml:space="preserve"> researchers</w:t>
      </w:r>
      <w:r w:rsidR="009B0623">
        <w:t xml:space="preserve"> </w:t>
      </w:r>
      <w:r>
        <w:t xml:space="preserve">there is a substantial </w:t>
      </w:r>
      <w:r w:rsidR="00DB10D4">
        <w:t xml:space="preserve">heterogeneity in productivity within each </w:t>
      </w:r>
      <w:r w:rsidR="008147AA">
        <w:t>university tier</w:t>
      </w:r>
      <w:r w:rsidR="00DB10D4">
        <w:t xml:space="preserve"> level, implying that about 30% of researchers can be considered as having a productivity level that is unfitting to their tier-level placement. </w:t>
      </w:r>
      <w:r w:rsidR="0034767D">
        <w:t>Further, while</w:t>
      </w:r>
      <w:r w:rsidR="004F2A81">
        <w:t xml:space="preserve"> productive researchers may </w:t>
      </w:r>
      <w:r w:rsidR="0034767D">
        <w:t>be</w:t>
      </w:r>
      <w:r w:rsidR="004F2A81">
        <w:t xml:space="preserve"> missed by top universities, our analysis shows that </w:t>
      </w:r>
      <w:r w:rsidR="00DB10D4">
        <w:t xml:space="preserve">upward mobility is very limited and </w:t>
      </w:r>
      <w:r w:rsidR="004F2A81">
        <w:t>it is</w:t>
      </w:r>
      <w:r w:rsidR="00DB10D4">
        <w:t xml:space="preserve"> </w:t>
      </w:r>
      <w:r w:rsidR="004F2A81">
        <w:t xml:space="preserve">unlikely that </w:t>
      </w:r>
      <w:r w:rsidR="00DB10D4">
        <w:t>productive r</w:t>
      </w:r>
      <w:r w:rsidR="004F2A81">
        <w:t xml:space="preserve">esearchers would be able to </w:t>
      </w:r>
      <w:r w:rsidR="0034767D">
        <w:t>eventually be hired by the top</w:t>
      </w:r>
      <w:r w:rsidR="00DB10D4">
        <w:t xml:space="preserve">-tier universities. </w:t>
      </w:r>
      <w:r w:rsidR="00DB10D4" w:rsidRPr="00DB10D4">
        <w:t xml:space="preserve"> </w:t>
      </w:r>
      <w:r w:rsidR="00DB10D4">
        <w:t>Consequently, our analysis shows that having a "lucky-break" and getting hired by a top-tier university is important in facilitating a productive research career. Reason</w:t>
      </w:r>
      <w:r w:rsidR="00646C73">
        <w:t>s</w:t>
      </w:r>
      <w:r w:rsidR="00DB10D4">
        <w:t xml:space="preserve"> behind the rigidness of the seasoned </w:t>
      </w:r>
      <w:r w:rsidR="005E66D4">
        <w:t>market for</w:t>
      </w:r>
      <w:r w:rsidR="00DB10D4">
        <w:t xml:space="preserve"> researchers may</w:t>
      </w:r>
      <w:r w:rsidR="0034767D">
        <w:t xml:space="preserve"> be suggested. </w:t>
      </w:r>
      <w:r w:rsidR="00BA5E7D">
        <w:t xml:space="preserve">One possibility is that there is a </w:t>
      </w:r>
      <w:r w:rsidR="0034767D">
        <w:t>time</w:t>
      </w:r>
      <w:r w:rsidR="00DB10D4">
        <w:t>-</w:t>
      </w:r>
      <w:r w:rsidR="00BA5E7D">
        <w:t>lag between nurturing and productivity</w:t>
      </w:r>
      <w:r w:rsidR="004671FD">
        <w:t>. That is, it is possible that</w:t>
      </w:r>
      <w:r w:rsidR="0034767D">
        <w:t xml:space="preserve"> only after a few years of nurturing </w:t>
      </w:r>
      <w:r w:rsidR="00BA5E7D">
        <w:t>productivity</w:t>
      </w:r>
      <w:r w:rsidR="0034767D">
        <w:t xml:space="preserve"> emerges.</w:t>
      </w:r>
      <w:r w:rsidR="00BA5E7D">
        <w:t xml:space="preserve"> This means that </w:t>
      </w:r>
      <w:r w:rsidR="0034767D">
        <w:t>missing the</w:t>
      </w:r>
      <w:r w:rsidR="00BA5E7D">
        <w:t xml:space="preserve"> </w:t>
      </w:r>
      <w:r w:rsidR="0034767D">
        <w:t xml:space="preserve">important </w:t>
      </w:r>
      <w:r w:rsidR="00BA5E7D">
        <w:t xml:space="preserve">nurturing </w:t>
      </w:r>
      <w:r w:rsidR="0034767D">
        <w:t xml:space="preserve">effect of a </w:t>
      </w:r>
      <w:r w:rsidR="00BA5E7D">
        <w:t xml:space="preserve">top-tier </w:t>
      </w:r>
      <w:r w:rsidR="0034767D">
        <w:t xml:space="preserve">school as a first employer </w:t>
      </w:r>
      <w:r w:rsidR="00B80078">
        <w:t>is very difficult to</w:t>
      </w:r>
      <w:r w:rsidR="0034767D">
        <w:t xml:space="preserve"> overcome</w:t>
      </w:r>
      <w:r w:rsidR="00BA5E7D">
        <w:t>.</w:t>
      </w:r>
      <w:r w:rsidR="005E66D4">
        <w:t xml:space="preserve"> A second possibility is </w:t>
      </w:r>
      <w:r w:rsidR="001C4805">
        <w:t xml:space="preserve">that </w:t>
      </w:r>
      <w:r w:rsidR="005E66D4">
        <w:t xml:space="preserve">faculty at </w:t>
      </w:r>
      <w:r w:rsidR="001C4805">
        <w:t>top tier universities are limited in their openness to the possibility of</w:t>
      </w:r>
      <w:r w:rsidR="005E66D4">
        <w:t xml:space="preserve"> hiring a</w:t>
      </w:r>
      <w:r w:rsidR="001C4805">
        <w:t xml:space="preserve"> talent</w:t>
      </w:r>
      <w:r w:rsidR="005E66D4">
        <w:t>ed</w:t>
      </w:r>
      <w:r w:rsidR="001C4805">
        <w:t xml:space="preserve"> </w:t>
      </w:r>
      <w:r w:rsidR="005E66D4">
        <w:t>seasoned researcher from a lower-</w:t>
      </w:r>
      <w:r w:rsidR="001C4805">
        <w:t xml:space="preserve">tier </w:t>
      </w:r>
      <w:r w:rsidR="005E66D4">
        <w:t xml:space="preserve">university. For example, such a hire may overshadow incumbent scholars, and furthermore, </w:t>
      </w:r>
      <w:r w:rsidR="008E6243">
        <w:t xml:space="preserve">the probability of cooperating with </w:t>
      </w:r>
      <w:r w:rsidR="005E66D4">
        <w:t xml:space="preserve">a seasoned scholar </w:t>
      </w:r>
      <w:r w:rsidR="008E6243">
        <w:t xml:space="preserve">is reduced (as </w:t>
      </w:r>
      <w:r w:rsidR="005E66D4">
        <w:t xml:space="preserve">such scholars typically </w:t>
      </w:r>
      <w:r w:rsidR="008E6243">
        <w:t>ha</w:t>
      </w:r>
      <w:r w:rsidR="005E66D4">
        <w:t>ve</w:t>
      </w:r>
      <w:r w:rsidR="008E6243">
        <w:t xml:space="preserve"> an established research trajectory with</w:t>
      </w:r>
      <w:r w:rsidR="005E66D4">
        <w:t xml:space="preserve"> other</w:t>
      </w:r>
      <w:r w:rsidR="008E6243">
        <w:t xml:space="preserve"> authors).</w:t>
      </w:r>
    </w:p>
    <w:p w14:paraId="695C4170" w14:textId="10F5A746" w:rsidR="002D1329" w:rsidRDefault="00ED528B" w:rsidP="003E1EFB">
      <w:pPr>
        <w:spacing w:line="408" w:lineRule="auto"/>
        <w:ind w:firstLine="720"/>
        <w:jc w:val="both"/>
        <w:rPr>
          <w:bCs/>
        </w:rPr>
      </w:pPr>
      <w:r>
        <w:t>Regardless of the reasons for the</w:t>
      </w:r>
      <w:r w:rsidR="003E79FC">
        <w:t xml:space="preserve"> placement</w:t>
      </w:r>
      <w:r>
        <w:t xml:space="preserve"> rigidness</w:t>
      </w:r>
      <w:r w:rsidR="000F5C12">
        <w:t>,</w:t>
      </w:r>
      <w:r w:rsidR="003E79FC">
        <w:t xml:space="preserve"> we find</w:t>
      </w:r>
      <w:r w:rsidR="005E66D4">
        <w:t xml:space="preserve"> that</w:t>
      </w:r>
      <w:r w:rsidR="004D787B">
        <w:t xml:space="preserve"> </w:t>
      </w:r>
      <w:r w:rsidR="00014B1A">
        <w:t xml:space="preserve">first placement affiliation </w:t>
      </w:r>
      <w:r w:rsidR="000F5C12">
        <w:t xml:space="preserve">has a </w:t>
      </w:r>
      <w:r>
        <w:t xml:space="preserve">major consequence on one’s career. </w:t>
      </w:r>
      <w:r w:rsidR="00944C45">
        <w:t xml:space="preserve">Our estimates show that approximately 30% of the productivity of a researcher can be attributed to the nurturing of the </w:t>
      </w:r>
      <w:r w:rsidR="00014B1A">
        <w:t xml:space="preserve">first </w:t>
      </w:r>
      <w:r w:rsidR="00944C45">
        <w:t>hiring institution.</w:t>
      </w:r>
      <w:r w:rsidR="003E79FC">
        <w:t xml:space="preserve"> Further, </w:t>
      </w:r>
      <w:r w:rsidR="003E79FC" w:rsidRPr="003E79FC">
        <w:rPr>
          <w:bCs/>
        </w:rPr>
        <w:t xml:space="preserve">regardless of </w:t>
      </w:r>
      <w:r w:rsidR="000F5C12">
        <w:rPr>
          <w:bCs/>
        </w:rPr>
        <w:t xml:space="preserve">the </w:t>
      </w:r>
      <w:r w:rsidR="00DF0DEC">
        <w:rPr>
          <w:bCs/>
        </w:rPr>
        <w:t>researcher’s talent</w:t>
      </w:r>
      <w:r w:rsidR="003E79FC" w:rsidRPr="003E79FC">
        <w:rPr>
          <w:bCs/>
        </w:rPr>
        <w:t>, a researcher’s scholarly productivity is higher at a top-tier compared to a second-tier university.</w:t>
      </w:r>
      <w:r w:rsidR="003E79FC">
        <w:rPr>
          <w:bCs/>
        </w:rPr>
        <w:t xml:space="preserve"> </w:t>
      </w:r>
      <w:r w:rsidR="00014B1A">
        <w:t xml:space="preserve">These </w:t>
      </w:r>
      <w:r w:rsidR="00452384">
        <w:t xml:space="preserve">apparent superior </w:t>
      </w:r>
      <w:r w:rsidR="00014B1A">
        <w:t xml:space="preserve">nurturing effects </w:t>
      </w:r>
      <w:r w:rsidR="00917DF7">
        <w:t>in</w:t>
      </w:r>
      <w:r w:rsidR="00646C73">
        <w:t xml:space="preserve"> top institutions </w:t>
      </w:r>
      <w:r w:rsidR="00014B1A">
        <w:t xml:space="preserve">can be either related to </w:t>
      </w:r>
      <w:r w:rsidR="00646C73">
        <w:t xml:space="preserve">learning, </w:t>
      </w:r>
      <w:r w:rsidR="00917DF7">
        <w:t>guidance and cooperation with</w:t>
      </w:r>
      <w:r w:rsidR="00014B1A">
        <w:t xml:space="preserve"> top researchers</w:t>
      </w:r>
      <w:r w:rsidR="00646C73">
        <w:t xml:space="preserve">, </w:t>
      </w:r>
      <w:r w:rsidR="00D151CC">
        <w:t xml:space="preserve">or </w:t>
      </w:r>
      <w:r w:rsidR="00917DF7">
        <w:t xml:space="preserve">the emphasis placed on research and </w:t>
      </w:r>
      <w:r w:rsidR="00014B1A">
        <w:t>in</w:t>
      </w:r>
      <w:r w:rsidR="002D1329">
        <w:t xml:space="preserve">centives. For example, </w:t>
      </w:r>
      <w:r w:rsidR="002D1329">
        <w:rPr>
          <w:bCs/>
        </w:rPr>
        <w:t>the stronger</w:t>
      </w:r>
      <w:r w:rsidR="00646C73">
        <w:rPr>
          <w:bCs/>
        </w:rPr>
        <w:t xml:space="preserve"> </w:t>
      </w:r>
      <w:r w:rsidR="003E79FC">
        <w:rPr>
          <w:bCs/>
        </w:rPr>
        <w:t xml:space="preserve">emphasis placed on research </w:t>
      </w:r>
      <w:r w:rsidR="002D1329">
        <w:rPr>
          <w:bCs/>
        </w:rPr>
        <w:t xml:space="preserve">as </w:t>
      </w:r>
      <w:r w:rsidR="003E79FC" w:rsidRPr="003E79FC">
        <w:rPr>
          <w:bCs/>
        </w:rPr>
        <w:t xml:space="preserve">compared to </w:t>
      </w:r>
      <w:r w:rsidR="003E79FC" w:rsidRPr="003E79FC">
        <w:rPr>
          <w:bCs/>
        </w:rPr>
        <w:lastRenderedPageBreak/>
        <w:t xml:space="preserve">teaching in </w:t>
      </w:r>
      <w:r w:rsidR="002D1329">
        <w:rPr>
          <w:bCs/>
        </w:rPr>
        <w:t>top-tier universities</w:t>
      </w:r>
      <w:r w:rsidR="00917DF7">
        <w:rPr>
          <w:bCs/>
        </w:rPr>
        <w:t>,</w:t>
      </w:r>
      <w:r w:rsidR="002D1329">
        <w:rPr>
          <w:bCs/>
        </w:rPr>
        <w:t xml:space="preserve"> compared to second-tier</w:t>
      </w:r>
      <w:r w:rsidR="00646C73">
        <w:rPr>
          <w:bCs/>
        </w:rPr>
        <w:t xml:space="preserve"> </w:t>
      </w:r>
      <w:r w:rsidR="00917DF7">
        <w:rPr>
          <w:bCs/>
        </w:rPr>
        <w:t xml:space="preserve">schools </w:t>
      </w:r>
      <w:r w:rsidR="00646C73">
        <w:rPr>
          <w:bCs/>
        </w:rPr>
        <w:t xml:space="preserve">could be detrimental for the research career at lower-tier universities. </w:t>
      </w:r>
      <w:r w:rsidR="002D1329">
        <w:rPr>
          <w:bCs/>
        </w:rPr>
        <w:t xml:space="preserve"> </w:t>
      </w:r>
      <w:r w:rsidR="00D4731E" w:rsidRPr="00D4731E">
        <w:rPr>
          <w:bCs/>
        </w:rPr>
        <w:t>Interestingly, it is common to ignore the variation in nurturing across universities and assess the scholarly activity of a researcher independently of his/her initial placement.</w:t>
      </w:r>
      <w:r w:rsidR="00D4731E" w:rsidRPr="00D4731E">
        <w:rPr>
          <w:bCs/>
          <w:vertAlign w:val="superscript"/>
        </w:rPr>
        <w:footnoteReference w:id="14"/>
      </w:r>
      <w:r w:rsidR="00D4731E" w:rsidRPr="00D4731E">
        <w:rPr>
          <w:bCs/>
        </w:rPr>
        <w:t xml:space="preserve"> Perhaps this practice should be re-considered.</w:t>
      </w:r>
      <w:r w:rsidR="003E1EFB">
        <w:rPr>
          <w:bCs/>
        </w:rPr>
        <w:t xml:space="preserve"> </w:t>
      </w:r>
      <w:r w:rsidR="00D4731E">
        <w:rPr>
          <w:bCs/>
        </w:rPr>
        <w:t>Overall, t</w:t>
      </w:r>
      <w:r w:rsidR="003E79FC">
        <w:rPr>
          <w:bCs/>
        </w:rPr>
        <w:t>he</w:t>
      </w:r>
      <w:r w:rsidR="002D1329">
        <w:rPr>
          <w:bCs/>
        </w:rPr>
        <w:t xml:space="preserve"> findings </w:t>
      </w:r>
      <w:r w:rsidR="00646C73">
        <w:rPr>
          <w:bCs/>
        </w:rPr>
        <w:t xml:space="preserve">of the </w:t>
      </w:r>
      <w:r w:rsidR="005551A3">
        <w:rPr>
          <w:bCs/>
        </w:rPr>
        <w:t xml:space="preserve">paper </w:t>
      </w:r>
      <w:r w:rsidR="00D4731E">
        <w:rPr>
          <w:bCs/>
        </w:rPr>
        <w:t xml:space="preserve">shed light on </w:t>
      </w:r>
      <w:r w:rsidR="0061391C">
        <w:rPr>
          <w:bCs/>
        </w:rPr>
        <w:t>institution having a major</w:t>
      </w:r>
      <w:r w:rsidR="00DF0DEC">
        <w:rPr>
          <w:bCs/>
        </w:rPr>
        <w:t xml:space="preserve"> </w:t>
      </w:r>
      <w:r w:rsidR="0061391C">
        <w:rPr>
          <w:bCs/>
        </w:rPr>
        <w:t xml:space="preserve">influence in </w:t>
      </w:r>
      <w:r w:rsidR="00D4731E">
        <w:rPr>
          <w:bCs/>
        </w:rPr>
        <w:t>research productivity</w:t>
      </w:r>
      <w:r w:rsidR="003E79FC">
        <w:rPr>
          <w:bCs/>
        </w:rPr>
        <w:t>.</w:t>
      </w:r>
      <w:r w:rsidR="005551A3">
        <w:rPr>
          <w:bCs/>
        </w:rPr>
        <w:t xml:space="preserve"> </w:t>
      </w:r>
    </w:p>
    <w:p w14:paraId="55AD46A0" w14:textId="77777777" w:rsidR="0000134F" w:rsidRDefault="0000134F" w:rsidP="001C25BA">
      <w:pPr>
        <w:spacing w:line="408" w:lineRule="auto"/>
        <w:ind w:firstLine="720"/>
        <w:jc w:val="both"/>
        <w:rPr>
          <w:bCs/>
        </w:rPr>
      </w:pPr>
    </w:p>
    <w:p w14:paraId="514AEAD4" w14:textId="75196793" w:rsidR="008E6243" w:rsidRDefault="008E6243">
      <w:pPr>
        <w:spacing w:after="200" w:line="276" w:lineRule="auto"/>
        <w:rPr>
          <w:bCs/>
        </w:rPr>
      </w:pPr>
      <w:r>
        <w:rPr>
          <w:bCs/>
        </w:rPr>
        <w:br w:type="page"/>
      </w:r>
    </w:p>
    <w:p w14:paraId="435EADEE" w14:textId="77777777" w:rsidR="0000134F" w:rsidRDefault="0000134F" w:rsidP="001C25BA">
      <w:pPr>
        <w:spacing w:line="408" w:lineRule="auto"/>
        <w:ind w:firstLine="720"/>
        <w:jc w:val="both"/>
        <w:rPr>
          <w:bCs/>
        </w:rPr>
      </w:pPr>
    </w:p>
    <w:p w14:paraId="0D547B20" w14:textId="4CDC881D" w:rsidR="00D95AB7" w:rsidRPr="0057428A" w:rsidRDefault="00D95AB7" w:rsidP="001C25BA">
      <w:pPr>
        <w:spacing w:line="408" w:lineRule="auto"/>
        <w:ind w:firstLine="720"/>
        <w:jc w:val="both"/>
        <w:rPr>
          <w:b/>
        </w:rPr>
      </w:pPr>
      <w:r w:rsidRPr="0057428A">
        <w:rPr>
          <w:b/>
        </w:rPr>
        <w:t>Appendix:</w:t>
      </w:r>
    </w:p>
    <w:p w14:paraId="46B640B3" w14:textId="79DDC96D" w:rsidR="00D95AB7" w:rsidRDefault="00D95AB7" w:rsidP="00701D67">
      <w:pPr>
        <w:spacing w:line="408" w:lineRule="auto"/>
        <w:ind w:firstLine="720"/>
        <w:jc w:val="both"/>
        <w:rPr>
          <w:bCs/>
        </w:rPr>
      </w:pPr>
      <w:r>
        <w:rPr>
          <w:bCs/>
        </w:rPr>
        <w:t xml:space="preserve">The sample of authors and their productivity is generated by harvesting data from </w:t>
      </w:r>
      <w:r w:rsidR="00701D67">
        <w:rPr>
          <w:bCs/>
        </w:rPr>
        <w:t xml:space="preserve">the </w:t>
      </w:r>
      <w:r>
        <w:rPr>
          <w:bCs/>
        </w:rPr>
        <w:t>WOS</w:t>
      </w:r>
      <w:r w:rsidR="00701D67">
        <w:rPr>
          <w:bCs/>
        </w:rPr>
        <w:t xml:space="preserve"> and processing it to generate uniquely identifiable author names, associated affiliations, and ranks</w:t>
      </w:r>
      <w:r>
        <w:rPr>
          <w:bCs/>
        </w:rPr>
        <w:t>. The algorithm consists of four steps</w:t>
      </w:r>
      <w:r w:rsidR="00701D67">
        <w:rPr>
          <w:bCs/>
        </w:rPr>
        <w:t>,</w:t>
      </w:r>
      <w:r w:rsidR="00CF551F">
        <w:rPr>
          <w:bCs/>
        </w:rPr>
        <w:t xml:space="preserve"> </w:t>
      </w:r>
      <w:r w:rsidR="00701D67">
        <w:rPr>
          <w:bCs/>
        </w:rPr>
        <w:t>to</w:t>
      </w:r>
      <w:r w:rsidR="00CF551F">
        <w:rPr>
          <w:bCs/>
        </w:rPr>
        <w:t xml:space="preserve"> eventually create a panel of the authors' productivity over the years.</w:t>
      </w:r>
    </w:p>
    <w:p w14:paraId="04E2BBE4" w14:textId="0E979287" w:rsidR="00821802" w:rsidRDefault="00D95AB7" w:rsidP="002624EB">
      <w:pPr>
        <w:spacing w:line="408" w:lineRule="auto"/>
        <w:ind w:firstLine="720"/>
        <w:jc w:val="both"/>
        <w:rPr>
          <w:bCs/>
        </w:rPr>
      </w:pPr>
      <w:r w:rsidRPr="0057428A">
        <w:rPr>
          <w:b/>
        </w:rPr>
        <w:t>Step 1</w:t>
      </w:r>
      <w:r w:rsidR="00CF551F">
        <w:rPr>
          <w:b/>
        </w:rPr>
        <w:t>: Author names</w:t>
      </w:r>
      <w:r>
        <w:rPr>
          <w:bCs/>
        </w:rPr>
        <w:t xml:space="preserve">: All </w:t>
      </w:r>
      <w:r w:rsidR="00701D67">
        <w:rPr>
          <w:bCs/>
        </w:rPr>
        <w:t>articles which are authored by at least one researcher that is</w:t>
      </w:r>
      <w:r>
        <w:rPr>
          <w:bCs/>
        </w:rPr>
        <w:t xml:space="preserve"> affiliated with a business school, a management department, a school of commerce, or a finance area/department are extracted from </w:t>
      </w:r>
      <w:r w:rsidR="00701D67">
        <w:rPr>
          <w:bCs/>
        </w:rPr>
        <w:t xml:space="preserve">the </w:t>
      </w:r>
      <w:r>
        <w:rPr>
          <w:bCs/>
        </w:rPr>
        <w:t xml:space="preserve">WOS. For each </w:t>
      </w:r>
      <w:r w:rsidR="00FB551C">
        <w:rPr>
          <w:bCs/>
        </w:rPr>
        <w:t xml:space="preserve">author of any of the extracted articles, </w:t>
      </w:r>
      <w:r>
        <w:rPr>
          <w:bCs/>
        </w:rPr>
        <w:t xml:space="preserve">the </w:t>
      </w:r>
      <w:r w:rsidR="00134229">
        <w:rPr>
          <w:bCs/>
        </w:rPr>
        <w:t>entire list</w:t>
      </w:r>
      <w:r>
        <w:rPr>
          <w:bCs/>
        </w:rPr>
        <w:t xml:space="preserve"> of </w:t>
      </w:r>
      <w:r w:rsidR="00FB551C">
        <w:rPr>
          <w:bCs/>
        </w:rPr>
        <w:t xml:space="preserve">his/her </w:t>
      </w:r>
      <w:r w:rsidR="00134229">
        <w:rPr>
          <w:bCs/>
        </w:rPr>
        <w:t xml:space="preserve">published articles on </w:t>
      </w:r>
      <w:r w:rsidR="00FB551C">
        <w:rPr>
          <w:bCs/>
        </w:rPr>
        <w:t xml:space="preserve">the </w:t>
      </w:r>
      <w:r w:rsidR="00134229">
        <w:rPr>
          <w:bCs/>
        </w:rPr>
        <w:t xml:space="preserve">WOS </w:t>
      </w:r>
      <w:r>
        <w:rPr>
          <w:bCs/>
        </w:rPr>
        <w:t xml:space="preserve">is </w:t>
      </w:r>
      <w:r w:rsidR="0057428A">
        <w:rPr>
          <w:bCs/>
        </w:rPr>
        <w:t xml:space="preserve">extracted. </w:t>
      </w:r>
      <w:r>
        <w:rPr>
          <w:bCs/>
        </w:rPr>
        <w:t xml:space="preserve">We </w:t>
      </w:r>
      <w:r w:rsidR="00FB551C">
        <w:rPr>
          <w:bCs/>
        </w:rPr>
        <w:t xml:space="preserve">then </w:t>
      </w:r>
      <w:r>
        <w:rPr>
          <w:bCs/>
        </w:rPr>
        <w:t xml:space="preserve">keep only authors (and their corresponding list of </w:t>
      </w:r>
      <w:r w:rsidR="00134229">
        <w:rPr>
          <w:bCs/>
        </w:rPr>
        <w:t>articles</w:t>
      </w:r>
      <w:r>
        <w:rPr>
          <w:bCs/>
        </w:rPr>
        <w:t xml:space="preserve">) whose majority of </w:t>
      </w:r>
      <w:r w:rsidR="00134229">
        <w:rPr>
          <w:bCs/>
        </w:rPr>
        <w:t>articles</w:t>
      </w:r>
      <w:r>
        <w:rPr>
          <w:bCs/>
        </w:rPr>
        <w:t xml:space="preserve"> are </w:t>
      </w:r>
      <w:r w:rsidR="00FB551C">
        <w:rPr>
          <w:bCs/>
        </w:rPr>
        <w:t>published in journals that meet one of the following criteria</w:t>
      </w:r>
      <w:r w:rsidR="00840E38">
        <w:rPr>
          <w:bCs/>
        </w:rPr>
        <w:t xml:space="preserve">: </w:t>
      </w:r>
      <w:r w:rsidR="00FB551C">
        <w:rPr>
          <w:bCs/>
        </w:rPr>
        <w:t xml:space="preserve">The journal is classified as </w:t>
      </w:r>
      <w:r>
        <w:rPr>
          <w:bCs/>
        </w:rPr>
        <w:t>Business Finance</w:t>
      </w:r>
      <w:r w:rsidR="00840E38">
        <w:rPr>
          <w:bCs/>
        </w:rPr>
        <w:t xml:space="preserve"> </w:t>
      </w:r>
      <w:r w:rsidR="00FB551C">
        <w:rPr>
          <w:bCs/>
        </w:rPr>
        <w:t>by the</w:t>
      </w:r>
      <w:r w:rsidR="00840E38">
        <w:rPr>
          <w:bCs/>
        </w:rPr>
        <w:t xml:space="preserve"> WOS</w:t>
      </w:r>
      <w:r w:rsidR="00FB551C">
        <w:rPr>
          <w:bCs/>
        </w:rPr>
        <w:t xml:space="preserve">; </w:t>
      </w:r>
      <w:r w:rsidR="00840E38">
        <w:rPr>
          <w:bCs/>
        </w:rPr>
        <w:t xml:space="preserve">the </w:t>
      </w:r>
      <w:r w:rsidR="00FB551C">
        <w:rPr>
          <w:bCs/>
        </w:rPr>
        <w:t xml:space="preserve">journal is one of the </w:t>
      </w:r>
      <w:r w:rsidR="00840E38">
        <w:rPr>
          <w:bCs/>
        </w:rPr>
        <w:t>top five general-interest economics journals</w:t>
      </w:r>
      <w:r w:rsidR="00FB551C">
        <w:rPr>
          <w:bCs/>
        </w:rPr>
        <w:t xml:space="preserve">; the journal is one of </w:t>
      </w:r>
      <w:r w:rsidR="00840E38">
        <w:rPr>
          <w:bCs/>
        </w:rPr>
        <w:t>the top six general-interest accounting journals</w:t>
      </w:r>
      <w:r w:rsidR="00FA5E5C">
        <w:rPr>
          <w:bCs/>
        </w:rPr>
        <w:t xml:space="preserve"> (henceforth, finance related articles)</w:t>
      </w:r>
      <w:r w:rsidR="00840E38">
        <w:rPr>
          <w:bCs/>
        </w:rPr>
        <w:t>.</w:t>
      </w:r>
      <w:r>
        <w:rPr>
          <w:bCs/>
        </w:rPr>
        <w:t xml:space="preserve"> </w:t>
      </w:r>
      <w:r w:rsidR="00460B40">
        <w:rPr>
          <w:bCs/>
        </w:rPr>
        <w:t>These criteria help ensure</w:t>
      </w:r>
      <w:r>
        <w:rPr>
          <w:bCs/>
        </w:rPr>
        <w:t xml:space="preserve"> that </w:t>
      </w:r>
      <w:r w:rsidR="00460B40">
        <w:rPr>
          <w:bCs/>
        </w:rPr>
        <w:t>the sample we generate i</w:t>
      </w:r>
      <w:r w:rsidR="002624EB">
        <w:rPr>
          <w:bCs/>
        </w:rPr>
        <w:t>s</w:t>
      </w:r>
      <w:r w:rsidR="00460B40">
        <w:rPr>
          <w:bCs/>
        </w:rPr>
        <w:t xml:space="preserve"> of finance researchers, and also</w:t>
      </w:r>
      <w:r>
        <w:rPr>
          <w:bCs/>
        </w:rPr>
        <w:t xml:space="preserve"> that all </w:t>
      </w:r>
      <w:r w:rsidR="00460B40">
        <w:rPr>
          <w:bCs/>
        </w:rPr>
        <w:t>the authors in our sample are uniquely identified by name</w:t>
      </w:r>
      <w:r>
        <w:rPr>
          <w:bCs/>
        </w:rPr>
        <w:t xml:space="preserve">. </w:t>
      </w:r>
      <w:r w:rsidR="00821802">
        <w:rPr>
          <w:bCs/>
        </w:rPr>
        <w:t xml:space="preserve"> </w:t>
      </w:r>
      <w:r>
        <w:rPr>
          <w:bCs/>
        </w:rPr>
        <w:t xml:space="preserve">For example, suppose </w:t>
      </w:r>
      <w:r w:rsidR="00D27253">
        <w:rPr>
          <w:bCs/>
        </w:rPr>
        <w:t xml:space="preserve">that </w:t>
      </w:r>
      <w:r>
        <w:rPr>
          <w:bCs/>
        </w:rPr>
        <w:t xml:space="preserve">Smith, D. is a common name. If there are two Smith, D. </w:t>
      </w:r>
      <w:r w:rsidR="00D27253">
        <w:rPr>
          <w:bCs/>
        </w:rPr>
        <w:t>finance researchers in</w:t>
      </w:r>
      <w:r w:rsidR="0057428A">
        <w:rPr>
          <w:bCs/>
        </w:rPr>
        <w:t xml:space="preserve"> our sample, </w:t>
      </w:r>
      <w:r w:rsidR="00CD0D3A">
        <w:rPr>
          <w:bCs/>
        </w:rPr>
        <w:t xml:space="preserve">this means that the name is relatively a common name, and therefore would also </w:t>
      </w:r>
      <w:r w:rsidR="00FA5E5C">
        <w:rPr>
          <w:bCs/>
        </w:rPr>
        <w:t xml:space="preserve">probably </w:t>
      </w:r>
      <w:r w:rsidR="00CD0D3A">
        <w:rPr>
          <w:bCs/>
        </w:rPr>
        <w:t xml:space="preserve">be </w:t>
      </w:r>
      <w:r w:rsidR="00FA5E5C">
        <w:rPr>
          <w:bCs/>
        </w:rPr>
        <w:t xml:space="preserve">a </w:t>
      </w:r>
      <w:r w:rsidR="00CD0D3A">
        <w:rPr>
          <w:bCs/>
        </w:rPr>
        <w:t>common name of authors in</w:t>
      </w:r>
      <w:r w:rsidR="0057428A">
        <w:rPr>
          <w:bCs/>
        </w:rPr>
        <w:t xml:space="preserve"> </w:t>
      </w:r>
      <w:r w:rsidR="00A7012A">
        <w:rPr>
          <w:bCs/>
        </w:rPr>
        <w:t xml:space="preserve">other </w:t>
      </w:r>
      <w:r w:rsidR="0057428A">
        <w:rPr>
          <w:bCs/>
        </w:rPr>
        <w:t xml:space="preserve">management </w:t>
      </w:r>
      <w:r w:rsidR="00840E38">
        <w:rPr>
          <w:bCs/>
        </w:rPr>
        <w:t>fields</w:t>
      </w:r>
      <w:r w:rsidR="00FA5E5C">
        <w:rPr>
          <w:bCs/>
        </w:rPr>
        <w:t xml:space="preserve"> (recall that all publications associated with </w:t>
      </w:r>
      <w:r w:rsidR="003B6846">
        <w:rPr>
          <w:bCs/>
        </w:rPr>
        <w:t xml:space="preserve">a </w:t>
      </w:r>
      <w:r w:rsidR="00FA5E5C">
        <w:rPr>
          <w:bCs/>
        </w:rPr>
        <w:t xml:space="preserve">management </w:t>
      </w:r>
      <w:r w:rsidR="003B6846">
        <w:rPr>
          <w:bCs/>
        </w:rPr>
        <w:t xml:space="preserve">affiliation </w:t>
      </w:r>
      <w:r w:rsidR="00FA5E5C">
        <w:rPr>
          <w:bCs/>
        </w:rPr>
        <w:t>are considered)</w:t>
      </w:r>
      <w:r w:rsidR="00840E38">
        <w:rPr>
          <w:bCs/>
        </w:rPr>
        <w:t xml:space="preserve">. Because finance </w:t>
      </w:r>
      <w:r w:rsidR="00A7012A">
        <w:rPr>
          <w:bCs/>
        </w:rPr>
        <w:t>constitutes</w:t>
      </w:r>
      <w:r w:rsidR="00840E38">
        <w:rPr>
          <w:bCs/>
        </w:rPr>
        <w:t xml:space="preserve"> </w:t>
      </w:r>
      <w:r w:rsidR="002624EB">
        <w:rPr>
          <w:bCs/>
        </w:rPr>
        <w:t xml:space="preserve">for </w:t>
      </w:r>
      <w:r w:rsidR="00840E38">
        <w:rPr>
          <w:bCs/>
        </w:rPr>
        <w:t xml:space="preserve">about between 1/3 and 1/4 of </w:t>
      </w:r>
      <w:r w:rsidR="00A7012A">
        <w:rPr>
          <w:bCs/>
        </w:rPr>
        <w:t xml:space="preserve">articles </w:t>
      </w:r>
      <w:r w:rsidR="00840E38">
        <w:rPr>
          <w:bCs/>
        </w:rPr>
        <w:t xml:space="preserve">made in </w:t>
      </w:r>
      <w:r w:rsidR="00A7012A">
        <w:rPr>
          <w:bCs/>
        </w:rPr>
        <w:t xml:space="preserve">business </w:t>
      </w:r>
      <w:r w:rsidR="00840E38">
        <w:rPr>
          <w:bCs/>
        </w:rPr>
        <w:t xml:space="preserve">related fields, </w:t>
      </w:r>
      <w:r w:rsidR="0057428A">
        <w:rPr>
          <w:bCs/>
        </w:rPr>
        <w:t xml:space="preserve">the criterion of at least 50% finance related </w:t>
      </w:r>
      <w:r w:rsidR="00A7012A">
        <w:rPr>
          <w:bCs/>
        </w:rPr>
        <w:t>articles for an author</w:t>
      </w:r>
      <w:r w:rsidR="0057428A">
        <w:rPr>
          <w:bCs/>
        </w:rPr>
        <w:t xml:space="preserve"> </w:t>
      </w:r>
      <w:r w:rsidR="00840E38">
        <w:rPr>
          <w:bCs/>
        </w:rPr>
        <w:t xml:space="preserve">would not hold, so the algorithm will drop </w:t>
      </w:r>
      <w:r w:rsidR="0057428A">
        <w:rPr>
          <w:bCs/>
        </w:rPr>
        <w:t>Smith, D</w:t>
      </w:r>
      <w:r w:rsidR="00A7012A">
        <w:rPr>
          <w:bCs/>
        </w:rPr>
        <w:t>.</w:t>
      </w:r>
      <w:r w:rsidR="0057428A">
        <w:rPr>
          <w:bCs/>
        </w:rPr>
        <w:t xml:space="preserve"> from the sample of authors. </w:t>
      </w:r>
      <w:r w:rsidR="00CD0D3A">
        <w:rPr>
          <w:bCs/>
        </w:rPr>
        <w:t>Thus, we overcome the author ambiguity problem by dropping</w:t>
      </w:r>
      <w:r w:rsidR="0057428A">
        <w:rPr>
          <w:bCs/>
        </w:rPr>
        <w:t xml:space="preserve"> authors </w:t>
      </w:r>
      <w:r w:rsidR="00CD0D3A">
        <w:rPr>
          <w:bCs/>
        </w:rPr>
        <w:t>that</w:t>
      </w:r>
      <w:r w:rsidR="00840E38">
        <w:rPr>
          <w:bCs/>
        </w:rPr>
        <w:t xml:space="preserve"> </w:t>
      </w:r>
      <w:r w:rsidR="00CD0D3A">
        <w:rPr>
          <w:bCs/>
        </w:rPr>
        <w:t xml:space="preserve">have </w:t>
      </w:r>
      <w:r w:rsidR="0057428A">
        <w:rPr>
          <w:bCs/>
        </w:rPr>
        <w:t xml:space="preserve">common names. Out of </w:t>
      </w:r>
      <w:r w:rsidR="00840E38">
        <w:rPr>
          <w:bCs/>
        </w:rPr>
        <w:t>18,153 authors</w:t>
      </w:r>
      <w:r w:rsidR="00A7012A">
        <w:rPr>
          <w:bCs/>
        </w:rPr>
        <w:t xml:space="preserve"> who publish in Business Finance</w:t>
      </w:r>
      <w:r w:rsidR="00840E38">
        <w:rPr>
          <w:bCs/>
        </w:rPr>
        <w:t>, we end up with</w:t>
      </w:r>
      <w:r w:rsidR="00976FE2">
        <w:rPr>
          <w:bCs/>
        </w:rPr>
        <w:t xml:space="preserve"> </w:t>
      </w:r>
      <w:r w:rsidR="0057428A">
        <w:rPr>
          <w:bCs/>
        </w:rPr>
        <w:t>12</w:t>
      </w:r>
      <w:r w:rsidR="004B4CB8">
        <w:rPr>
          <w:bCs/>
        </w:rPr>
        <w:t>,581</w:t>
      </w:r>
      <w:r w:rsidR="0057428A">
        <w:rPr>
          <w:bCs/>
        </w:rPr>
        <w:t xml:space="preserve"> </w:t>
      </w:r>
      <w:r w:rsidR="00A7012A">
        <w:rPr>
          <w:bCs/>
        </w:rPr>
        <w:t xml:space="preserve">unique </w:t>
      </w:r>
      <w:r w:rsidR="0057428A">
        <w:rPr>
          <w:bCs/>
        </w:rPr>
        <w:t>authors</w:t>
      </w:r>
      <w:r w:rsidR="00840E38">
        <w:rPr>
          <w:bCs/>
        </w:rPr>
        <w:t xml:space="preserve"> following this step</w:t>
      </w:r>
      <w:r w:rsidR="0057428A">
        <w:rPr>
          <w:bCs/>
        </w:rPr>
        <w:t>.</w:t>
      </w:r>
    </w:p>
    <w:p w14:paraId="705741B3" w14:textId="3DE5FC42" w:rsidR="00976FE2" w:rsidRDefault="00AE019D" w:rsidP="00DF65AF">
      <w:pPr>
        <w:spacing w:line="408" w:lineRule="auto"/>
        <w:ind w:firstLine="720"/>
        <w:jc w:val="both"/>
        <w:rPr>
          <w:bCs/>
        </w:rPr>
      </w:pPr>
      <w:r w:rsidRPr="0057428A">
        <w:rPr>
          <w:b/>
        </w:rPr>
        <w:t xml:space="preserve">Step </w:t>
      </w:r>
      <w:r>
        <w:rPr>
          <w:b/>
        </w:rPr>
        <w:t>2</w:t>
      </w:r>
      <w:r w:rsidR="00CF551F">
        <w:rPr>
          <w:b/>
        </w:rPr>
        <w:t>: Linking af</w:t>
      </w:r>
      <w:r>
        <w:rPr>
          <w:b/>
        </w:rPr>
        <w:t>filiation</w:t>
      </w:r>
      <w:r w:rsidR="00CF551F">
        <w:rPr>
          <w:b/>
        </w:rPr>
        <w:t xml:space="preserve"> to author</w:t>
      </w:r>
      <w:r>
        <w:rPr>
          <w:b/>
        </w:rPr>
        <w:t xml:space="preserve">: </w:t>
      </w:r>
      <w:r>
        <w:rPr>
          <w:bCs/>
        </w:rPr>
        <w:t xml:space="preserve">We next need to </w:t>
      </w:r>
      <w:r w:rsidR="00226D8B">
        <w:rPr>
          <w:bCs/>
        </w:rPr>
        <w:t xml:space="preserve">identify </w:t>
      </w:r>
      <w:r>
        <w:rPr>
          <w:bCs/>
        </w:rPr>
        <w:t xml:space="preserve">the affiliation of the authors. </w:t>
      </w:r>
      <w:r w:rsidR="00226D8B">
        <w:rPr>
          <w:bCs/>
        </w:rPr>
        <w:t>In many cases, the a</w:t>
      </w:r>
      <w:r>
        <w:rPr>
          <w:bCs/>
        </w:rPr>
        <w:t>ffiliation of authors</w:t>
      </w:r>
      <w:r w:rsidR="00226D8B">
        <w:rPr>
          <w:bCs/>
        </w:rPr>
        <w:t xml:space="preserve"> is clearly provided by the WOS. If this is not the case,</w:t>
      </w:r>
      <w:r>
        <w:rPr>
          <w:bCs/>
        </w:rPr>
        <w:t xml:space="preserve"> </w:t>
      </w:r>
      <w:r w:rsidR="00D7322C">
        <w:rPr>
          <w:bCs/>
        </w:rPr>
        <w:t xml:space="preserve">the WOS provides a </w:t>
      </w:r>
      <w:r w:rsidR="00FA5E5C">
        <w:rPr>
          <w:bCs/>
        </w:rPr>
        <w:t>separate</w:t>
      </w:r>
      <w:r w:rsidR="00D7322C">
        <w:rPr>
          <w:bCs/>
        </w:rPr>
        <w:t xml:space="preserve"> author list and affiliation list, and </w:t>
      </w:r>
      <w:r>
        <w:rPr>
          <w:bCs/>
        </w:rPr>
        <w:t xml:space="preserve">typically (but not always) </w:t>
      </w:r>
      <w:r w:rsidR="00226D8B">
        <w:rPr>
          <w:bCs/>
        </w:rPr>
        <w:t xml:space="preserve">an author’s affiliation would </w:t>
      </w:r>
      <w:r>
        <w:rPr>
          <w:bCs/>
        </w:rPr>
        <w:t xml:space="preserve">correspond to the </w:t>
      </w:r>
      <w:r w:rsidR="00D7322C">
        <w:rPr>
          <w:bCs/>
        </w:rPr>
        <w:t xml:space="preserve">same </w:t>
      </w:r>
      <w:r w:rsidR="004B4CB8">
        <w:rPr>
          <w:bCs/>
        </w:rPr>
        <w:t xml:space="preserve">ordinal </w:t>
      </w:r>
      <w:r w:rsidR="00226D8B">
        <w:rPr>
          <w:bCs/>
        </w:rPr>
        <w:t xml:space="preserve">position </w:t>
      </w:r>
      <w:r>
        <w:rPr>
          <w:bCs/>
        </w:rPr>
        <w:t>of the author in the reference</w:t>
      </w:r>
      <w:r w:rsidR="00D7322C">
        <w:rPr>
          <w:bCs/>
        </w:rPr>
        <w:t xml:space="preserve"> list</w:t>
      </w:r>
      <w:r>
        <w:rPr>
          <w:bCs/>
        </w:rPr>
        <w:t xml:space="preserve">. However, </w:t>
      </w:r>
      <w:r w:rsidR="00D7322C">
        <w:rPr>
          <w:bCs/>
        </w:rPr>
        <w:lastRenderedPageBreak/>
        <w:t xml:space="preserve">occasionally </w:t>
      </w:r>
      <w:r w:rsidR="00EE5027">
        <w:rPr>
          <w:bCs/>
        </w:rPr>
        <w:t>the number of authors and number of affiliations do not match</w:t>
      </w:r>
      <w:r w:rsidR="00D7322C">
        <w:rPr>
          <w:bCs/>
        </w:rPr>
        <w:t>, for example, it can happen in earlier years if two authors are from the same affiliation</w:t>
      </w:r>
      <w:r w:rsidR="00EE5027">
        <w:rPr>
          <w:bCs/>
        </w:rPr>
        <w:t xml:space="preserve">. </w:t>
      </w:r>
      <w:r w:rsidR="00132ABC">
        <w:rPr>
          <w:bCs/>
        </w:rPr>
        <w:t xml:space="preserve">We </w:t>
      </w:r>
      <w:r w:rsidR="00A7012A">
        <w:rPr>
          <w:bCs/>
        </w:rPr>
        <w:t xml:space="preserve">therefore </w:t>
      </w:r>
      <w:r w:rsidR="00226D8B">
        <w:rPr>
          <w:bCs/>
        </w:rPr>
        <w:t xml:space="preserve">programed </w:t>
      </w:r>
      <w:r w:rsidR="00132ABC">
        <w:rPr>
          <w:bCs/>
        </w:rPr>
        <w:t xml:space="preserve">an </w:t>
      </w:r>
      <w:r w:rsidR="00EE5027">
        <w:rPr>
          <w:bCs/>
        </w:rPr>
        <w:t xml:space="preserve">algorithm </w:t>
      </w:r>
      <w:r w:rsidR="00D7322C">
        <w:rPr>
          <w:bCs/>
        </w:rPr>
        <w:t>to</w:t>
      </w:r>
      <w:r w:rsidR="006A5B37">
        <w:rPr>
          <w:bCs/>
        </w:rPr>
        <w:t xml:space="preserve"> </w:t>
      </w:r>
      <w:r w:rsidR="00226D8B">
        <w:rPr>
          <w:bCs/>
        </w:rPr>
        <w:t>assign authors with their affiliation</w:t>
      </w:r>
      <w:r w:rsidR="004B4CB8">
        <w:rPr>
          <w:bCs/>
        </w:rPr>
        <w:t xml:space="preserve">.  </w:t>
      </w:r>
      <w:r w:rsidR="00132ABC">
        <w:rPr>
          <w:bCs/>
        </w:rPr>
        <w:t xml:space="preserve">First, if the paper is a sole-authored paper, we mark </w:t>
      </w:r>
      <w:r w:rsidR="004B4CB8">
        <w:rPr>
          <w:bCs/>
        </w:rPr>
        <w:t xml:space="preserve">the </w:t>
      </w:r>
      <w:r w:rsidR="00132ABC">
        <w:rPr>
          <w:bCs/>
        </w:rPr>
        <w:t>affiliation</w:t>
      </w:r>
      <w:r w:rsidR="004B4CB8">
        <w:rPr>
          <w:bCs/>
        </w:rPr>
        <w:t xml:space="preserve">s as that </w:t>
      </w:r>
      <w:r w:rsidR="00132ABC">
        <w:rPr>
          <w:bCs/>
        </w:rPr>
        <w:t xml:space="preserve">of the </w:t>
      </w:r>
      <w:r w:rsidR="004B4CB8">
        <w:rPr>
          <w:bCs/>
        </w:rPr>
        <w:t xml:space="preserve">sole </w:t>
      </w:r>
      <w:r w:rsidR="00132ABC">
        <w:rPr>
          <w:bCs/>
        </w:rPr>
        <w:t>author. Similarly, if the number of affiliation</w:t>
      </w:r>
      <w:r w:rsidR="00226D8B">
        <w:rPr>
          <w:bCs/>
        </w:rPr>
        <w:t>s</w:t>
      </w:r>
      <w:r w:rsidR="00132ABC">
        <w:rPr>
          <w:bCs/>
        </w:rPr>
        <w:t xml:space="preserve"> </w:t>
      </w:r>
      <w:r w:rsidR="00EE5027">
        <w:rPr>
          <w:bCs/>
        </w:rPr>
        <w:t>corresponds</w:t>
      </w:r>
      <w:r w:rsidR="00132ABC">
        <w:rPr>
          <w:bCs/>
        </w:rPr>
        <w:t xml:space="preserve"> to the number of authors, we match the ordinal order of the author with that of the affiliation. In other cases</w:t>
      </w:r>
      <w:r w:rsidR="00FA5E5C">
        <w:rPr>
          <w:bCs/>
        </w:rPr>
        <w:t>,</w:t>
      </w:r>
      <w:r w:rsidR="00132ABC">
        <w:rPr>
          <w:bCs/>
        </w:rPr>
        <w:t xml:space="preserve"> we </w:t>
      </w:r>
      <w:r w:rsidR="00976FE2">
        <w:rPr>
          <w:bCs/>
        </w:rPr>
        <w:t xml:space="preserve">choose </w:t>
      </w:r>
      <w:r w:rsidR="004B4CB8">
        <w:rPr>
          <w:bCs/>
        </w:rPr>
        <w:t xml:space="preserve">the affiliation </w:t>
      </w:r>
      <w:r w:rsidR="00976FE2">
        <w:rPr>
          <w:bCs/>
        </w:rPr>
        <w:t xml:space="preserve">of the </w:t>
      </w:r>
      <w:r w:rsidR="004B4CB8">
        <w:rPr>
          <w:bCs/>
        </w:rPr>
        <w:t xml:space="preserve">authors </w:t>
      </w:r>
      <w:r w:rsidR="00976FE2">
        <w:rPr>
          <w:bCs/>
        </w:rPr>
        <w:t xml:space="preserve">among those that </w:t>
      </w:r>
      <w:r w:rsidR="004B4CB8">
        <w:rPr>
          <w:bCs/>
        </w:rPr>
        <w:t>appear</w:t>
      </w:r>
      <w:r w:rsidR="00976FE2">
        <w:rPr>
          <w:bCs/>
        </w:rPr>
        <w:t xml:space="preserve"> in the articles, if and only if the affiliation </w:t>
      </w:r>
      <w:r w:rsidR="004B4CB8">
        <w:rPr>
          <w:bCs/>
        </w:rPr>
        <w:t>appear</w:t>
      </w:r>
      <w:r w:rsidR="006A5B37">
        <w:rPr>
          <w:bCs/>
        </w:rPr>
        <w:t>s</w:t>
      </w:r>
      <w:r w:rsidR="004B4CB8">
        <w:rPr>
          <w:bCs/>
        </w:rPr>
        <w:t xml:space="preserve"> in other a</w:t>
      </w:r>
      <w:r w:rsidR="00EE5027">
        <w:rPr>
          <w:bCs/>
        </w:rPr>
        <w:t>rticles</w:t>
      </w:r>
      <w:r w:rsidR="00132ABC">
        <w:rPr>
          <w:bCs/>
        </w:rPr>
        <w:t xml:space="preserve"> of the author during the </w:t>
      </w:r>
      <w:r w:rsidR="00EE5027">
        <w:rPr>
          <w:bCs/>
        </w:rPr>
        <w:t xml:space="preserve">year, </w:t>
      </w:r>
      <w:r w:rsidR="004B4CB8">
        <w:rPr>
          <w:bCs/>
        </w:rPr>
        <w:t xml:space="preserve">for which the matching to affiliation is </w:t>
      </w:r>
      <w:r w:rsidR="00976FE2">
        <w:rPr>
          <w:bCs/>
        </w:rPr>
        <w:t>clear</w:t>
      </w:r>
      <w:r w:rsidR="004B4CB8">
        <w:rPr>
          <w:bCs/>
        </w:rPr>
        <w:t>. If that is not sufficient, we chose the affiliation which appears on the article and also is</w:t>
      </w:r>
      <w:r w:rsidR="00EE5027">
        <w:rPr>
          <w:bCs/>
        </w:rPr>
        <w:t xml:space="preserve"> </w:t>
      </w:r>
      <w:r w:rsidR="004B4CB8">
        <w:rPr>
          <w:bCs/>
        </w:rPr>
        <w:t xml:space="preserve">the </w:t>
      </w:r>
      <w:r w:rsidR="00EE5027">
        <w:rPr>
          <w:bCs/>
        </w:rPr>
        <w:t xml:space="preserve">most common affiliation </w:t>
      </w:r>
      <w:r w:rsidR="004B4CB8">
        <w:rPr>
          <w:bCs/>
        </w:rPr>
        <w:t xml:space="preserve">of the author during </w:t>
      </w:r>
      <w:r w:rsidR="00EE5027">
        <w:rPr>
          <w:bCs/>
        </w:rPr>
        <w:t xml:space="preserve">the three years </w:t>
      </w:r>
      <w:r w:rsidR="004B4CB8">
        <w:rPr>
          <w:bCs/>
        </w:rPr>
        <w:t>centered at the article's publication year</w:t>
      </w:r>
      <w:r w:rsidR="00132ABC">
        <w:rPr>
          <w:bCs/>
        </w:rPr>
        <w:t>. If there is no other a</w:t>
      </w:r>
      <w:r w:rsidR="00EE5027">
        <w:rPr>
          <w:bCs/>
        </w:rPr>
        <w:t xml:space="preserve">rticle during the </w:t>
      </w:r>
      <w:r w:rsidR="00976FE2">
        <w:rPr>
          <w:bCs/>
        </w:rPr>
        <w:t xml:space="preserve">three years centered at the article’s publication </w:t>
      </w:r>
      <w:r w:rsidR="00EE5027">
        <w:rPr>
          <w:bCs/>
        </w:rPr>
        <w:t xml:space="preserve">year, the coauthors of the paper may have an affiliation, which may </w:t>
      </w:r>
      <w:r w:rsidR="00D7322C">
        <w:rPr>
          <w:bCs/>
        </w:rPr>
        <w:t>result in only one affiliation that is not assigned to any other author, and thus assigned to the author in question</w:t>
      </w:r>
      <w:r w:rsidR="004B4CB8">
        <w:rPr>
          <w:bCs/>
        </w:rPr>
        <w:t xml:space="preserve">. If we still do not have a match, </w:t>
      </w:r>
      <w:r w:rsidR="00132ABC">
        <w:rPr>
          <w:bCs/>
        </w:rPr>
        <w:t xml:space="preserve">we fill the gap by keeping the previous </w:t>
      </w:r>
      <w:r w:rsidR="00D7322C">
        <w:rPr>
          <w:bCs/>
        </w:rPr>
        <w:t xml:space="preserve">confirmed </w:t>
      </w:r>
      <w:r w:rsidR="00132ABC">
        <w:rPr>
          <w:bCs/>
        </w:rPr>
        <w:t>affiliation</w:t>
      </w:r>
      <w:r w:rsidR="00D7322C">
        <w:rPr>
          <w:bCs/>
        </w:rPr>
        <w:t xml:space="preserve"> for the author (i.e. from a previous year)</w:t>
      </w:r>
      <w:r w:rsidR="00EE5027">
        <w:rPr>
          <w:bCs/>
        </w:rPr>
        <w:t xml:space="preserve"> or the following </w:t>
      </w:r>
      <w:r w:rsidR="00D7322C">
        <w:rPr>
          <w:bCs/>
        </w:rPr>
        <w:t xml:space="preserve">confirmed </w:t>
      </w:r>
      <w:r w:rsidR="00132ABC">
        <w:rPr>
          <w:bCs/>
        </w:rPr>
        <w:t>affiliation</w:t>
      </w:r>
      <w:r w:rsidR="00D7322C">
        <w:rPr>
          <w:bCs/>
        </w:rPr>
        <w:t xml:space="preserve"> (i.e. from a consecutive year), </w:t>
      </w:r>
      <w:r w:rsidR="00EE5027">
        <w:rPr>
          <w:bCs/>
        </w:rPr>
        <w:t xml:space="preserve">if </w:t>
      </w:r>
      <w:r w:rsidR="008B2070">
        <w:rPr>
          <w:bCs/>
        </w:rPr>
        <w:t>it is a listed possibility</w:t>
      </w:r>
      <w:r w:rsidR="00976FE2">
        <w:rPr>
          <w:bCs/>
        </w:rPr>
        <w:t xml:space="preserve"> on the article</w:t>
      </w:r>
      <w:r w:rsidR="008B2070">
        <w:rPr>
          <w:bCs/>
        </w:rPr>
        <w:t xml:space="preserve">. </w:t>
      </w:r>
      <w:r w:rsidR="00132ABC">
        <w:rPr>
          <w:bCs/>
        </w:rPr>
        <w:t>When an author has more than one affiliation</w:t>
      </w:r>
      <w:r w:rsidR="008B2070">
        <w:rPr>
          <w:bCs/>
        </w:rPr>
        <w:t xml:space="preserve"> </w:t>
      </w:r>
      <w:r w:rsidR="00D7322C">
        <w:rPr>
          <w:bCs/>
        </w:rPr>
        <w:t xml:space="preserve">in </w:t>
      </w:r>
      <w:r w:rsidR="008B2070">
        <w:rPr>
          <w:bCs/>
        </w:rPr>
        <w:t>an article</w:t>
      </w:r>
      <w:r w:rsidR="00132ABC">
        <w:rPr>
          <w:bCs/>
        </w:rPr>
        <w:t xml:space="preserve">, we keep the affiliation which is </w:t>
      </w:r>
      <w:r w:rsidR="008B2070">
        <w:rPr>
          <w:bCs/>
        </w:rPr>
        <w:t xml:space="preserve">the </w:t>
      </w:r>
      <w:r w:rsidR="00EE5027">
        <w:rPr>
          <w:bCs/>
        </w:rPr>
        <w:t xml:space="preserve">most common during the year. We drop authors </w:t>
      </w:r>
      <w:r w:rsidR="004B4CB8">
        <w:rPr>
          <w:bCs/>
        </w:rPr>
        <w:t xml:space="preserve">who </w:t>
      </w:r>
      <w:r w:rsidR="00976FE2">
        <w:rPr>
          <w:bCs/>
        </w:rPr>
        <w:t xml:space="preserve">do not </w:t>
      </w:r>
      <w:r w:rsidR="004B4CB8">
        <w:rPr>
          <w:bCs/>
        </w:rPr>
        <w:t xml:space="preserve">have at least one article that </w:t>
      </w:r>
      <w:r w:rsidR="00FA5E5C">
        <w:rPr>
          <w:bCs/>
        </w:rPr>
        <w:t xml:space="preserve">is </w:t>
      </w:r>
      <w:r w:rsidR="004B4CB8">
        <w:rPr>
          <w:bCs/>
        </w:rPr>
        <w:t xml:space="preserve">uniquely associated </w:t>
      </w:r>
      <w:r w:rsidR="00D7322C">
        <w:rPr>
          <w:bCs/>
        </w:rPr>
        <w:t>with an</w:t>
      </w:r>
      <w:r w:rsidR="004B4CB8">
        <w:rPr>
          <w:bCs/>
        </w:rPr>
        <w:t xml:space="preserve"> affiliation.</w:t>
      </w:r>
    </w:p>
    <w:p w14:paraId="5C693E6B" w14:textId="6948822F" w:rsidR="00AE019D" w:rsidRDefault="00976FE2" w:rsidP="00A80668">
      <w:pPr>
        <w:spacing w:line="408" w:lineRule="auto"/>
        <w:ind w:firstLine="720"/>
        <w:jc w:val="both"/>
        <w:rPr>
          <w:bCs/>
        </w:rPr>
      </w:pPr>
      <w:r>
        <w:rPr>
          <w:bCs/>
        </w:rPr>
        <w:t xml:space="preserve">We define an author's year zero in our study as the first year in which an article of the author is published on </w:t>
      </w:r>
      <w:r w:rsidR="00EE354F">
        <w:rPr>
          <w:bCs/>
        </w:rPr>
        <w:t xml:space="preserve">the </w:t>
      </w:r>
      <w:r>
        <w:rPr>
          <w:bCs/>
        </w:rPr>
        <w:t>WOS. For an author to be included in the sample</w:t>
      </w:r>
      <w:r w:rsidR="00EE354F">
        <w:rPr>
          <w:bCs/>
        </w:rPr>
        <w:t>,</w:t>
      </w:r>
      <w:r>
        <w:rPr>
          <w:bCs/>
        </w:rPr>
        <w:t xml:space="preserve"> the first article and last article must be </w:t>
      </w:r>
      <w:r w:rsidR="00EE354F">
        <w:rPr>
          <w:bCs/>
        </w:rPr>
        <w:t xml:space="preserve">published on </w:t>
      </w:r>
      <w:r>
        <w:rPr>
          <w:bCs/>
        </w:rPr>
        <w:t>different</w:t>
      </w:r>
      <w:r w:rsidR="00EE354F">
        <w:rPr>
          <w:bCs/>
        </w:rPr>
        <w:t xml:space="preserve"> years</w:t>
      </w:r>
      <w:r>
        <w:rPr>
          <w:bCs/>
        </w:rPr>
        <w:t xml:space="preserve">, which implies that we drop all authors who have only one publication on </w:t>
      </w:r>
      <w:r w:rsidR="00EE354F">
        <w:rPr>
          <w:bCs/>
        </w:rPr>
        <w:t xml:space="preserve">the </w:t>
      </w:r>
      <w:r>
        <w:rPr>
          <w:bCs/>
        </w:rPr>
        <w:t xml:space="preserve">WOS or appear on </w:t>
      </w:r>
      <w:r w:rsidR="00EE354F">
        <w:rPr>
          <w:bCs/>
        </w:rPr>
        <w:t xml:space="preserve">the </w:t>
      </w:r>
      <w:r>
        <w:rPr>
          <w:bCs/>
        </w:rPr>
        <w:t xml:space="preserve">WOS for less than two years. Overall, </w:t>
      </w:r>
      <w:r w:rsidR="00EE354F">
        <w:rPr>
          <w:bCs/>
        </w:rPr>
        <w:t>these affiliation identification criteria yield a sample of</w:t>
      </w:r>
      <w:r w:rsidR="004B4CB8">
        <w:rPr>
          <w:bCs/>
        </w:rPr>
        <w:t xml:space="preserve"> </w:t>
      </w:r>
      <w:r w:rsidR="004943BC">
        <w:rPr>
          <w:bCs/>
        </w:rPr>
        <w:t>6,289</w:t>
      </w:r>
      <w:r w:rsidR="004B4CB8">
        <w:rPr>
          <w:bCs/>
        </w:rPr>
        <w:t xml:space="preserve"> authors.</w:t>
      </w:r>
      <w:r w:rsidR="00EE5027">
        <w:rPr>
          <w:bCs/>
        </w:rPr>
        <w:t xml:space="preserve"> </w:t>
      </w:r>
      <w:r w:rsidR="004B4CB8">
        <w:rPr>
          <w:bCs/>
        </w:rPr>
        <w:t xml:space="preserve">Most of the authors that </w:t>
      </w:r>
      <w:r w:rsidR="00A80668">
        <w:rPr>
          <w:bCs/>
        </w:rPr>
        <w:t xml:space="preserve">are dropped </w:t>
      </w:r>
      <w:r>
        <w:rPr>
          <w:bCs/>
        </w:rPr>
        <w:t xml:space="preserve">during this step are </w:t>
      </w:r>
      <w:r w:rsidR="00A80668">
        <w:rPr>
          <w:bCs/>
        </w:rPr>
        <w:t>those that</w:t>
      </w:r>
      <w:r>
        <w:rPr>
          <w:bCs/>
        </w:rPr>
        <w:t xml:space="preserve"> have only one publication on </w:t>
      </w:r>
      <w:r w:rsidR="00A80668">
        <w:rPr>
          <w:bCs/>
        </w:rPr>
        <w:t xml:space="preserve">the </w:t>
      </w:r>
      <w:r>
        <w:rPr>
          <w:bCs/>
        </w:rPr>
        <w:t>WOS</w:t>
      </w:r>
      <w:r w:rsidR="004B4CB8">
        <w:rPr>
          <w:bCs/>
        </w:rPr>
        <w:t>.</w:t>
      </w:r>
    </w:p>
    <w:p w14:paraId="37576AC2" w14:textId="3B0B568E" w:rsidR="008B2070" w:rsidRDefault="008B2070" w:rsidP="003D22E9">
      <w:pPr>
        <w:spacing w:line="408" w:lineRule="auto"/>
        <w:ind w:firstLine="720"/>
        <w:jc w:val="both"/>
        <w:rPr>
          <w:bCs/>
        </w:rPr>
      </w:pPr>
      <w:r w:rsidRPr="0057428A">
        <w:rPr>
          <w:b/>
        </w:rPr>
        <w:t xml:space="preserve">Step </w:t>
      </w:r>
      <w:r>
        <w:rPr>
          <w:b/>
        </w:rPr>
        <w:t>3</w:t>
      </w:r>
      <w:r w:rsidR="00CF551F">
        <w:rPr>
          <w:b/>
        </w:rPr>
        <w:t>:</w:t>
      </w:r>
      <w:r w:rsidRPr="0057428A">
        <w:rPr>
          <w:b/>
        </w:rPr>
        <w:t xml:space="preserve"> </w:t>
      </w:r>
      <w:r w:rsidR="00CF551F">
        <w:rPr>
          <w:b/>
        </w:rPr>
        <w:t>R</w:t>
      </w:r>
      <w:r>
        <w:rPr>
          <w:b/>
        </w:rPr>
        <w:t xml:space="preserve">anking institutions: </w:t>
      </w:r>
      <w:r w:rsidR="006542F4">
        <w:rPr>
          <w:bCs/>
        </w:rPr>
        <w:t xml:space="preserve">We rank institutions based on the number of A finance related publications </w:t>
      </w:r>
      <w:r w:rsidR="003D22E9">
        <w:rPr>
          <w:bCs/>
        </w:rPr>
        <w:t>that the authors in our sample have</w:t>
      </w:r>
      <w:r w:rsidR="006542F4">
        <w:rPr>
          <w:bCs/>
        </w:rPr>
        <w:t xml:space="preserve"> throughout the sample years 1966-2016.</w:t>
      </w:r>
      <w:r w:rsidR="002B0DDE">
        <w:rPr>
          <w:bCs/>
        </w:rPr>
        <w:t xml:space="preserve"> </w:t>
      </w:r>
      <w:r w:rsidR="00A42E11">
        <w:rPr>
          <w:bCs/>
        </w:rPr>
        <w:t xml:space="preserve">The ranking is based on the authors in our sample, to eliminate the possibility that certain institutions are misrepresented in our sample due to the first two steps of the algorithm (for example, if Xu and Chen are very common names in China, </w:t>
      </w:r>
      <w:r w:rsidR="00976FE2">
        <w:rPr>
          <w:bCs/>
        </w:rPr>
        <w:t xml:space="preserve">our ample </w:t>
      </w:r>
      <w:r w:rsidR="00A42E11">
        <w:rPr>
          <w:bCs/>
        </w:rPr>
        <w:t>may under-represent</w:t>
      </w:r>
      <w:r w:rsidR="00976FE2">
        <w:rPr>
          <w:bCs/>
        </w:rPr>
        <w:t xml:space="preserve"> Chinese universities).</w:t>
      </w:r>
      <w:r w:rsidR="00A42E11">
        <w:rPr>
          <w:bCs/>
        </w:rPr>
        <w:t xml:space="preserve"> </w:t>
      </w:r>
      <w:r w:rsidR="002B0DDE">
        <w:rPr>
          <w:bCs/>
        </w:rPr>
        <w:t xml:space="preserve">The larger </w:t>
      </w:r>
      <w:r w:rsidR="002B0DDE">
        <w:rPr>
          <w:bCs/>
        </w:rPr>
        <w:lastRenderedPageBreak/>
        <w:t xml:space="preserve">the number of A publications </w:t>
      </w:r>
      <w:r w:rsidR="003D22E9">
        <w:rPr>
          <w:bCs/>
        </w:rPr>
        <w:t xml:space="preserve">the </w:t>
      </w:r>
      <w:r w:rsidR="002B0DDE">
        <w:rPr>
          <w:bCs/>
        </w:rPr>
        <w:t xml:space="preserve">higher the ranking of the institution. There are 18 </w:t>
      </w:r>
      <w:r w:rsidR="006542F4">
        <w:rPr>
          <w:bCs/>
        </w:rPr>
        <w:t xml:space="preserve">A </w:t>
      </w:r>
      <w:r w:rsidR="003D22E9">
        <w:rPr>
          <w:bCs/>
        </w:rPr>
        <w:t xml:space="preserve">journals </w:t>
      </w:r>
      <w:r w:rsidR="006542F4">
        <w:rPr>
          <w:bCs/>
        </w:rPr>
        <w:t>in our analysis</w:t>
      </w:r>
      <w:r w:rsidR="002B0DDE">
        <w:rPr>
          <w:bCs/>
        </w:rPr>
        <w:t xml:space="preserve">, which include all highly ranked journals in finance related fields. These </w:t>
      </w:r>
      <w:r w:rsidR="006542F4">
        <w:rPr>
          <w:bCs/>
        </w:rPr>
        <w:t>include the top six finance journal (Journal of Business, Journal of Finance, Journal of Financial and Quantitative Analysis, Journal of Financial Economics, Review of Financial Studies, and Review of Finance, the top six accounting journals (</w:t>
      </w:r>
      <w:r w:rsidR="002B0DDE">
        <w:rPr>
          <w:bCs/>
        </w:rPr>
        <w:t xml:space="preserve">Accounting Review, Journal of Accounting &amp; Economics, Journal of Accounting Research, Review of Accounting Studies, Cotemporary Accounting Research, and Accounting Organizations and Society), the top 5 economics journals (American Economic Review, </w:t>
      </w:r>
      <w:proofErr w:type="spellStart"/>
      <w:r w:rsidR="002B0DDE">
        <w:rPr>
          <w:bCs/>
        </w:rPr>
        <w:t>Econometrica</w:t>
      </w:r>
      <w:proofErr w:type="spellEnd"/>
      <w:r w:rsidR="002B0DDE">
        <w:rPr>
          <w:bCs/>
        </w:rPr>
        <w:t>, Journal of Political Economy, Quarterly Journal of Economic, Review of Economics Studies), as well as Management Science.</w:t>
      </w:r>
      <w:r w:rsidR="00A42E11">
        <w:rPr>
          <w:bCs/>
        </w:rPr>
        <w:t xml:space="preserve"> </w:t>
      </w:r>
    </w:p>
    <w:p w14:paraId="5C8BD8F3" w14:textId="4B2377D8" w:rsidR="00D91F0E" w:rsidRDefault="00D91F0E" w:rsidP="004610BE">
      <w:pPr>
        <w:spacing w:line="408" w:lineRule="auto"/>
        <w:ind w:firstLine="720"/>
        <w:jc w:val="both"/>
        <w:rPr>
          <w:bCs/>
        </w:rPr>
      </w:pPr>
      <w:r w:rsidRPr="00CF551F">
        <w:rPr>
          <w:b/>
        </w:rPr>
        <w:t>Step 4: Accumulating</w:t>
      </w:r>
      <w:r w:rsidRPr="00D91F0E">
        <w:rPr>
          <w:b/>
        </w:rPr>
        <w:t xml:space="preserve"> productivity</w:t>
      </w:r>
      <w:r>
        <w:rPr>
          <w:bCs/>
        </w:rPr>
        <w:t xml:space="preserve">: </w:t>
      </w:r>
      <w:r w:rsidR="00EA300D">
        <w:rPr>
          <w:bCs/>
        </w:rPr>
        <w:t xml:space="preserve">Our productivity variable is the </w:t>
      </w:r>
      <w:r>
        <w:rPr>
          <w:bCs/>
        </w:rPr>
        <w:t xml:space="preserve">number of A publications that author has </w:t>
      </w:r>
      <w:r w:rsidR="00EA300D">
        <w:rPr>
          <w:bCs/>
        </w:rPr>
        <w:t>authored since initial article's year zero on WOS</w:t>
      </w:r>
      <w:r>
        <w:rPr>
          <w:bCs/>
        </w:rPr>
        <w:t>. By definition, if an author does not appear after a certain year, e.g., year 5, his accumulated A publication</w:t>
      </w:r>
      <w:r w:rsidR="003D22E9">
        <w:rPr>
          <w:bCs/>
        </w:rPr>
        <w:t>s record</w:t>
      </w:r>
      <w:r>
        <w:rPr>
          <w:bCs/>
        </w:rPr>
        <w:t xml:space="preserve"> will not change</w:t>
      </w:r>
      <w:r w:rsidR="00EA300D">
        <w:rPr>
          <w:bCs/>
        </w:rPr>
        <w:t xml:space="preserve"> </w:t>
      </w:r>
      <w:r w:rsidR="003D22E9">
        <w:rPr>
          <w:bCs/>
        </w:rPr>
        <w:t xml:space="preserve">from that point onwards </w:t>
      </w:r>
      <w:r w:rsidR="00EA300D">
        <w:rPr>
          <w:bCs/>
        </w:rPr>
        <w:t>(in year 6-10</w:t>
      </w:r>
      <w:r w:rsidR="003D22E9">
        <w:rPr>
          <w:bCs/>
        </w:rPr>
        <w:t>). However, to avoid a possible survival bias,</w:t>
      </w:r>
      <w:r>
        <w:rPr>
          <w:bCs/>
        </w:rPr>
        <w:t xml:space="preserve"> we keep </w:t>
      </w:r>
      <w:r w:rsidR="003D22E9">
        <w:rPr>
          <w:bCs/>
        </w:rPr>
        <w:t xml:space="preserve">such </w:t>
      </w:r>
      <w:r>
        <w:rPr>
          <w:bCs/>
        </w:rPr>
        <w:t>author</w:t>
      </w:r>
      <w:r w:rsidR="003D22E9">
        <w:rPr>
          <w:bCs/>
        </w:rPr>
        <w:t>s</w:t>
      </w:r>
      <w:r>
        <w:rPr>
          <w:bCs/>
        </w:rPr>
        <w:t xml:space="preserve"> in </w:t>
      </w:r>
      <w:r w:rsidR="003D22E9">
        <w:rPr>
          <w:bCs/>
        </w:rPr>
        <w:t xml:space="preserve">our </w:t>
      </w:r>
      <w:r>
        <w:rPr>
          <w:bCs/>
        </w:rPr>
        <w:t>panel.</w:t>
      </w:r>
      <w:r w:rsidR="00EA300D">
        <w:rPr>
          <w:bCs/>
        </w:rPr>
        <w:t xml:space="preserve"> In other </w:t>
      </w:r>
      <w:r w:rsidR="00976FE2">
        <w:rPr>
          <w:bCs/>
        </w:rPr>
        <w:t>words,</w:t>
      </w:r>
      <w:r w:rsidR="00EA300D">
        <w:rPr>
          <w:bCs/>
        </w:rPr>
        <w:t xml:space="preserve"> the </w:t>
      </w:r>
      <w:r w:rsidR="00976FE2">
        <w:rPr>
          <w:bCs/>
        </w:rPr>
        <w:t>panel</w:t>
      </w:r>
      <w:r w:rsidR="00EA300D">
        <w:rPr>
          <w:bCs/>
        </w:rPr>
        <w:t xml:space="preserve"> of authors we analyze is </w:t>
      </w:r>
      <w:r w:rsidR="003B6846">
        <w:rPr>
          <w:bCs/>
        </w:rPr>
        <w:t xml:space="preserve">balanced </w:t>
      </w:r>
      <w:r w:rsidR="00EA300D">
        <w:rPr>
          <w:bCs/>
        </w:rPr>
        <w:t xml:space="preserve">and all authors would have the same number of yearly observations. </w:t>
      </w:r>
      <w:r>
        <w:rPr>
          <w:bCs/>
        </w:rPr>
        <w:t xml:space="preserve">However, the results are not materially different </w:t>
      </w:r>
      <w:r w:rsidR="003D22E9">
        <w:rPr>
          <w:bCs/>
        </w:rPr>
        <w:t>when working with</w:t>
      </w:r>
      <w:r w:rsidR="00EA300D">
        <w:rPr>
          <w:bCs/>
        </w:rPr>
        <w:t xml:space="preserve"> an unequal panel</w:t>
      </w:r>
      <w:r w:rsidR="004610BE">
        <w:rPr>
          <w:bCs/>
        </w:rPr>
        <w:t>.</w:t>
      </w:r>
      <w:r w:rsidR="003B6846">
        <w:rPr>
          <w:bCs/>
        </w:rPr>
        <w:t xml:space="preserve"> </w:t>
      </w:r>
      <w:r>
        <w:rPr>
          <w:bCs/>
        </w:rPr>
        <w:t xml:space="preserve">Overall, we </w:t>
      </w:r>
      <w:r w:rsidR="00EA300D">
        <w:rPr>
          <w:bCs/>
        </w:rPr>
        <w:t>en</w:t>
      </w:r>
      <w:r>
        <w:rPr>
          <w:bCs/>
        </w:rPr>
        <w:t xml:space="preserve">d up </w:t>
      </w:r>
      <w:r w:rsidR="00EA300D">
        <w:rPr>
          <w:bCs/>
        </w:rPr>
        <w:t>with a sample of</w:t>
      </w:r>
      <w:r w:rsidR="00FE4BC6">
        <w:rPr>
          <w:bCs/>
        </w:rPr>
        <w:t xml:space="preserve"> 6</w:t>
      </w:r>
      <w:r w:rsidR="004943BC">
        <w:rPr>
          <w:bCs/>
        </w:rPr>
        <w:t>,</w:t>
      </w:r>
      <w:r w:rsidR="00FE4BC6">
        <w:rPr>
          <w:bCs/>
        </w:rPr>
        <w:t>289 authors</w:t>
      </w:r>
      <w:r w:rsidR="004610BE">
        <w:rPr>
          <w:bCs/>
        </w:rPr>
        <w:t>, of which 3,707 first appear on the WOS prior to 2007</w:t>
      </w:r>
      <w:r w:rsidR="003B6846">
        <w:rPr>
          <w:bCs/>
        </w:rPr>
        <w:t>.</w:t>
      </w:r>
    </w:p>
    <w:p w14:paraId="593A3E2C" w14:textId="0D6658D7" w:rsidR="00564E7A" w:rsidRDefault="00564E7A">
      <w:pPr>
        <w:spacing w:after="200" w:line="276" w:lineRule="auto"/>
        <w:rPr>
          <w:bCs/>
        </w:rPr>
      </w:pPr>
      <w:r>
        <w:rPr>
          <w:bCs/>
        </w:rPr>
        <w:br w:type="page"/>
      </w:r>
    </w:p>
    <w:p w14:paraId="7D2C76B0" w14:textId="559F9E6B" w:rsidR="00A02E51" w:rsidRDefault="00A02E51"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lastRenderedPageBreak/>
        <w:t>Allison, P. D., &amp; Stewart, J. A. (1974). Productivity differences among scientists: Evidence for accumulative advantage. American sociological review, 596-606.</w:t>
      </w:r>
    </w:p>
    <w:p w14:paraId="47B0E690" w14:textId="200D56A5"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Barnea</w:t>
      </w:r>
      <w:proofErr w:type="spellEnd"/>
      <w:r w:rsidRPr="00853407">
        <w:rPr>
          <w:rFonts w:eastAsia="Calibri"/>
          <w:color w:val="222222"/>
          <w:shd w:val="clear" w:color="auto" w:fill="FFFFFF"/>
        </w:rPr>
        <w:t xml:space="preserve">, A., </w:t>
      </w:r>
      <w:proofErr w:type="spellStart"/>
      <w:r w:rsidRPr="00853407">
        <w:rPr>
          <w:rFonts w:eastAsia="Calibri"/>
          <w:color w:val="222222"/>
          <w:shd w:val="clear" w:color="auto" w:fill="FFFFFF"/>
        </w:rPr>
        <w:t>Cronqvist</w:t>
      </w:r>
      <w:proofErr w:type="spellEnd"/>
      <w:r w:rsidRPr="00853407">
        <w:rPr>
          <w:rFonts w:eastAsia="Calibri"/>
          <w:color w:val="222222"/>
          <w:shd w:val="clear" w:color="auto" w:fill="FFFFFF"/>
        </w:rPr>
        <w:t xml:space="preserve">, H. and Siegel, S., 2010. Nature or nurture: What determines investor </w:t>
      </w:r>
      <w:proofErr w:type="gramStart"/>
      <w:r w:rsidRPr="00853407">
        <w:rPr>
          <w:rFonts w:eastAsia="Calibri"/>
          <w:color w:val="222222"/>
          <w:shd w:val="clear" w:color="auto" w:fill="FFFFFF"/>
        </w:rPr>
        <w:t>behavior?.</w:t>
      </w:r>
      <w:proofErr w:type="gramEnd"/>
      <w:r w:rsidRPr="00853407">
        <w:rPr>
          <w:rFonts w:eastAsia="Calibri"/>
          <w:color w:val="222222"/>
          <w:shd w:val="clear" w:color="auto" w:fill="FFFFFF"/>
        </w:rPr>
        <w:t> </w:t>
      </w:r>
      <w:r w:rsidRPr="00853407">
        <w:rPr>
          <w:rFonts w:eastAsia="Calibri"/>
          <w:i/>
          <w:iCs/>
          <w:color w:val="222222"/>
          <w:shd w:val="clear" w:color="auto" w:fill="FFFFFF"/>
        </w:rPr>
        <w:t>Journal of Financial Economics</w:t>
      </w:r>
      <w:r w:rsidRPr="00853407">
        <w:rPr>
          <w:rFonts w:eastAsia="Calibri"/>
          <w:color w:val="222222"/>
          <w:shd w:val="clear" w:color="auto" w:fill="FFFFFF"/>
        </w:rPr>
        <w:t>, </w:t>
      </w:r>
      <w:r w:rsidRPr="00853407">
        <w:rPr>
          <w:rFonts w:eastAsia="Calibri"/>
          <w:i/>
          <w:iCs/>
          <w:color w:val="222222"/>
          <w:shd w:val="clear" w:color="auto" w:fill="FFFFFF"/>
        </w:rPr>
        <w:t>98</w:t>
      </w:r>
      <w:r w:rsidRPr="00853407">
        <w:rPr>
          <w:rFonts w:eastAsia="Calibri"/>
          <w:color w:val="222222"/>
          <w:shd w:val="clear" w:color="auto" w:fill="FFFFFF"/>
        </w:rPr>
        <w:t>(3), pp.583-604.</w:t>
      </w:r>
    </w:p>
    <w:p w14:paraId="3AC1C7BE" w14:textId="0BA7E0E2" w:rsidR="006958E8" w:rsidRPr="00853407" w:rsidRDefault="006958E8" w:rsidP="00564E7A">
      <w:pPr>
        <w:spacing w:after="160" w:line="259" w:lineRule="auto"/>
        <w:jc w:val="both"/>
        <w:rPr>
          <w:rFonts w:asciiTheme="majorBidi" w:eastAsia="Calibri" w:hAnsiTheme="majorBidi" w:cstheme="majorBidi"/>
          <w:color w:val="222222"/>
          <w:shd w:val="clear" w:color="auto" w:fill="FFFFFF"/>
        </w:rPr>
      </w:pPr>
      <w:r w:rsidRPr="00853407">
        <w:rPr>
          <w:rFonts w:asciiTheme="majorBidi" w:hAnsiTheme="majorBidi" w:cstheme="majorBidi"/>
          <w:color w:val="222222"/>
          <w:shd w:val="clear" w:color="auto" w:fill="FFFFFF"/>
        </w:rPr>
        <w:t>Black, S.E. and Lynch, L.M., 1996. Human-capital investments and productivity. </w:t>
      </w:r>
      <w:r w:rsidRPr="00853407">
        <w:rPr>
          <w:rFonts w:asciiTheme="majorBidi" w:hAnsiTheme="majorBidi" w:cstheme="majorBidi"/>
          <w:i/>
          <w:iCs/>
          <w:color w:val="222222"/>
          <w:shd w:val="clear" w:color="auto" w:fill="FFFFFF"/>
        </w:rPr>
        <w:t>The American economic review</w:t>
      </w:r>
      <w:r w:rsidRPr="00853407">
        <w:rPr>
          <w:rFonts w:asciiTheme="majorBidi" w:hAnsiTheme="majorBidi" w:cstheme="majorBidi"/>
          <w:color w:val="222222"/>
          <w:shd w:val="clear" w:color="auto" w:fill="FFFFFF"/>
        </w:rPr>
        <w:t>, </w:t>
      </w:r>
      <w:r w:rsidRPr="00853407">
        <w:rPr>
          <w:rFonts w:asciiTheme="majorBidi" w:hAnsiTheme="majorBidi" w:cstheme="majorBidi"/>
          <w:i/>
          <w:iCs/>
          <w:color w:val="222222"/>
          <w:shd w:val="clear" w:color="auto" w:fill="FFFFFF"/>
        </w:rPr>
        <w:t>86</w:t>
      </w:r>
      <w:r w:rsidRPr="00853407">
        <w:rPr>
          <w:rFonts w:asciiTheme="majorBidi" w:hAnsiTheme="majorBidi" w:cstheme="majorBidi"/>
          <w:color w:val="222222"/>
          <w:shd w:val="clear" w:color="auto" w:fill="FFFFFF"/>
        </w:rPr>
        <w:t>(2), pp.263-267.</w:t>
      </w:r>
    </w:p>
    <w:p w14:paraId="6889F269"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Bowles, S. and Gintis, H., 2002. The inheritance of inequality. </w:t>
      </w:r>
      <w:r w:rsidRPr="00853407">
        <w:rPr>
          <w:rFonts w:eastAsia="Calibri"/>
          <w:i/>
          <w:iCs/>
          <w:color w:val="222222"/>
          <w:shd w:val="clear" w:color="auto" w:fill="FFFFFF"/>
        </w:rPr>
        <w:t>Journal of economic Perspectives</w:t>
      </w:r>
      <w:r w:rsidRPr="00853407">
        <w:rPr>
          <w:rFonts w:eastAsia="Calibri"/>
          <w:color w:val="222222"/>
          <w:shd w:val="clear" w:color="auto" w:fill="FFFFFF"/>
        </w:rPr>
        <w:t>, </w:t>
      </w:r>
      <w:r w:rsidRPr="00853407">
        <w:rPr>
          <w:rFonts w:eastAsia="Calibri"/>
          <w:i/>
          <w:iCs/>
          <w:color w:val="222222"/>
          <w:shd w:val="clear" w:color="auto" w:fill="FFFFFF"/>
        </w:rPr>
        <w:t>16</w:t>
      </w:r>
      <w:r w:rsidRPr="00853407">
        <w:rPr>
          <w:rFonts w:eastAsia="Calibri"/>
          <w:color w:val="222222"/>
          <w:shd w:val="clear" w:color="auto" w:fill="FFFFFF"/>
        </w:rPr>
        <w:t>(3), pp.3-30.</w:t>
      </w:r>
    </w:p>
    <w:p w14:paraId="0F2586A8"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 xml:space="preserve">Brown, C. and </w:t>
      </w:r>
      <w:proofErr w:type="spellStart"/>
      <w:r w:rsidRPr="00853407">
        <w:rPr>
          <w:rFonts w:eastAsia="Calibri"/>
          <w:color w:val="222222"/>
          <w:shd w:val="clear" w:color="auto" w:fill="FFFFFF"/>
        </w:rPr>
        <w:t>Medoff</w:t>
      </w:r>
      <w:proofErr w:type="spellEnd"/>
      <w:r w:rsidRPr="00853407">
        <w:rPr>
          <w:rFonts w:eastAsia="Calibri"/>
          <w:color w:val="222222"/>
          <w:shd w:val="clear" w:color="auto" w:fill="FFFFFF"/>
        </w:rPr>
        <w:t>, J., 1989. The employer size-wage effect. </w:t>
      </w:r>
      <w:r w:rsidRPr="00853407">
        <w:rPr>
          <w:rFonts w:eastAsia="Calibri"/>
          <w:i/>
          <w:iCs/>
          <w:color w:val="222222"/>
          <w:shd w:val="clear" w:color="auto" w:fill="FFFFFF"/>
        </w:rPr>
        <w:t>Journal of political Economy</w:t>
      </w:r>
      <w:r w:rsidRPr="00853407">
        <w:rPr>
          <w:rFonts w:eastAsia="Calibri"/>
          <w:color w:val="222222"/>
          <w:shd w:val="clear" w:color="auto" w:fill="FFFFFF"/>
        </w:rPr>
        <w:t>, </w:t>
      </w:r>
      <w:r w:rsidRPr="00853407">
        <w:rPr>
          <w:rFonts w:eastAsia="Calibri"/>
          <w:i/>
          <w:iCs/>
          <w:color w:val="222222"/>
          <w:shd w:val="clear" w:color="auto" w:fill="FFFFFF"/>
        </w:rPr>
        <w:t>97</w:t>
      </w:r>
      <w:r w:rsidRPr="00853407">
        <w:rPr>
          <w:rFonts w:eastAsia="Calibri"/>
          <w:color w:val="222222"/>
          <w:shd w:val="clear" w:color="auto" w:fill="FFFFFF"/>
        </w:rPr>
        <w:t>(5), pp.1027-1059.</w:t>
      </w:r>
    </w:p>
    <w:p w14:paraId="2DAB8CB6"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Cesarini</w:t>
      </w:r>
      <w:proofErr w:type="spellEnd"/>
      <w:r w:rsidRPr="00853407">
        <w:rPr>
          <w:rFonts w:eastAsia="Calibri"/>
          <w:color w:val="222222"/>
          <w:shd w:val="clear" w:color="auto" w:fill="FFFFFF"/>
        </w:rPr>
        <w:t xml:space="preserve">, D., Dawes, C.T., </w:t>
      </w:r>
      <w:proofErr w:type="spellStart"/>
      <w:r w:rsidRPr="00853407">
        <w:rPr>
          <w:rFonts w:eastAsia="Calibri"/>
          <w:color w:val="222222"/>
          <w:shd w:val="clear" w:color="auto" w:fill="FFFFFF"/>
        </w:rPr>
        <w:t>Johannesson</w:t>
      </w:r>
      <w:proofErr w:type="spellEnd"/>
      <w:r w:rsidRPr="00853407">
        <w:rPr>
          <w:rFonts w:eastAsia="Calibri"/>
          <w:color w:val="222222"/>
          <w:shd w:val="clear" w:color="auto" w:fill="FFFFFF"/>
        </w:rPr>
        <w:t>, M., Lichtenstein, P. and Wallace, B., 2009. Genetic variation in preferences for giving and risk taking. </w:t>
      </w:r>
      <w:r w:rsidRPr="00853407">
        <w:rPr>
          <w:rFonts w:eastAsia="Calibri"/>
          <w:i/>
          <w:iCs/>
          <w:color w:val="222222"/>
          <w:shd w:val="clear" w:color="auto" w:fill="FFFFFF"/>
        </w:rPr>
        <w:t>The Quarterly Journal of Economics</w:t>
      </w:r>
      <w:r w:rsidRPr="00853407">
        <w:rPr>
          <w:rFonts w:eastAsia="Calibri"/>
          <w:color w:val="222222"/>
          <w:shd w:val="clear" w:color="auto" w:fill="FFFFFF"/>
        </w:rPr>
        <w:t>, </w:t>
      </w:r>
      <w:r w:rsidRPr="00853407">
        <w:rPr>
          <w:rFonts w:eastAsia="Calibri"/>
          <w:i/>
          <w:iCs/>
          <w:color w:val="222222"/>
          <w:shd w:val="clear" w:color="auto" w:fill="FFFFFF"/>
        </w:rPr>
        <w:t>124</w:t>
      </w:r>
      <w:r w:rsidRPr="00853407">
        <w:rPr>
          <w:rFonts w:eastAsia="Calibri"/>
          <w:color w:val="222222"/>
          <w:shd w:val="clear" w:color="auto" w:fill="FFFFFF"/>
        </w:rPr>
        <w:t>(2), pp.809-842</w:t>
      </w:r>
    </w:p>
    <w:p w14:paraId="4D1A394F" w14:textId="58CC55AB" w:rsidR="00A02E51" w:rsidRPr="00853407" w:rsidRDefault="00A02E51"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Cole, J. R., and Cole, S., 1973. Social Stratification in Science, The University of Chicago Press.</w:t>
      </w:r>
    </w:p>
    <w:p w14:paraId="2941E601"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Comings, D.E., 1998. The molecular genetics of pathological gambling. </w:t>
      </w:r>
      <w:r w:rsidRPr="00853407">
        <w:rPr>
          <w:rFonts w:eastAsia="Calibri"/>
          <w:i/>
          <w:iCs/>
          <w:color w:val="222222"/>
          <w:shd w:val="clear" w:color="auto" w:fill="FFFFFF"/>
        </w:rPr>
        <w:t>CNS spectrums</w:t>
      </w:r>
      <w:r w:rsidRPr="00853407">
        <w:rPr>
          <w:rFonts w:eastAsia="Calibri"/>
          <w:color w:val="222222"/>
          <w:shd w:val="clear" w:color="auto" w:fill="FFFFFF"/>
        </w:rPr>
        <w:t>, </w:t>
      </w:r>
      <w:r w:rsidRPr="00853407">
        <w:rPr>
          <w:rFonts w:eastAsia="Calibri"/>
          <w:i/>
          <w:iCs/>
          <w:color w:val="222222"/>
          <w:shd w:val="clear" w:color="auto" w:fill="FFFFFF"/>
        </w:rPr>
        <w:t>3</w:t>
      </w:r>
      <w:r w:rsidRPr="00853407">
        <w:rPr>
          <w:rFonts w:eastAsia="Calibri"/>
          <w:color w:val="222222"/>
          <w:shd w:val="clear" w:color="auto" w:fill="FFFFFF"/>
        </w:rPr>
        <w:t>(6), pp.20-37.</w:t>
      </w:r>
    </w:p>
    <w:p w14:paraId="60217D91"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Darwin, C., 1859. </w:t>
      </w:r>
      <w:r w:rsidRPr="00853407">
        <w:rPr>
          <w:rFonts w:eastAsia="Calibri"/>
          <w:i/>
          <w:iCs/>
          <w:color w:val="222222"/>
          <w:shd w:val="clear" w:color="auto" w:fill="FFFFFF"/>
        </w:rPr>
        <w:t xml:space="preserve">On the origin of species. </w:t>
      </w:r>
      <w:r w:rsidRPr="00853407">
        <w:rPr>
          <w:rFonts w:eastAsia="Calibri"/>
          <w:color w:val="222222"/>
          <w:shd w:val="clear" w:color="auto" w:fill="FFFFFF"/>
        </w:rPr>
        <w:t>Routledge (reprinted 2004).</w:t>
      </w:r>
    </w:p>
    <w:p w14:paraId="7FDB0F45"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Deaner</w:t>
      </w:r>
      <w:proofErr w:type="spellEnd"/>
      <w:r w:rsidRPr="00853407">
        <w:rPr>
          <w:rFonts w:eastAsia="Calibri"/>
          <w:color w:val="222222"/>
          <w:shd w:val="clear" w:color="auto" w:fill="FFFFFF"/>
        </w:rPr>
        <w:t xml:space="preserve">, R.O., </w:t>
      </w:r>
      <w:proofErr w:type="spellStart"/>
      <w:r w:rsidRPr="00853407">
        <w:rPr>
          <w:rFonts w:eastAsia="Calibri"/>
          <w:color w:val="222222"/>
          <w:shd w:val="clear" w:color="auto" w:fill="FFFFFF"/>
        </w:rPr>
        <w:t>Lowen</w:t>
      </w:r>
      <w:proofErr w:type="spellEnd"/>
      <w:r w:rsidRPr="00853407">
        <w:rPr>
          <w:rFonts w:eastAsia="Calibri"/>
          <w:color w:val="222222"/>
          <w:shd w:val="clear" w:color="auto" w:fill="FFFFFF"/>
        </w:rPr>
        <w:t xml:space="preserve">, A. and </w:t>
      </w:r>
      <w:proofErr w:type="spellStart"/>
      <w:r w:rsidRPr="00853407">
        <w:rPr>
          <w:rFonts w:eastAsia="Calibri"/>
          <w:color w:val="222222"/>
          <w:shd w:val="clear" w:color="auto" w:fill="FFFFFF"/>
        </w:rPr>
        <w:t>Cobley</w:t>
      </w:r>
      <w:proofErr w:type="spellEnd"/>
      <w:r w:rsidRPr="00853407">
        <w:rPr>
          <w:rFonts w:eastAsia="Calibri"/>
          <w:color w:val="222222"/>
          <w:shd w:val="clear" w:color="auto" w:fill="FFFFFF"/>
        </w:rPr>
        <w:t>, S., 2013. Born at the wrong time: selection bias in the NHL draft. </w:t>
      </w:r>
      <w:proofErr w:type="spellStart"/>
      <w:r w:rsidRPr="00853407">
        <w:rPr>
          <w:rFonts w:eastAsia="Calibri"/>
          <w:i/>
          <w:iCs/>
          <w:color w:val="222222"/>
          <w:shd w:val="clear" w:color="auto" w:fill="FFFFFF"/>
        </w:rPr>
        <w:t>PLoS</w:t>
      </w:r>
      <w:proofErr w:type="spellEnd"/>
      <w:r w:rsidRPr="00853407">
        <w:rPr>
          <w:rFonts w:eastAsia="Calibri"/>
          <w:i/>
          <w:iCs/>
          <w:color w:val="222222"/>
          <w:shd w:val="clear" w:color="auto" w:fill="FFFFFF"/>
        </w:rPr>
        <w:t xml:space="preserve"> One</w:t>
      </w:r>
      <w:r w:rsidRPr="00853407">
        <w:rPr>
          <w:rFonts w:eastAsia="Calibri"/>
          <w:color w:val="222222"/>
          <w:shd w:val="clear" w:color="auto" w:fill="FFFFFF"/>
        </w:rPr>
        <w:t>, </w:t>
      </w:r>
      <w:r w:rsidRPr="00853407">
        <w:rPr>
          <w:rFonts w:eastAsia="Calibri"/>
          <w:i/>
          <w:iCs/>
          <w:color w:val="222222"/>
          <w:shd w:val="clear" w:color="auto" w:fill="FFFFFF"/>
        </w:rPr>
        <w:t>8</w:t>
      </w:r>
      <w:r w:rsidRPr="00853407">
        <w:rPr>
          <w:rFonts w:eastAsia="Calibri"/>
          <w:color w:val="222222"/>
          <w:shd w:val="clear" w:color="auto" w:fill="FFFFFF"/>
        </w:rPr>
        <w:t xml:space="preserve">(2), </w:t>
      </w:r>
      <w:proofErr w:type="gramStart"/>
      <w:r w:rsidRPr="00853407">
        <w:rPr>
          <w:rFonts w:eastAsia="Calibri"/>
          <w:color w:val="222222"/>
          <w:shd w:val="clear" w:color="auto" w:fill="FFFFFF"/>
        </w:rPr>
        <w:t>p.e</w:t>
      </w:r>
      <w:proofErr w:type="gramEnd"/>
      <w:r w:rsidRPr="00853407">
        <w:rPr>
          <w:rFonts w:eastAsia="Calibri"/>
          <w:color w:val="222222"/>
          <w:shd w:val="clear" w:color="auto" w:fill="FFFFFF"/>
        </w:rPr>
        <w:t xml:space="preserve">57753. </w:t>
      </w:r>
    </w:p>
    <w:p w14:paraId="1E3461D6" w14:textId="3FCC5732" w:rsidR="001A2701" w:rsidRPr="00853407" w:rsidRDefault="001A2701" w:rsidP="001A2701">
      <w:pPr>
        <w:spacing w:after="160" w:line="259" w:lineRule="auto"/>
        <w:jc w:val="both"/>
        <w:rPr>
          <w:rFonts w:eastAsia="Calibri"/>
          <w:color w:val="222222"/>
          <w:shd w:val="clear" w:color="auto" w:fill="FFFFFF"/>
        </w:rPr>
      </w:pPr>
      <w:r w:rsidRPr="00853407">
        <w:rPr>
          <w:rFonts w:eastAsia="Calibri"/>
          <w:color w:val="222222"/>
          <w:shd w:val="clear" w:color="auto" w:fill="FFFFFF"/>
        </w:rPr>
        <w:t xml:space="preserve">Price, D. J. de </w:t>
      </w:r>
      <w:proofErr w:type="spellStart"/>
      <w:r w:rsidRPr="00853407">
        <w:rPr>
          <w:rFonts w:eastAsia="Calibri"/>
          <w:color w:val="222222"/>
          <w:shd w:val="clear" w:color="auto" w:fill="FFFFFF"/>
        </w:rPr>
        <w:t>Solla</w:t>
      </w:r>
      <w:proofErr w:type="spellEnd"/>
      <w:r w:rsidRPr="00853407">
        <w:rPr>
          <w:rFonts w:eastAsia="Calibri"/>
          <w:color w:val="222222"/>
          <w:shd w:val="clear" w:color="auto" w:fill="FFFFFF"/>
        </w:rPr>
        <w:t xml:space="preserve"> (1986). Little science, big science... and beyond. New York: Columbia University Press.</w:t>
      </w:r>
    </w:p>
    <w:p w14:paraId="11E5C3FA"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Dickens, W.T. and Flynn, J.R., 2001. Heritability estimates versus large environmental effects: the IQ paradox resolved. </w:t>
      </w:r>
      <w:r w:rsidRPr="00853407">
        <w:rPr>
          <w:rFonts w:eastAsia="Calibri"/>
          <w:i/>
          <w:iCs/>
          <w:color w:val="222222"/>
          <w:shd w:val="clear" w:color="auto" w:fill="FFFFFF"/>
        </w:rPr>
        <w:t>Psychological review</w:t>
      </w:r>
      <w:r w:rsidRPr="00853407">
        <w:rPr>
          <w:rFonts w:eastAsia="Calibri"/>
          <w:color w:val="222222"/>
          <w:shd w:val="clear" w:color="auto" w:fill="FFFFFF"/>
        </w:rPr>
        <w:t>, </w:t>
      </w:r>
      <w:r w:rsidRPr="00853407">
        <w:rPr>
          <w:rFonts w:eastAsia="Calibri"/>
          <w:i/>
          <w:iCs/>
          <w:color w:val="222222"/>
          <w:shd w:val="clear" w:color="auto" w:fill="FFFFFF"/>
        </w:rPr>
        <w:t>108</w:t>
      </w:r>
      <w:r w:rsidRPr="00853407">
        <w:rPr>
          <w:rFonts w:eastAsia="Calibri"/>
          <w:color w:val="222222"/>
          <w:shd w:val="clear" w:color="auto" w:fill="FFFFFF"/>
        </w:rPr>
        <w:t>(2), p.346.</w:t>
      </w:r>
    </w:p>
    <w:p w14:paraId="369C15AD"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Dreber</w:t>
      </w:r>
      <w:proofErr w:type="spellEnd"/>
      <w:r w:rsidRPr="00853407">
        <w:rPr>
          <w:rFonts w:eastAsia="Calibri"/>
          <w:color w:val="222222"/>
          <w:shd w:val="clear" w:color="auto" w:fill="FFFFFF"/>
        </w:rPr>
        <w:t xml:space="preserve">, A., </w:t>
      </w:r>
      <w:proofErr w:type="spellStart"/>
      <w:r w:rsidRPr="00853407">
        <w:rPr>
          <w:rFonts w:eastAsia="Calibri"/>
          <w:color w:val="222222"/>
          <w:shd w:val="clear" w:color="auto" w:fill="FFFFFF"/>
        </w:rPr>
        <w:t>Apicella</w:t>
      </w:r>
      <w:proofErr w:type="spellEnd"/>
      <w:r w:rsidRPr="00853407">
        <w:rPr>
          <w:rFonts w:eastAsia="Calibri"/>
          <w:color w:val="222222"/>
          <w:shd w:val="clear" w:color="auto" w:fill="FFFFFF"/>
        </w:rPr>
        <w:t xml:space="preserve">, C.L., Eisenberg, D.T., Garcia, J.R., </w:t>
      </w:r>
      <w:proofErr w:type="spellStart"/>
      <w:r w:rsidRPr="00853407">
        <w:rPr>
          <w:rFonts w:eastAsia="Calibri"/>
          <w:color w:val="222222"/>
          <w:shd w:val="clear" w:color="auto" w:fill="FFFFFF"/>
        </w:rPr>
        <w:t>Zamore</w:t>
      </w:r>
      <w:proofErr w:type="spellEnd"/>
      <w:r w:rsidRPr="00853407">
        <w:rPr>
          <w:rFonts w:eastAsia="Calibri"/>
          <w:color w:val="222222"/>
          <w:shd w:val="clear" w:color="auto" w:fill="FFFFFF"/>
        </w:rPr>
        <w:t>, R.S., Lum, J.K. and Campbell, B., 2009. The 7R polymorphism in the dopamine receptor D4 gene (DRD4) is associated with financial risk taking in men. </w:t>
      </w:r>
      <w:r w:rsidRPr="00853407">
        <w:rPr>
          <w:rFonts w:eastAsia="Calibri"/>
          <w:i/>
          <w:iCs/>
          <w:color w:val="222222"/>
          <w:shd w:val="clear" w:color="auto" w:fill="FFFFFF"/>
        </w:rPr>
        <w:t>Evolution and Human Behavior</w:t>
      </w:r>
      <w:r w:rsidRPr="00853407">
        <w:rPr>
          <w:rFonts w:eastAsia="Calibri"/>
          <w:color w:val="222222"/>
          <w:shd w:val="clear" w:color="auto" w:fill="FFFFFF"/>
        </w:rPr>
        <w:t>, </w:t>
      </w:r>
      <w:r w:rsidRPr="00853407">
        <w:rPr>
          <w:rFonts w:eastAsia="Calibri"/>
          <w:i/>
          <w:iCs/>
          <w:color w:val="222222"/>
          <w:shd w:val="clear" w:color="auto" w:fill="FFFFFF"/>
        </w:rPr>
        <w:t>30</w:t>
      </w:r>
      <w:r w:rsidRPr="00853407">
        <w:rPr>
          <w:rFonts w:eastAsia="Calibri"/>
          <w:color w:val="222222"/>
          <w:shd w:val="clear" w:color="auto" w:fill="FFFFFF"/>
        </w:rPr>
        <w:t>(2), pp.85-92.</w:t>
      </w:r>
    </w:p>
    <w:p w14:paraId="1CF86F1B"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Einav</w:t>
      </w:r>
      <w:proofErr w:type="spellEnd"/>
      <w:r w:rsidRPr="00853407">
        <w:rPr>
          <w:rFonts w:eastAsia="Calibri"/>
          <w:color w:val="222222"/>
          <w:shd w:val="clear" w:color="auto" w:fill="FFFFFF"/>
        </w:rPr>
        <w:t>, L. and Yariv, L., 2006. What's in a surname? The effects of surname initials on academic success. </w:t>
      </w:r>
      <w:r w:rsidRPr="00853407">
        <w:rPr>
          <w:rFonts w:eastAsia="Calibri"/>
          <w:i/>
          <w:iCs/>
          <w:color w:val="222222"/>
          <w:shd w:val="clear" w:color="auto" w:fill="FFFFFF"/>
        </w:rPr>
        <w:t>Journal of Economic Perspectives</w:t>
      </w:r>
      <w:r w:rsidRPr="00853407">
        <w:rPr>
          <w:rFonts w:eastAsia="Calibri"/>
          <w:color w:val="222222"/>
          <w:shd w:val="clear" w:color="auto" w:fill="FFFFFF"/>
        </w:rPr>
        <w:t>, </w:t>
      </w:r>
      <w:r w:rsidRPr="00853407">
        <w:rPr>
          <w:rFonts w:eastAsia="Calibri"/>
          <w:i/>
          <w:iCs/>
          <w:color w:val="222222"/>
          <w:shd w:val="clear" w:color="auto" w:fill="FFFFFF"/>
        </w:rPr>
        <w:t>20</w:t>
      </w:r>
      <w:r w:rsidRPr="00853407">
        <w:rPr>
          <w:rFonts w:eastAsia="Calibri"/>
          <w:color w:val="222222"/>
          <w:shd w:val="clear" w:color="auto" w:fill="FFFFFF"/>
        </w:rPr>
        <w:t>(1), pp.175-187.</w:t>
      </w:r>
    </w:p>
    <w:p w14:paraId="01CB2FCF"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 xml:space="preserve">Evans, D.S. and Leighton, L.S., 1989. Why do smaller firms pay </w:t>
      </w:r>
      <w:proofErr w:type="gramStart"/>
      <w:r w:rsidRPr="00853407">
        <w:rPr>
          <w:rFonts w:eastAsia="Calibri"/>
          <w:color w:val="222222"/>
          <w:shd w:val="clear" w:color="auto" w:fill="FFFFFF"/>
        </w:rPr>
        <w:t>less?.</w:t>
      </w:r>
      <w:proofErr w:type="gramEnd"/>
      <w:r w:rsidRPr="00853407">
        <w:rPr>
          <w:rFonts w:eastAsia="Calibri"/>
          <w:color w:val="222222"/>
          <w:shd w:val="clear" w:color="auto" w:fill="FFFFFF"/>
        </w:rPr>
        <w:t> </w:t>
      </w:r>
      <w:r w:rsidRPr="00853407">
        <w:rPr>
          <w:rFonts w:eastAsia="Calibri"/>
          <w:i/>
          <w:iCs/>
          <w:color w:val="222222"/>
          <w:shd w:val="clear" w:color="auto" w:fill="FFFFFF"/>
        </w:rPr>
        <w:t>Journal of Human Resources</w:t>
      </w:r>
      <w:r w:rsidRPr="00853407">
        <w:rPr>
          <w:rFonts w:eastAsia="Calibri"/>
          <w:color w:val="222222"/>
          <w:shd w:val="clear" w:color="auto" w:fill="FFFFFF"/>
        </w:rPr>
        <w:t>, pp.299-318.</w:t>
      </w:r>
    </w:p>
    <w:p w14:paraId="6AF5D93C"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Fowler, J.H., Baker, L.A. and Dawes, C.T., 2008. Genetic variation in political participation. </w:t>
      </w:r>
      <w:r w:rsidRPr="00853407">
        <w:rPr>
          <w:rFonts w:eastAsia="Calibri"/>
          <w:i/>
          <w:iCs/>
          <w:color w:val="222222"/>
          <w:shd w:val="clear" w:color="auto" w:fill="FFFFFF"/>
        </w:rPr>
        <w:t>American Political Science Review</w:t>
      </w:r>
      <w:r w:rsidRPr="00853407">
        <w:rPr>
          <w:rFonts w:eastAsia="Calibri"/>
          <w:color w:val="222222"/>
          <w:shd w:val="clear" w:color="auto" w:fill="FFFFFF"/>
        </w:rPr>
        <w:t>, </w:t>
      </w:r>
      <w:r w:rsidRPr="00853407">
        <w:rPr>
          <w:rFonts w:eastAsia="Calibri"/>
          <w:i/>
          <w:iCs/>
          <w:color w:val="222222"/>
          <w:shd w:val="clear" w:color="auto" w:fill="FFFFFF"/>
        </w:rPr>
        <w:t>102</w:t>
      </w:r>
      <w:r w:rsidRPr="00853407">
        <w:rPr>
          <w:rFonts w:eastAsia="Calibri"/>
          <w:color w:val="222222"/>
          <w:shd w:val="clear" w:color="auto" w:fill="FFFFFF"/>
        </w:rPr>
        <w:t>(2), pp.233-248.</w:t>
      </w:r>
    </w:p>
    <w:p w14:paraId="6975B59C" w14:textId="0C0BDCA6" w:rsidR="00E45681" w:rsidRPr="00853407" w:rsidRDefault="00E45681" w:rsidP="00E45681">
      <w:pPr>
        <w:spacing w:after="160" w:line="259" w:lineRule="auto"/>
        <w:jc w:val="both"/>
        <w:rPr>
          <w:rFonts w:eastAsia="Calibri"/>
          <w:color w:val="222222"/>
          <w:shd w:val="clear" w:color="auto" w:fill="FFFFFF"/>
        </w:rPr>
      </w:pPr>
      <w:r w:rsidRPr="00853407">
        <w:rPr>
          <w:rFonts w:eastAsia="Calibri"/>
          <w:bCs/>
          <w:color w:val="222222"/>
          <w:shd w:val="clear" w:color="auto" w:fill="FFFFFF"/>
        </w:rPr>
        <w:t>Fox, M. F. (1983). Publication productivity among scientists: A critical review. Social studies of science, 13(2), 285-305</w:t>
      </w:r>
    </w:p>
    <w:p w14:paraId="749BC61C"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lastRenderedPageBreak/>
        <w:t>Furman, J.L. and Stern, S., 2011. Climbing atop the shoulders of giants: The impact of institutions on cumulative research. </w:t>
      </w:r>
      <w:r w:rsidRPr="00853407">
        <w:rPr>
          <w:rFonts w:eastAsia="Calibri"/>
          <w:i/>
          <w:iCs/>
          <w:color w:val="222222"/>
          <w:shd w:val="clear" w:color="auto" w:fill="FFFFFF"/>
        </w:rPr>
        <w:t>American Economic Review</w:t>
      </w:r>
      <w:r w:rsidRPr="00853407">
        <w:rPr>
          <w:rFonts w:eastAsia="Calibri"/>
          <w:color w:val="222222"/>
          <w:shd w:val="clear" w:color="auto" w:fill="FFFFFF"/>
        </w:rPr>
        <w:t>, </w:t>
      </w:r>
      <w:r w:rsidRPr="00853407">
        <w:rPr>
          <w:rFonts w:eastAsia="Calibri"/>
          <w:i/>
          <w:iCs/>
          <w:color w:val="222222"/>
          <w:shd w:val="clear" w:color="auto" w:fill="FFFFFF"/>
        </w:rPr>
        <w:t>101</w:t>
      </w:r>
      <w:r w:rsidRPr="00853407">
        <w:rPr>
          <w:rFonts w:eastAsia="Calibri"/>
          <w:color w:val="222222"/>
          <w:shd w:val="clear" w:color="auto" w:fill="FFFFFF"/>
        </w:rPr>
        <w:t>(5), pp.1933-63.</w:t>
      </w:r>
    </w:p>
    <w:p w14:paraId="170C25EC"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Frank, R.H., 2016. </w:t>
      </w:r>
      <w:r w:rsidRPr="00853407">
        <w:rPr>
          <w:rFonts w:eastAsia="Calibri"/>
          <w:i/>
          <w:iCs/>
          <w:color w:val="222222"/>
          <w:shd w:val="clear" w:color="auto" w:fill="FFFFFF"/>
        </w:rPr>
        <w:t>Success and luck: Good fortune and the myth of meritocracy</w:t>
      </w:r>
      <w:r w:rsidRPr="00853407">
        <w:rPr>
          <w:rFonts w:eastAsia="Calibri"/>
          <w:color w:val="222222"/>
          <w:shd w:val="clear" w:color="auto" w:fill="FFFFFF"/>
        </w:rPr>
        <w:t>. Princeton University Press.</w:t>
      </w:r>
    </w:p>
    <w:p w14:paraId="48178B0D" w14:textId="77777777"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Freud, S., 1930. </w:t>
      </w:r>
      <w:r w:rsidRPr="00853407">
        <w:rPr>
          <w:rFonts w:eastAsia="Calibri"/>
          <w:i/>
          <w:iCs/>
          <w:color w:val="222222"/>
          <w:shd w:val="clear" w:color="auto" w:fill="FFFFFF"/>
        </w:rPr>
        <w:t>Civilization and its discontents</w:t>
      </w:r>
      <w:r w:rsidRPr="00853407">
        <w:rPr>
          <w:rFonts w:eastAsia="Calibri"/>
          <w:color w:val="222222"/>
          <w:shd w:val="clear" w:color="auto" w:fill="FFFFFF"/>
        </w:rPr>
        <w:t>. Broadview Press (reprinted 2015).</w:t>
      </w:r>
    </w:p>
    <w:p w14:paraId="724ED1FD" w14:textId="77A52C25" w:rsidR="00A02E51" w:rsidRDefault="00A02E51"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Gaston, J. 1978, The Reward System in British and American Science, New York, John Wiley.</w:t>
      </w:r>
    </w:p>
    <w:p w14:paraId="4A3E5407" w14:textId="6A3F6CC3" w:rsidR="00564E7A" w:rsidRPr="00853407" w:rsidRDefault="00B67F89" w:rsidP="00564E7A">
      <w:pPr>
        <w:spacing w:after="160" w:line="259" w:lineRule="auto"/>
        <w:jc w:val="both"/>
        <w:rPr>
          <w:rFonts w:eastAsia="Calibri"/>
          <w:color w:val="222222"/>
          <w:shd w:val="clear" w:color="auto" w:fill="FFFFFF"/>
        </w:rPr>
      </w:pPr>
      <w:r w:rsidRPr="00B67F89">
        <w:t xml:space="preserve">Gomez-Mejia, L. R, and </w:t>
      </w:r>
      <w:proofErr w:type="spellStart"/>
      <w:r w:rsidRPr="00B67F89">
        <w:t>Balkin</w:t>
      </w:r>
      <w:proofErr w:type="spellEnd"/>
      <w:r w:rsidRPr="00B67F89">
        <w:t>, D. B., 1992. Determinants of faculty pay: An agency theory perspective. The Academy of Management Journal, 35(5), pp 921-955.</w:t>
      </w:r>
      <w:r w:rsidR="00564E7A" w:rsidRPr="00853407">
        <w:rPr>
          <w:rFonts w:eastAsia="Calibri"/>
          <w:color w:val="222222"/>
          <w:shd w:val="clear" w:color="auto" w:fill="FFFFFF"/>
        </w:rPr>
        <w:t>Idson, T.L. and Feaster, D.J., 1990. A selectivity model of employer-size wage differentials. </w:t>
      </w:r>
      <w:r w:rsidR="00564E7A" w:rsidRPr="00853407">
        <w:rPr>
          <w:rFonts w:eastAsia="Calibri"/>
          <w:i/>
          <w:iCs/>
          <w:color w:val="222222"/>
          <w:shd w:val="clear" w:color="auto" w:fill="FFFFFF"/>
        </w:rPr>
        <w:t>Journal of Labor Economics</w:t>
      </w:r>
      <w:r w:rsidR="00564E7A" w:rsidRPr="00853407">
        <w:rPr>
          <w:rFonts w:eastAsia="Calibri"/>
          <w:color w:val="222222"/>
          <w:shd w:val="clear" w:color="auto" w:fill="FFFFFF"/>
        </w:rPr>
        <w:t>, </w:t>
      </w:r>
      <w:r w:rsidR="00564E7A" w:rsidRPr="00853407">
        <w:rPr>
          <w:rFonts w:eastAsia="Calibri"/>
          <w:i/>
          <w:iCs/>
          <w:color w:val="222222"/>
          <w:shd w:val="clear" w:color="auto" w:fill="FFFFFF"/>
        </w:rPr>
        <w:t>8</w:t>
      </w:r>
      <w:r w:rsidR="00564E7A" w:rsidRPr="00853407">
        <w:rPr>
          <w:rFonts w:eastAsia="Calibri"/>
          <w:color w:val="222222"/>
          <w:shd w:val="clear" w:color="auto" w:fill="FFFFFF"/>
        </w:rPr>
        <w:t>(1, Part 1), pp.99-122.</w:t>
      </w:r>
    </w:p>
    <w:p w14:paraId="2CDB4058" w14:textId="5D3D5FD1" w:rsidR="00A852F7" w:rsidRPr="00853407" w:rsidRDefault="00A852F7" w:rsidP="00564E7A">
      <w:pPr>
        <w:spacing w:after="160" w:line="259" w:lineRule="auto"/>
        <w:jc w:val="both"/>
        <w:rPr>
          <w:rFonts w:eastAsia="Calibri"/>
          <w:color w:val="222222"/>
          <w:shd w:val="clear" w:color="auto" w:fill="FFFFFF"/>
        </w:rPr>
      </w:pPr>
      <w:r w:rsidRPr="00853407">
        <w:rPr>
          <w:color w:val="222222"/>
          <w:shd w:val="clear" w:color="auto" w:fill="FFFFFF"/>
        </w:rPr>
        <w:t>Kaufman, R.L., 1996. Comparing effects in dichotomous logistic regression: A variety of standardized coefficients. </w:t>
      </w:r>
      <w:r w:rsidRPr="00853407">
        <w:rPr>
          <w:i/>
          <w:iCs/>
          <w:color w:val="222222"/>
          <w:shd w:val="clear" w:color="auto" w:fill="FFFFFF"/>
        </w:rPr>
        <w:t>Social Science Quarterly</w:t>
      </w:r>
      <w:r w:rsidRPr="00853407">
        <w:rPr>
          <w:color w:val="222222"/>
          <w:shd w:val="clear" w:color="auto" w:fill="FFFFFF"/>
        </w:rPr>
        <w:t>, pp.90-109.</w:t>
      </w:r>
    </w:p>
    <w:p w14:paraId="39C72DE9" w14:textId="2EE91A39" w:rsidR="00CC29FC" w:rsidRPr="00853407" w:rsidRDefault="00CC29FC" w:rsidP="00564E7A">
      <w:pPr>
        <w:spacing w:after="160" w:line="259" w:lineRule="auto"/>
        <w:jc w:val="both"/>
        <w:rPr>
          <w:rFonts w:eastAsia="Calibri"/>
          <w:color w:val="222222"/>
          <w:shd w:val="clear" w:color="auto" w:fill="FFFFFF"/>
        </w:rPr>
      </w:pPr>
      <w:r w:rsidRPr="00853407">
        <w:rPr>
          <w:color w:val="222222"/>
          <w:shd w:val="clear" w:color="auto" w:fill="FFFFFF"/>
        </w:rPr>
        <w:t>Kim, J.O. and Ferree Jr, G.D., 1981. Standardization in causal analysis. </w:t>
      </w:r>
      <w:r w:rsidRPr="00853407">
        <w:rPr>
          <w:i/>
          <w:iCs/>
          <w:color w:val="222222"/>
          <w:shd w:val="clear" w:color="auto" w:fill="FFFFFF"/>
        </w:rPr>
        <w:t>Sociological Methods &amp; Research</w:t>
      </w:r>
      <w:r w:rsidRPr="00853407">
        <w:rPr>
          <w:color w:val="222222"/>
          <w:shd w:val="clear" w:color="auto" w:fill="FFFFFF"/>
        </w:rPr>
        <w:t>, </w:t>
      </w:r>
      <w:r w:rsidRPr="00853407">
        <w:rPr>
          <w:i/>
          <w:iCs/>
          <w:color w:val="222222"/>
          <w:shd w:val="clear" w:color="auto" w:fill="FFFFFF"/>
        </w:rPr>
        <w:t>10</w:t>
      </w:r>
      <w:r w:rsidRPr="00853407">
        <w:rPr>
          <w:color w:val="222222"/>
          <w:shd w:val="clear" w:color="auto" w:fill="FFFFFF"/>
        </w:rPr>
        <w:t>(2), pp.187-210.</w:t>
      </w:r>
    </w:p>
    <w:p w14:paraId="2D0E405F" w14:textId="0A4E5CC1" w:rsidR="006958E8" w:rsidRPr="00853407" w:rsidRDefault="006958E8" w:rsidP="00564E7A">
      <w:pPr>
        <w:spacing w:after="160" w:line="259" w:lineRule="auto"/>
        <w:jc w:val="both"/>
        <w:rPr>
          <w:rFonts w:eastAsia="Calibri"/>
          <w:color w:val="222222"/>
          <w:shd w:val="clear" w:color="auto" w:fill="FFFFFF"/>
        </w:rPr>
      </w:pPr>
      <w:proofErr w:type="spellStart"/>
      <w:r w:rsidRPr="00853407">
        <w:rPr>
          <w:color w:val="222222"/>
          <w:shd w:val="clear" w:color="auto" w:fill="FFFFFF"/>
        </w:rPr>
        <w:t>Konings</w:t>
      </w:r>
      <w:proofErr w:type="spellEnd"/>
      <w:r w:rsidRPr="00853407">
        <w:rPr>
          <w:color w:val="222222"/>
          <w:shd w:val="clear" w:color="auto" w:fill="FFFFFF"/>
        </w:rPr>
        <w:t xml:space="preserve">, J. and </w:t>
      </w:r>
      <w:proofErr w:type="spellStart"/>
      <w:r w:rsidRPr="00853407">
        <w:rPr>
          <w:color w:val="222222"/>
          <w:shd w:val="clear" w:color="auto" w:fill="FFFFFF"/>
        </w:rPr>
        <w:t>Vanormelingen</w:t>
      </w:r>
      <w:proofErr w:type="spellEnd"/>
      <w:r w:rsidRPr="00853407">
        <w:rPr>
          <w:color w:val="222222"/>
          <w:shd w:val="clear" w:color="auto" w:fill="FFFFFF"/>
        </w:rPr>
        <w:t>, S., 2015. The impact of training on productivity and wages: firm-level evidence. </w:t>
      </w:r>
      <w:r w:rsidRPr="00853407">
        <w:rPr>
          <w:i/>
          <w:iCs/>
          <w:color w:val="222222"/>
          <w:shd w:val="clear" w:color="auto" w:fill="FFFFFF"/>
        </w:rPr>
        <w:t>Review of Economics and Statistics</w:t>
      </w:r>
      <w:r w:rsidRPr="00853407">
        <w:rPr>
          <w:color w:val="222222"/>
          <w:shd w:val="clear" w:color="auto" w:fill="FFFFFF"/>
        </w:rPr>
        <w:t>, </w:t>
      </w:r>
      <w:r w:rsidRPr="00853407">
        <w:rPr>
          <w:i/>
          <w:iCs/>
          <w:color w:val="222222"/>
          <w:shd w:val="clear" w:color="auto" w:fill="FFFFFF"/>
        </w:rPr>
        <w:t>97</w:t>
      </w:r>
      <w:r w:rsidRPr="00853407">
        <w:rPr>
          <w:color w:val="222222"/>
          <w:shd w:val="clear" w:color="auto" w:fill="FFFFFF"/>
        </w:rPr>
        <w:t>(2), pp.485-497.</w:t>
      </w:r>
    </w:p>
    <w:p w14:paraId="542A765F"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Kuhnen</w:t>
      </w:r>
      <w:proofErr w:type="spellEnd"/>
      <w:r w:rsidRPr="00853407">
        <w:rPr>
          <w:rFonts w:eastAsia="Calibri"/>
          <w:color w:val="222222"/>
          <w:shd w:val="clear" w:color="auto" w:fill="FFFFFF"/>
        </w:rPr>
        <w:t xml:space="preserve">, C.M. and </w:t>
      </w:r>
      <w:proofErr w:type="spellStart"/>
      <w:r w:rsidRPr="00853407">
        <w:rPr>
          <w:rFonts w:eastAsia="Calibri"/>
          <w:color w:val="222222"/>
          <w:shd w:val="clear" w:color="auto" w:fill="FFFFFF"/>
        </w:rPr>
        <w:t>Chiao</w:t>
      </w:r>
      <w:proofErr w:type="spellEnd"/>
      <w:r w:rsidRPr="00853407">
        <w:rPr>
          <w:rFonts w:eastAsia="Calibri"/>
          <w:color w:val="222222"/>
          <w:shd w:val="clear" w:color="auto" w:fill="FFFFFF"/>
        </w:rPr>
        <w:t>, J.Y., 2009. Genetic determinants of financial risk taking. </w:t>
      </w:r>
      <w:proofErr w:type="spellStart"/>
      <w:r w:rsidRPr="00853407">
        <w:rPr>
          <w:rFonts w:eastAsia="Calibri"/>
          <w:i/>
          <w:iCs/>
          <w:color w:val="222222"/>
          <w:shd w:val="clear" w:color="auto" w:fill="FFFFFF"/>
        </w:rPr>
        <w:t>PloS</w:t>
      </w:r>
      <w:proofErr w:type="spellEnd"/>
      <w:r w:rsidRPr="00853407">
        <w:rPr>
          <w:rFonts w:eastAsia="Calibri"/>
          <w:i/>
          <w:iCs/>
          <w:color w:val="222222"/>
          <w:shd w:val="clear" w:color="auto" w:fill="FFFFFF"/>
        </w:rPr>
        <w:t xml:space="preserve"> one</w:t>
      </w:r>
      <w:r w:rsidRPr="00853407">
        <w:rPr>
          <w:rFonts w:eastAsia="Calibri"/>
          <w:color w:val="222222"/>
          <w:shd w:val="clear" w:color="auto" w:fill="FFFFFF"/>
        </w:rPr>
        <w:t>, </w:t>
      </w:r>
      <w:r w:rsidRPr="00853407">
        <w:rPr>
          <w:rFonts w:eastAsia="Calibri"/>
          <w:i/>
          <w:iCs/>
          <w:color w:val="222222"/>
          <w:shd w:val="clear" w:color="auto" w:fill="FFFFFF"/>
        </w:rPr>
        <w:t>4</w:t>
      </w:r>
      <w:r w:rsidRPr="00853407">
        <w:rPr>
          <w:rFonts w:eastAsia="Calibri"/>
          <w:color w:val="222222"/>
          <w:shd w:val="clear" w:color="auto" w:fill="FFFFFF"/>
        </w:rPr>
        <w:t xml:space="preserve">(2), </w:t>
      </w:r>
      <w:proofErr w:type="gramStart"/>
      <w:r w:rsidRPr="00853407">
        <w:rPr>
          <w:rFonts w:eastAsia="Calibri"/>
          <w:color w:val="222222"/>
          <w:shd w:val="clear" w:color="auto" w:fill="FFFFFF"/>
        </w:rPr>
        <w:t>p.e</w:t>
      </w:r>
      <w:proofErr w:type="gramEnd"/>
      <w:r w:rsidRPr="00853407">
        <w:rPr>
          <w:rFonts w:eastAsia="Calibri"/>
          <w:color w:val="222222"/>
          <w:shd w:val="clear" w:color="auto" w:fill="FFFFFF"/>
        </w:rPr>
        <w:t>4362.</w:t>
      </w:r>
    </w:p>
    <w:p w14:paraId="7C0BEE94" w14:textId="771D49AC"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Laham</w:t>
      </w:r>
      <w:proofErr w:type="spellEnd"/>
      <w:r w:rsidRPr="00853407">
        <w:rPr>
          <w:rFonts w:eastAsia="Calibri"/>
          <w:color w:val="222222"/>
          <w:shd w:val="clear" w:color="auto" w:fill="FFFFFF"/>
        </w:rPr>
        <w:t xml:space="preserve">, S.M., </w:t>
      </w:r>
      <w:proofErr w:type="spellStart"/>
      <w:r w:rsidRPr="00853407">
        <w:rPr>
          <w:rFonts w:eastAsia="Calibri"/>
          <w:color w:val="222222"/>
          <w:shd w:val="clear" w:color="auto" w:fill="FFFFFF"/>
        </w:rPr>
        <w:t>Koval</w:t>
      </w:r>
      <w:proofErr w:type="spellEnd"/>
      <w:r w:rsidRPr="00853407">
        <w:rPr>
          <w:rFonts w:eastAsia="Calibri"/>
          <w:color w:val="222222"/>
          <w:shd w:val="clear" w:color="auto" w:fill="FFFFFF"/>
        </w:rPr>
        <w:t>, P. and Alter, A.L., 2012. The name-pronunciation effect: Why people like Mr. Smith more than Mr. Colquhoun. </w:t>
      </w:r>
      <w:r w:rsidRPr="00853407">
        <w:rPr>
          <w:rFonts w:eastAsia="Calibri"/>
          <w:i/>
          <w:iCs/>
          <w:color w:val="222222"/>
          <w:shd w:val="clear" w:color="auto" w:fill="FFFFFF"/>
        </w:rPr>
        <w:t>Journal of Experimental Social Psychology</w:t>
      </w:r>
      <w:r w:rsidRPr="00853407">
        <w:rPr>
          <w:rFonts w:eastAsia="Calibri"/>
          <w:color w:val="222222"/>
          <w:shd w:val="clear" w:color="auto" w:fill="FFFFFF"/>
        </w:rPr>
        <w:t>, </w:t>
      </w:r>
      <w:r w:rsidRPr="00853407">
        <w:rPr>
          <w:rFonts w:eastAsia="Calibri"/>
          <w:i/>
          <w:iCs/>
          <w:color w:val="222222"/>
          <w:shd w:val="clear" w:color="auto" w:fill="FFFFFF"/>
        </w:rPr>
        <w:t>48</w:t>
      </w:r>
      <w:r w:rsidRPr="00853407">
        <w:rPr>
          <w:rFonts w:eastAsia="Calibri"/>
          <w:color w:val="222222"/>
          <w:shd w:val="clear" w:color="auto" w:fill="FFFFFF"/>
        </w:rPr>
        <w:t>(3), pp.752-756.</w:t>
      </w:r>
    </w:p>
    <w:p w14:paraId="39A04B17" w14:textId="0C29AE1B" w:rsidR="006958E8" w:rsidRPr="00853407" w:rsidRDefault="006958E8" w:rsidP="00564E7A">
      <w:pPr>
        <w:spacing w:after="160" w:line="259" w:lineRule="auto"/>
        <w:jc w:val="both"/>
        <w:rPr>
          <w:rFonts w:eastAsia="Calibri"/>
          <w:color w:val="222222"/>
          <w:shd w:val="clear" w:color="auto" w:fill="FFFFFF"/>
        </w:rPr>
      </w:pPr>
      <w:r w:rsidRPr="00853407">
        <w:rPr>
          <w:color w:val="222222"/>
          <w:shd w:val="clear" w:color="auto" w:fill="FFFFFF"/>
        </w:rPr>
        <w:t>Lynch, L.M., 1991. The role of off-the-job vs. on-the-job training for the mobility of women workers. </w:t>
      </w:r>
      <w:r w:rsidRPr="00853407">
        <w:rPr>
          <w:i/>
          <w:iCs/>
          <w:color w:val="222222"/>
          <w:shd w:val="clear" w:color="auto" w:fill="FFFFFF"/>
        </w:rPr>
        <w:t>The American Economic Review</w:t>
      </w:r>
      <w:r w:rsidRPr="00853407">
        <w:rPr>
          <w:color w:val="222222"/>
          <w:shd w:val="clear" w:color="auto" w:fill="FFFFFF"/>
        </w:rPr>
        <w:t>, </w:t>
      </w:r>
      <w:r w:rsidRPr="00853407">
        <w:rPr>
          <w:i/>
          <w:iCs/>
          <w:color w:val="222222"/>
          <w:shd w:val="clear" w:color="auto" w:fill="FFFFFF"/>
        </w:rPr>
        <w:t>81</w:t>
      </w:r>
      <w:r w:rsidRPr="00853407">
        <w:rPr>
          <w:color w:val="222222"/>
          <w:shd w:val="clear" w:color="auto" w:fill="FFFFFF"/>
        </w:rPr>
        <w:t>(2), pp.151-156.</w:t>
      </w:r>
    </w:p>
    <w:p w14:paraId="70CC9C53"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Mauboussin</w:t>
      </w:r>
      <w:proofErr w:type="spellEnd"/>
      <w:r w:rsidRPr="00853407">
        <w:rPr>
          <w:rFonts w:eastAsia="Calibri"/>
          <w:color w:val="222222"/>
          <w:shd w:val="clear" w:color="auto" w:fill="FFFFFF"/>
        </w:rPr>
        <w:t>, M.J., 2012. </w:t>
      </w:r>
      <w:r w:rsidRPr="00853407">
        <w:rPr>
          <w:rFonts w:eastAsia="Calibri"/>
          <w:i/>
          <w:iCs/>
          <w:color w:val="222222"/>
          <w:shd w:val="clear" w:color="auto" w:fill="FFFFFF"/>
        </w:rPr>
        <w:t>The success equation: Untangling skill and luck in business, sports, and investing</w:t>
      </w:r>
      <w:r w:rsidRPr="00853407">
        <w:rPr>
          <w:rFonts w:eastAsia="Calibri"/>
          <w:color w:val="222222"/>
          <w:shd w:val="clear" w:color="auto" w:fill="FFFFFF"/>
        </w:rPr>
        <w:t>. Harvard Business Press.</w:t>
      </w:r>
    </w:p>
    <w:p w14:paraId="74960007"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Okbay</w:t>
      </w:r>
      <w:proofErr w:type="spellEnd"/>
      <w:r w:rsidRPr="00853407">
        <w:rPr>
          <w:rFonts w:eastAsia="Calibri"/>
          <w:color w:val="222222"/>
          <w:shd w:val="clear" w:color="auto" w:fill="FFFFFF"/>
        </w:rPr>
        <w:t xml:space="preserve">, A., Beauchamp, J.P., Fontana, M.A., Lee, J.J., Pers, T.H., Rietveld, C.A., Turley, P., Chen, G.B., </w:t>
      </w:r>
      <w:proofErr w:type="spellStart"/>
      <w:r w:rsidRPr="00853407">
        <w:rPr>
          <w:rFonts w:eastAsia="Calibri"/>
          <w:color w:val="222222"/>
          <w:shd w:val="clear" w:color="auto" w:fill="FFFFFF"/>
        </w:rPr>
        <w:t>Emilsson</w:t>
      </w:r>
      <w:proofErr w:type="spellEnd"/>
      <w:r w:rsidRPr="00853407">
        <w:rPr>
          <w:rFonts w:eastAsia="Calibri"/>
          <w:color w:val="222222"/>
          <w:shd w:val="clear" w:color="auto" w:fill="FFFFFF"/>
        </w:rPr>
        <w:t xml:space="preserve">, V., </w:t>
      </w:r>
      <w:proofErr w:type="spellStart"/>
      <w:r w:rsidRPr="00853407">
        <w:rPr>
          <w:rFonts w:eastAsia="Calibri"/>
          <w:color w:val="222222"/>
          <w:shd w:val="clear" w:color="auto" w:fill="FFFFFF"/>
        </w:rPr>
        <w:t>Meddens</w:t>
      </w:r>
      <w:proofErr w:type="spellEnd"/>
      <w:r w:rsidRPr="00853407">
        <w:rPr>
          <w:rFonts w:eastAsia="Calibri"/>
          <w:color w:val="222222"/>
          <w:shd w:val="clear" w:color="auto" w:fill="FFFFFF"/>
        </w:rPr>
        <w:t xml:space="preserve">, S.F.W. and </w:t>
      </w:r>
      <w:proofErr w:type="spellStart"/>
      <w:r w:rsidRPr="00853407">
        <w:rPr>
          <w:rFonts w:eastAsia="Calibri"/>
          <w:color w:val="222222"/>
          <w:shd w:val="clear" w:color="auto" w:fill="FFFFFF"/>
        </w:rPr>
        <w:t>Oskarsson</w:t>
      </w:r>
      <w:proofErr w:type="spellEnd"/>
      <w:r w:rsidRPr="00853407">
        <w:rPr>
          <w:rFonts w:eastAsia="Calibri"/>
          <w:color w:val="222222"/>
          <w:shd w:val="clear" w:color="auto" w:fill="FFFFFF"/>
        </w:rPr>
        <w:t>, S., 2016. Genome-wide association study identifies 74 loci associated with educational attainment. </w:t>
      </w:r>
      <w:r w:rsidRPr="00853407">
        <w:rPr>
          <w:rFonts w:eastAsia="Calibri"/>
          <w:i/>
          <w:iCs/>
          <w:color w:val="222222"/>
          <w:shd w:val="clear" w:color="auto" w:fill="FFFFFF"/>
        </w:rPr>
        <w:t>Nature</w:t>
      </w:r>
      <w:r w:rsidRPr="00853407">
        <w:rPr>
          <w:rFonts w:eastAsia="Calibri"/>
          <w:color w:val="222222"/>
          <w:shd w:val="clear" w:color="auto" w:fill="FFFFFF"/>
        </w:rPr>
        <w:t>, </w:t>
      </w:r>
      <w:r w:rsidRPr="00853407">
        <w:rPr>
          <w:rFonts w:eastAsia="Calibri"/>
          <w:i/>
          <w:iCs/>
          <w:color w:val="222222"/>
          <w:shd w:val="clear" w:color="auto" w:fill="FFFFFF"/>
        </w:rPr>
        <w:t>533</w:t>
      </w:r>
      <w:r w:rsidRPr="00853407">
        <w:rPr>
          <w:rFonts w:eastAsia="Calibri"/>
          <w:color w:val="222222"/>
          <w:shd w:val="clear" w:color="auto" w:fill="FFFFFF"/>
        </w:rPr>
        <w:t>(7604), p.539.</w:t>
      </w:r>
    </w:p>
    <w:p w14:paraId="398C11B1"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Pluchino</w:t>
      </w:r>
      <w:proofErr w:type="spellEnd"/>
      <w:r w:rsidRPr="00853407">
        <w:rPr>
          <w:rFonts w:eastAsia="Calibri"/>
          <w:color w:val="222222"/>
          <w:shd w:val="clear" w:color="auto" w:fill="FFFFFF"/>
        </w:rPr>
        <w:t xml:space="preserve">, A., Biondo, A.E. and </w:t>
      </w:r>
      <w:proofErr w:type="spellStart"/>
      <w:r w:rsidRPr="00853407">
        <w:rPr>
          <w:rFonts w:eastAsia="Calibri"/>
          <w:color w:val="222222"/>
          <w:shd w:val="clear" w:color="auto" w:fill="FFFFFF"/>
        </w:rPr>
        <w:t>Rapisarda</w:t>
      </w:r>
      <w:proofErr w:type="spellEnd"/>
      <w:r w:rsidRPr="00853407">
        <w:rPr>
          <w:rFonts w:eastAsia="Calibri"/>
          <w:color w:val="222222"/>
          <w:shd w:val="clear" w:color="auto" w:fill="FFFFFF"/>
        </w:rPr>
        <w:t xml:space="preserve">, A., 2018. Talent Versus Luck: The Role </w:t>
      </w:r>
      <w:proofErr w:type="gramStart"/>
      <w:r w:rsidRPr="00853407">
        <w:rPr>
          <w:rFonts w:eastAsia="Calibri"/>
          <w:color w:val="222222"/>
          <w:shd w:val="clear" w:color="auto" w:fill="FFFFFF"/>
        </w:rPr>
        <w:t>Of</w:t>
      </w:r>
      <w:proofErr w:type="gramEnd"/>
      <w:r w:rsidRPr="00853407">
        <w:rPr>
          <w:rFonts w:eastAsia="Calibri"/>
          <w:color w:val="222222"/>
          <w:shd w:val="clear" w:color="auto" w:fill="FFFFFF"/>
        </w:rPr>
        <w:t xml:space="preserve"> Randomness In Success And Failure. </w:t>
      </w:r>
      <w:r w:rsidRPr="00853407">
        <w:rPr>
          <w:rFonts w:eastAsia="Calibri"/>
          <w:i/>
          <w:iCs/>
          <w:color w:val="222222"/>
          <w:shd w:val="clear" w:color="auto" w:fill="FFFFFF"/>
        </w:rPr>
        <w:t>Advances in Complex Systems</w:t>
      </w:r>
      <w:r w:rsidRPr="00853407">
        <w:rPr>
          <w:rFonts w:eastAsia="Calibri"/>
          <w:color w:val="222222"/>
          <w:shd w:val="clear" w:color="auto" w:fill="FFFFFF"/>
        </w:rPr>
        <w:t>, </w:t>
      </w:r>
      <w:r w:rsidRPr="00853407">
        <w:rPr>
          <w:rFonts w:eastAsia="Calibri"/>
          <w:i/>
          <w:iCs/>
          <w:color w:val="222222"/>
          <w:shd w:val="clear" w:color="auto" w:fill="FFFFFF"/>
        </w:rPr>
        <w:t>21</w:t>
      </w:r>
      <w:r w:rsidRPr="00853407">
        <w:rPr>
          <w:rFonts w:eastAsia="Calibri"/>
          <w:color w:val="222222"/>
          <w:shd w:val="clear" w:color="auto" w:fill="FFFFFF"/>
        </w:rPr>
        <w:t>(03n04), p.1850014.</w:t>
      </w:r>
    </w:p>
    <w:p w14:paraId="4D8F8499" w14:textId="013D1CE8" w:rsidR="00564E7A" w:rsidRPr="00853407" w:rsidRDefault="00564E7A" w:rsidP="00564E7A">
      <w:pPr>
        <w:spacing w:after="160" w:line="259" w:lineRule="auto"/>
        <w:jc w:val="both"/>
        <w:rPr>
          <w:rFonts w:eastAsia="Calibri"/>
          <w:color w:val="222222"/>
          <w:shd w:val="clear" w:color="auto" w:fill="FFFFFF"/>
        </w:rPr>
      </w:pPr>
      <w:r w:rsidRPr="00853407">
        <w:rPr>
          <w:rFonts w:eastAsia="Calibri"/>
          <w:color w:val="222222"/>
          <w:shd w:val="clear" w:color="auto" w:fill="FFFFFF"/>
        </w:rPr>
        <w:t xml:space="preserve">Rietveld, C.A., </w:t>
      </w:r>
      <w:proofErr w:type="spellStart"/>
      <w:r w:rsidRPr="00853407">
        <w:rPr>
          <w:rFonts w:eastAsia="Calibri"/>
          <w:color w:val="222222"/>
          <w:shd w:val="clear" w:color="auto" w:fill="FFFFFF"/>
        </w:rPr>
        <w:t>Medland</w:t>
      </w:r>
      <w:proofErr w:type="spellEnd"/>
      <w:r w:rsidRPr="00853407">
        <w:rPr>
          <w:rFonts w:eastAsia="Calibri"/>
          <w:color w:val="222222"/>
          <w:shd w:val="clear" w:color="auto" w:fill="FFFFFF"/>
        </w:rPr>
        <w:t xml:space="preserve">, S.E., Derringer, J., Yang, J., Esko, T., Martin, N.W., </w:t>
      </w:r>
      <w:proofErr w:type="spellStart"/>
      <w:r w:rsidRPr="00853407">
        <w:rPr>
          <w:rFonts w:eastAsia="Calibri"/>
          <w:color w:val="222222"/>
          <w:shd w:val="clear" w:color="auto" w:fill="FFFFFF"/>
        </w:rPr>
        <w:t>Westra</w:t>
      </w:r>
      <w:proofErr w:type="spellEnd"/>
      <w:r w:rsidRPr="00853407">
        <w:rPr>
          <w:rFonts w:eastAsia="Calibri"/>
          <w:color w:val="222222"/>
          <w:shd w:val="clear" w:color="auto" w:fill="FFFFFF"/>
        </w:rPr>
        <w:t xml:space="preserve">, H.J., </w:t>
      </w:r>
      <w:proofErr w:type="spellStart"/>
      <w:r w:rsidRPr="00853407">
        <w:rPr>
          <w:rFonts w:eastAsia="Calibri"/>
          <w:color w:val="222222"/>
          <w:shd w:val="clear" w:color="auto" w:fill="FFFFFF"/>
        </w:rPr>
        <w:t>Shakhbazov</w:t>
      </w:r>
      <w:proofErr w:type="spellEnd"/>
      <w:r w:rsidRPr="00853407">
        <w:rPr>
          <w:rFonts w:eastAsia="Calibri"/>
          <w:color w:val="222222"/>
          <w:shd w:val="clear" w:color="auto" w:fill="FFFFFF"/>
        </w:rPr>
        <w:t xml:space="preserve">, K., </w:t>
      </w:r>
      <w:proofErr w:type="spellStart"/>
      <w:r w:rsidRPr="00853407">
        <w:rPr>
          <w:rFonts w:eastAsia="Calibri"/>
          <w:color w:val="222222"/>
          <w:shd w:val="clear" w:color="auto" w:fill="FFFFFF"/>
        </w:rPr>
        <w:t>Abdellaoui</w:t>
      </w:r>
      <w:proofErr w:type="spellEnd"/>
      <w:r w:rsidRPr="00853407">
        <w:rPr>
          <w:rFonts w:eastAsia="Calibri"/>
          <w:color w:val="222222"/>
          <w:shd w:val="clear" w:color="auto" w:fill="FFFFFF"/>
        </w:rPr>
        <w:t>, A., Agrawal, A. and Albrecht, E., 2013. GWAS of 126,559 individuals identifies genetic variants associated with educational attainment. </w:t>
      </w:r>
      <w:r w:rsidRPr="00853407">
        <w:rPr>
          <w:rFonts w:eastAsia="Calibri"/>
          <w:i/>
          <w:iCs/>
          <w:color w:val="222222"/>
          <w:shd w:val="clear" w:color="auto" w:fill="FFFFFF"/>
        </w:rPr>
        <w:t>science</w:t>
      </w:r>
      <w:r w:rsidRPr="00853407">
        <w:rPr>
          <w:rFonts w:eastAsia="Calibri"/>
          <w:color w:val="222222"/>
          <w:shd w:val="clear" w:color="auto" w:fill="FFFFFF"/>
        </w:rPr>
        <w:t>, </w:t>
      </w:r>
      <w:r w:rsidRPr="00853407">
        <w:rPr>
          <w:rFonts w:eastAsia="Calibri"/>
          <w:i/>
          <w:iCs/>
          <w:color w:val="222222"/>
          <w:shd w:val="clear" w:color="auto" w:fill="FFFFFF"/>
        </w:rPr>
        <w:t>340</w:t>
      </w:r>
      <w:r w:rsidRPr="00853407">
        <w:rPr>
          <w:rFonts w:eastAsia="Calibri"/>
          <w:color w:val="222222"/>
          <w:shd w:val="clear" w:color="auto" w:fill="FFFFFF"/>
        </w:rPr>
        <w:t>(6139), pp.1467-1471.</w:t>
      </w:r>
    </w:p>
    <w:p w14:paraId="208A8FAE" w14:textId="0EDF183F" w:rsidR="00CC29FC" w:rsidRPr="00853407" w:rsidRDefault="00CC29FC" w:rsidP="00564E7A">
      <w:pPr>
        <w:spacing w:after="160" w:line="259" w:lineRule="auto"/>
        <w:jc w:val="both"/>
        <w:rPr>
          <w:rFonts w:eastAsia="Calibri"/>
          <w:color w:val="222222"/>
          <w:shd w:val="clear" w:color="auto" w:fill="FFFFFF"/>
        </w:rPr>
      </w:pPr>
      <w:r w:rsidRPr="00853407">
        <w:rPr>
          <w:color w:val="222222"/>
          <w:shd w:val="clear" w:color="auto" w:fill="FFFFFF"/>
        </w:rPr>
        <w:t>Rubin, A. and Smith, D.R., 2011. Comparing different explanations of the volatility trend. </w:t>
      </w:r>
      <w:r w:rsidRPr="00853407">
        <w:rPr>
          <w:i/>
          <w:iCs/>
          <w:color w:val="222222"/>
          <w:shd w:val="clear" w:color="auto" w:fill="FFFFFF"/>
        </w:rPr>
        <w:t>Journal of Banking &amp; Finance</w:t>
      </w:r>
      <w:r w:rsidRPr="00853407">
        <w:rPr>
          <w:color w:val="222222"/>
          <w:shd w:val="clear" w:color="auto" w:fill="FFFFFF"/>
        </w:rPr>
        <w:t>, </w:t>
      </w:r>
      <w:r w:rsidRPr="00853407">
        <w:rPr>
          <w:i/>
          <w:iCs/>
          <w:color w:val="222222"/>
          <w:shd w:val="clear" w:color="auto" w:fill="FFFFFF"/>
        </w:rPr>
        <w:t>35</w:t>
      </w:r>
      <w:r w:rsidRPr="00853407">
        <w:rPr>
          <w:color w:val="222222"/>
          <w:shd w:val="clear" w:color="auto" w:fill="FFFFFF"/>
        </w:rPr>
        <w:t>(6), pp.1581-1597.</w:t>
      </w:r>
    </w:p>
    <w:p w14:paraId="15DEBE7F" w14:textId="77777777" w:rsidR="00564E7A" w:rsidRPr="00853407"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lastRenderedPageBreak/>
        <w:t>Sacerdote</w:t>
      </w:r>
      <w:proofErr w:type="spellEnd"/>
      <w:r w:rsidRPr="00853407">
        <w:rPr>
          <w:rFonts w:eastAsia="Calibri"/>
          <w:color w:val="222222"/>
          <w:shd w:val="clear" w:color="auto" w:fill="FFFFFF"/>
        </w:rPr>
        <w:t>, B., 2002. The nature and nurture of economic outcomes. </w:t>
      </w:r>
      <w:r w:rsidRPr="00853407">
        <w:rPr>
          <w:rFonts w:eastAsia="Calibri"/>
          <w:i/>
          <w:iCs/>
          <w:color w:val="222222"/>
          <w:shd w:val="clear" w:color="auto" w:fill="FFFFFF"/>
        </w:rPr>
        <w:t>American Economic Review</w:t>
      </w:r>
      <w:r w:rsidRPr="00853407">
        <w:rPr>
          <w:rFonts w:eastAsia="Calibri"/>
          <w:color w:val="222222"/>
          <w:shd w:val="clear" w:color="auto" w:fill="FFFFFF"/>
        </w:rPr>
        <w:t>, </w:t>
      </w:r>
      <w:r w:rsidRPr="00853407">
        <w:rPr>
          <w:rFonts w:eastAsia="Calibri"/>
          <w:i/>
          <w:iCs/>
          <w:color w:val="222222"/>
          <w:shd w:val="clear" w:color="auto" w:fill="FFFFFF"/>
        </w:rPr>
        <w:t>92</w:t>
      </w:r>
      <w:r w:rsidRPr="00853407">
        <w:rPr>
          <w:rFonts w:eastAsia="Calibri"/>
          <w:color w:val="222222"/>
          <w:shd w:val="clear" w:color="auto" w:fill="FFFFFF"/>
        </w:rPr>
        <w:t>(2), pp.344-348.</w:t>
      </w:r>
    </w:p>
    <w:p w14:paraId="1D3ECA9B" w14:textId="77777777" w:rsidR="00564E7A" w:rsidRPr="00853407" w:rsidRDefault="00564E7A" w:rsidP="00564E7A">
      <w:pPr>
        <w:spacing w:after="160" w:line="259" w:lineRule="auto"/>
        <w:jc w:val="both"/>
        <w:rPr>
          <w:rFonts w:eastAsia="Calibri"/>
          <w:lang w:bidi="he-IL"/>
        </w:rPr>
      </w:pPr>
      <w:proofErr w:type="spellStart"/>
      <w:r w:rsidRPr="00853407">
        <w:rPr>
          <w:rFonts w:eastAsia="Calibri"/>
          <w:color w:val="222222"/>
          <w:shd w:val="clear" w:color="auto" w:fill="FFFFFF"/>
        </w:rPr>
        <w:t>Silberzahn</w:t>
      </w:r>
      <w:proofErr w:type="spellEnd"/>
      <w:r w:rsidRPr="00853407">
        <w:rPr>
          <w:rFonts w:eastAsia="Calibri"/>
          <w:color w:val="222222"/>
          <w:shd w:val="clear" w:color="auto" w:fill="FFFFFF"/>
        </w:rPr>
        <w:t>, R. and Uhlmann, E.L., 2013. It Pays to be Herr Kaiser: Germans with Noble-Sounding Last Names More Often Work as Managers. In </w:t>
      </w:r>
      <w:r w:rsidRPr="00853407">
        <w:rPr>
          <w:rFonts w:eastAsia="Calibri"/>
          <w:i/>
          <w:iCs/>
          <w:color w:val="222222"/>
          <w:shd w:val="clear" w:color="auto" w:fill="FFFFFF"/>
        </w:rPr>
        <w:t>Academy of Management Proceedings</w:t>
      </w:r>
      <w:r w:rsidRPr="00853407">
        <w:rPr>
          <w:rFonts w:eastAsia="Calibri"/>
          <w:color w:val="222222"/>
          <w:shd w:val="clear" w:color="auto" w:fill="FFFFFF"/>
        </w:rPr>
        <w:t> (Vol. 2013, No. 1, p. 16537). Briarcliff Manor, NY 10510: Academy of Management.</w:t>
      </w:r>
    </w:p>
    <w:p w14:paraId="0CEF6631" w14:textId="77777777" w:rsidR="00564E7A" w:rsidRPr="00564E7A" w:rsidRDefault="00564E7A" w:rsidP="00564E7A">
      <w:pPr>
        <w:spacing w:after="160" w:line="259" w:lineRule="auto"/>
        <w:jc w:val="both"/>
        <w:rPr>
          <w:rFonts w:eastAsia="Calibri"/>
          <w:color w:val="222222"/>
          <w:shd w:val="clear" w:color="auto" w:fill="FFFFFF"/>
        </w:rPr>
      </w:pPr>
      <w:proofErr w:type="spellStart"/>
      <w:r w:rsidRPr="00853407">
        <w:rPr>
          <w:rFonts w:eastAsia="Calibri"/>
          <w:color w:val="222222"/>
          <w:shd w:val="clear" w:color="auto" w:fill="FFFFFF"/>
        </w:rPr>
        <w:t>Taleb</w:t>
      </w:r>
      <w:proofErr w:type="spellEnd"/>
      <w:r w:rsidRPr="00853407">
        <w:rPr>
          <w:rFonts w:eastAsia="Calibri"/>
          <w:color w:val="222222"/>
          <w:shd w:val="clear" w:color="auto" w:fill="FFFFFF"/>
        </w:rPr>
        <w:t>, N., 2005. </w:t>
      </w:r>
      <w:r w:rsidRPr="00853407">
        <w:rPr>
          <w:rFonts w:eastAsia="Calibri"/>
          <w:i/>
          <w:iCs/>
          <w:color w:val="222222"/>
          <w:shd w:val="clear" w:color="auto" w:fill="FFFFFF"/>
        </w:rPr>
        <w:t>Fooled by randomness: The hidden role of chance in life and in the markets</w:t>
      </w:r>
      <w:r w:rsidRPr="00853407">
        <w:rPr>
          <w:rFonts w:eastAsia="Calibri"/>
          <w:color w:val="222222"/>
          <w:shd w:val="clear" w:color="auto" w:fill="FFFFFF"/>
        </w:rPr>
        <w:t> (Vol. 1). Random House Incorporated.</w:t>
      </w:r>
    </w:p>
    <w:p w14:paraId="2A6AE8E7" w14:textId="77777777" w:rsidR="001611D7" w:rsidRPr="00564E7A" w:rsidRDefault="001611D7" w:rsidP="00564E7A">
      <w:pPr>
        <w:spacing w:after="200" w:line="276" w:lineRule="auto"/>
        <w:jc w:val="both"/>
        <w:rPr>
          <w:bCs/>
        </w:rPr>
      </w:pPr>
    </w:p>
    <w:p w14:paraId="4525A985" w14:textId="23BEFC1A" w:rsidR="007E184D" w:rsidRDefault="007E184D">
      <w:pPr>
        <w:spacing w:after="200" w:line="276" w:lineRule="auto"/>
        <w:rPr>
          <w:bCs/>
        </w:rPr>
      </w:pPr>
      <w:r>
        <w:rPr>
          <w:bCs/>
        </w:rPr>
        <w:br w:type="page"/>
      </w:r>
    </w:p>
    <w:p w14:paraId="200CDE16" w14:textId="73211670" w:rsidR="0015505B" w:rsidRDefault="00E10866" w:rsidP="00276F12">
      <w:pPr>
        <w:spacing w:line="408" w:lineRule="auto"/>
        <w:ind w:firstLine="720"/>
        <w:jc w:val="both"/>
        <w:rPr>
          <w:bCs/>
        </w:rPr>
      </w:pPr>
      <w:r>
        <w:rPr>
          <w:noProof/>
          <w:lang w:bidi="he-IL"/>
        </w:rPr>
        <w:lastRenderedPageBreak/>
        <w:drawing>
          <wp:inline distT="0" distB="0" distL="0" distR="0" wp14:anchorId="00A8A682" wp14:editId="36DD68F2">
            <wp:extent cx="5940000" cy="3600000"/>
            <wp:effectExtent l="0" t="0" r="3810" b="635"/>
            <wp:docPr id="1" name="Chart 1">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007536" w14:textId="77777777" w:rsidR="0032566C" w:rsidRDefault="00E10866" w:rsidP="0032566C">
      <w:pPr>
        <w:keepNext/>
        <w:spacing w:line="408" w:lineRule="auto"/>
        <w:ind w:firstLine="720"/>
        <w:jc w:val="both"/>
      </w:pPr>
      <w:r>
        <w:rPr>
          <w:noProof/>
          <w:lang w:bidi="he-IL"/>
        </w:rPr>
        <w:drawing>
          <wp:inline distT="0" distB="0" distL="0" distR="0" wp14:anchorId="7158AB37" wp14:editId="755DA259">
            <wp:extent cx="5929313" cy="3600000"/>
            <wp:effectExtent l="0" t="0" r="14605" b="635"/>
            <wp:docPr id="2" name="Chart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4B446B" w14:textId="5DA4514D" w:rsidR="00B60657" w:rsidRDefault="0032566C" w:rsidP="00B60657">
      <w:pPr>
        <w:pStyle w:val="Caption"/>
        <w:spacing w:after="0"/>
        <w:ind w:left="709"/>
        <w:jc w:val="both"/>
        <w:rPr>
          <w:rFonts w:asciiTheme="majorBidi" w:hAnsiTheme="majorBidi" w:cstheme="majorBidi"/>
          <w:b w:val="0"/>
          <w:bCs w:val="0"/>
          <w:color w:val="000000" w:themeColor="text1"/>
          <w:sz w:val="20"/>
          <w:szCs w:val="20"/>
        </w:rPr>
      </w:pPr>
      <w:r w:rsidRPr="00B87565">
        <w:rPr>
          <w:rFonts w:asciiTheme="majorBidi" w:hAnsiTheme="majorBidi" w:cstheme="majorBidi"/>
          <w:color w:val="000000" w:themeColor="text1"/>
          <w:sz w:val="20"/>
          <w:szCs w:val="20"/>
        </w:rPr>
        <w:t xml:space="preserve">Figure </w:t>
      </w:r>
      <w:r w:rsidRPr="00B87565">
        <w:rPr>
          <w:rFonts w:asciiTheme="majorBidi" w:hAnsiTheme="majorBidi" w:cstheme="majorBidi"/>
          <w:color w:val="000000" w:themeColor="text1"/>
          <w:sz w:val="20"/>
          <w:szCs w:val="20"/>
        </w:rPr>
        <w:fldChar w:fldCharType="begin"/>
      </w:r>
      <w:r w:rsidRPr="00B87565">
        <w:rPr>
          <w:rFonts w:asciiTheme="majorBidi" w:hAnsiTheme="majorBidi" w:cstheme="majorBidi"/>
          <w:color w:val="000000" w:themeColor="text1"/>
          <w:sz w:val="20"/>
          <w:szCs w:val="20"/>
        </w:rPr>
        <w:instrText xml:space="preserve"> SEQ Figure \* ARABIC </w:instrText>
      </w:r>
      <w:r w:rsidRPr="00B87565">
        <w:rPr>
          <w:rFonts w:asciiTheme="majorBidi" w:hAnsiTheme="majorBidi" w:cstheme="majorBidi"/>
          <w:color w:val="000000" w:themeColor="text1"/>
          <w:sz w:val="20"/>
          <w:szCs w:val="20"/>
        </w:rPr>
        <w:fldChar w:fldCharType="separate"/>
      </w:r>
      <w:r w:rsidR="005C748A">
        <w:rPr>
          <w:rFonts w:asciiTheme="majorBidi" w:hAnsiTheme="majorBidi" w:cstheme="majorBidi"/>
          <w:noProof/>
          <w:color w:val="000000" w:themeColor="text1"/>
          <w:sz w:val="20"/>
          <w:szCs w:val="20"/>
        </w:rPr>
        <w:t>1</w:t>
      </w:r>
      <w:r w:rsidRPr="00B87565">
        <w:rPr>
          <w:rFonts w:asciiTheme="majorBidi" w:hAnsiTheme="majorBidi" w:cstheme="majorBidi"/>
          <w:color w:val="000000" w:themeColor="text1"/>
          <w:sz w:val="20"/>
          <w:szCs w:val="20"/>
        </w:rPr>
        <w:fldChar w:fldCharType="end"/>
      </w:r>
      <w:r w:rsidRPr="00B87565">
        <w:rPr>
          <w:rFonts w:asciiTheme="majorBidi" w:hAnsiTheme="majorBidi" w:cstheme="majorBidi"/>
          <w:color w:val="000000" w:themeColor="text1"/>
          <w:sz w:val="20"/>
          <w:szCs w:val="20"/>
        </w:rPr>
        <w:t xml:space="preserve">:  </w:t>
      </w:r>
      <w:r w:rsidR="00CE09B4" w:rsidRPr="00B87565">
        <w:rPr>
          <w:rFonts w:asciiTheme="majorBidi" w:hAnsiTheme="majorBidi" w:cstheme="majorBidi"/>
          <w:color w:val="000000" w:themeColor="text1"/>
          <w:sz w:val="20"/>
          <w:szCs w:val="20"/>
        </w:rPr>
        <w:t xml:space="preserve">Number of </w:t>
      </w:r>
      <w:r w:rsidR="00827E18">
        <w:rPr>
          <w:rFonts w:asciiTheme="majorBidi" w:hAnsiTheme="majorBidi" w:cstheme="majorBidi"/>
          <w:color w:val="000000" w:themeColor="text1"/>
          <w:sz w:val="20"/>
          <w:szCs w:val="20"/>
        </w:rPr>
        <w:t>articles</w:t>
      </w:r>
      <w:r w:rsidR="00827E18" w:rsidRPr="00B87565">
        <w:rPr>
          <w:rFonts w:asciiTheme="majorBidi" w:hAnsiTheme="majorBidi" w:cstheme="majorBidi"/>
          <w:color w:val="000000" w:themeColor="text1"/>
          <w:sz w:val="20"/>
          <w:szCs w:val="20"/>
        </w:rPr>
        <w:t xml:space="preserve"> </w:t>
      </w:r>
      <w:r w:rsidR="00CE09B4" w:rsidRPr="00B87565">
        <w:rPr>
          <w:rFonts w:asciiTheme="majorBidi" w:hAnsiTheme="majorBidi" w:cstheme="majorBidi"/>
          <w:color w:val="000000" w:themeColor="text1"/>
          <w:sz w:val="20"/>
          <w:szCs w:val="20"/>
        </w:rPr>
        <w:t>based on first placement:</w:t>
      </w:r>
      <w:r w:rsidR="00CE09B4" w:rsidRPr="00B87565">
        <w:rPr>
          <w:rFonts w:asciiTheme="majorBidi" w:hAnsiTheme="majorBidi" w:cstheme="majorBidi"/>
          <w:b w:val="0"/>
          <w:bCs w:val="0"/>
          <w:color w:val="000000" w:themeColor="text1"/>
          <w:sz w:val="20"/>
          <w:szCs w:val="20"/>
        </w:rPr>
        <w:t xml:space="preserve"> </w:t>
      </w:r>
    </w:p>
    <w:p w14:paraId="7E9CAA89" w14:textId="603EAA99" w:rsidR="00175871" w:rsidRDefault="008F018C" w:rsidP="00853407">
      <w:pPr>
        <w:pStyle w:val="Caption"/>
        <w:spacing w:after="0"/>
        <w:ind w:left="709"/>
        <w:jc w:val="both"/>
        <w:rPr>
          <w:rFonts w:asciiTheme="majorBidi" w:hAnsiTheme="majorBidi" w:cstheme="majorBidi"/>
          <w:color w:val="000000" w:themeColor="text1"/>
        </w:rPr>
      </w:pPr>
      <w:r w:rsidRPr="00B87565">
        <w:rPr>
          <w:rFonts w:asciiTheme="majorBidi" w:hAnsiTheme="majorBidi" w:cstheme="majorBidi"/>
          <w:b w:val="0"/>
          <w:bCs w:val="0"/>
          <w:color w:val="000000" w:themeColor="text1"/>
          <w:sz w:val="20"/>
          <w:szCs w:val="20"/>
        </w:rPr>
        <w:t>Authors are partitioned</w:t>
      </w:r>
      <w:r w:rsidR="00CE09B4" w:rsidRPr="00B87565">
        <w:rPr>
          <w:rFonts w:asciiTheme="majorBidi" w:hAnsiTheme="majorBidi" w:cstheme="majorBidi"/>
          <w:b w:val="0"/>
          <w:bCs w:val="0"/>
          <w:color w:val="000000" w:themeColor="text1"/>
          <w:sz w:val="20"/>
          <w:szCs w:val="20"/>
        </w:rPr>
        <w:t xml:space="preserve"> </w:t>
      </w:r>
      <w:r w:rsidR="00BA35B6">
        <w:rPr>
          <w:rFonts w:asciiTheme="majorBidi" w:hAnsiTheme="majorBidi" w:cstheme="majorBidi"/>
          <w:b w:val="0"/>
          <w:bCs w:val="0"/>
          <w:color w:val="000000" w:themeColor="text1"/>
          <w:sz w:val="20"/>
          <w:szCs w:val="20"/>
        </w:rPr>
        <w:t>in</w:t>
      </w:r>
      <w:r w:rsidR="00CE09B4" w:rsidRPr="00B87565">
        <w:rPr>
          <w:rFonts w:asciiTheme="majorBidi" w:hAnsiTheme="majorBidi" w:cstheme="majorBidi"/>
          <w:b w:val="0"/>
          <w:bCs w:val="0"/>
          <w:color w:val="000000" w:themeColor="text1"/>
          <w:sz w:val="20"/>
          <w:szCs w:val="20"/>
        </w:rPr>
        <w:t xml:space="preserve">to two tier groups based on </w:t>
      </w:r>
      <w:r w:rsidR="00BA35B6">
        <w:rPr>
          <w:rFonts w:asciiTheme="majorBidi" w:hAnsiTheme="majorBidi" w:cstheme="majorBidi"/>
          <w:b w:val="0"/>
          <w:bCs w:val="0"/>
          <w:color w:val="000000" w:themeColor="text1"/>
          <w:sz w:val="20"/>
          <w:szCs w:val="20"/>
        </w:rPr>
        <w:t xml:space="preserve">their </w:t>
      </w:r>
      <w:r w:rsidR="00CE09B4" w:rsidRPr="00B87565">
        <w:rPr>
          <w:rFonts w:asciiTheme="majorBidi" w:hAnsiTheme="majorBidi" w:cstheme="majorBidi"/>
          <w:b w:val="0"/>
          <w:bCs w:val="0"/>
          <w:color w:val="000000" w:themeColor="text1"/>
          <w:sz w:val="20"/>
          <w:szCs w:val="20"/>
        </w:rPr>
        <w:t xml:space="preserve">first placement. The y-axis </w:t>
      </w:r>
      <w:r w:rsidR="00B55DF8">
        <w:rPr>
          <w:rFonts w:asciiTheme="majorBidi" w:hAnsiTheme="majorBidi" w:cstheme="majorBidi"/>
          <w:b w:val="0"/>
          <w:bCs w:val="0"/>
          <w:color w:val="000000" w:themeColor="text1"/>
          <w:sz w:val="20"/>
          <w:szCs w:val="20"/>
        </w:rPr>
        <w:t xml:space="preserve">is the number of publications and the x-axis is the tenure year. The various </w:t>
      </w:r>
      <w:r w:rsidR="00CE09B4" w:rsidRPr="00B87565">
        <w:rPr>
          <w:rFonts w:asciiTheme="majorBidi" w:hAnsiTheme="majorBidi" w:cstheme="majorBidi"/>
          <w:b w:val="0"/>
          <w:bCs w:val="0"/>
          <w:color w:val="000000" w:themeColor="text1"/>
          <w:sz w:val="20"/>
          <w:szCs w:val="20"/>
        </w:rPr>
        <w:t xml:space="preserve">plots </w:t>
      </w:r>
      <w:r w:rsidR="00B55DF8">
        <w:rPr>
          <w:rFonts w:asciiTheme="majorBidi" w:hAnsiTheme="majorBidi" w:cstheme="majorBidi"/>
          <w:b w:val="0"/>
          <w:bCs w:val="0"/>
          <w:color w:val="000000" w:themeColor="text1"/>
          <w:sz w:val="20"/>
          <w:szCs w:val="20"/>
        </w:rPr>
        <w:t xml:space="preserve">depict </w:t>
      </w:r>
      <w:r w:rsidR="00CE09B4" w:rsidRPr="00B87565">
        <w:rPr>
          <w:rFonts w:asciiTheme="majorBidi" w:hAnsiTheme="majorBidi" w:cstheme="majorBidi"/>
          <w:b w:val="0"/>
          <w:bCs w:val="0"/>
          <w:color w:val="000000" w:themeColor="text1"/>
          <w:sz w:val="20"/>
          <w:szCs w:val="20"/>
        </w:rPr>
        <w:t>the group's mean, top 25%</w:t>
      </w:r>
      <w:r w:rsidR="00BA35B6">
        <w:rPr>
          <w:rFonts w:asciiTheme="majorBidi" w:hAnsiTheme="majorBidi" w:cstheme="majorBidi"/>
          <w:b w:val="0"/>
          <w:bCs w:val="0"/>
          <w:color w:val="000000" w:themeColor="text1"/>
          <w:sz w:val="20"/>
          <w:szCs w:val="20"/>
        </w:rPr>
        <w:t xml:space="preserve"> percentile</w:t>
      </w:r>
      <w:r w:rsidR="00CE09B4" w:rsidRPr="00B87565">
        <w:rPr>
          <w:rFonts w:asciiTheme="majorBidi" w:hAnsiTheme="majorBidi" w:cstheme="majorBidi"/>
          <w:b w:val="0"/>
          <w:bCs w:val="0"/>
          <w:color w:val="000000" w:themeColor="text1"/>
          <w:sz w:val="20"/>
          <w:szCs w:val="20"/>
        </w:rPr>
        <w:t>, and top 10%</w:t>
      </w:r>
      <w:r w:rsidR="00BA35B6">
        <w:rPr>
          <w:rFonts w:asciiTheme="majorBidi" w:hAnsiTheme="majorBidi" w:cstheme="majorBidi"/>
          <w:b w:val="0"/>
          <w:bCs w:val="0"/>
          <w:color w:val="000000" w:themeColor="text1"/>
          <w:sz w:val="20"/>
          <w:szCs w:val="20"/>
        </w:rPr>
        <w:t xml:space="preserve"> percentile</w:t>
      </w:r>
      <w:r w:rsidR="00CE09B4" w:rsidRPr="00B87565">
        <w:rPr>
          <w:rFonts w:asciiTheme="majorBidi" w:hAnsiTheme="majorBidi" w:cstheme="majorBidi"/>
          <w:b w:val="0"/>
          <w:bCs w:val="0"/>
          <w:color w:val="000000" w:themeColor="text1"/>
          <w:sz w:val="20"/>
          <w:szCs w:val="20"/>
        </w:rPr>
        <w:t xml:space="preserve"> publication level over the authors tenure year (since first publication on WOS). </w:t>
      </w:r>
      <w:r w:rsidR="00175871">
        <w:rPr>
          <w:rFonts w:asciiTheme="majorBidi" w:hAnsiTheme="majorBidi" w:cstheme="majorBidi"/>
          <w:b w:val="0"/>
          <w:bCs w:val="0"/>
          <w:color w:val="000000" w:themeColor="text1"/>
        </w:rPr>
        <w:br w:type="page"/>
      </w:r>
    </w:p>
    <w:p w14:paraId="7241DA8D" w14:textId="34906492" w:rsidR="00E10866" w:rsidRDefault="00175871" w:rsidP="00CE09B4">
      <w:pPr>
        <w:pStyle w:val="Caption"/>
        <w:ind w:left="709"/>
        <w:jc w:val="both"/>
        <w:rPr>
          <w:rFonts w:asciiTheme="majorBidi" w:hAnsiTheme="majorBidi" w:cstheme="majorBidi"/>
          <w:b w:val="0"/>
          <w:bCs w:val="0"/>
          <w:color w:val="000000" w:themeColor="text1"/>
        </w:rPr>
      </w:pPr>
      <w:r>
        <w:rPr>
          <w:noProof/>
          <w:lang w:val="en-US" w:bidi="he-IL"/>
        </w:rPr>
        <w:lastRenderedPageBreak/>
        <w:drawing>
          <wp:inline distT="0" distB="0" distL="0" distR="0" wp14:anchorId="226F1327" wp14:editId="7AFD9C32">
            <wp:extent cx="4804410" cy="2520000"/>
            <wp:effectExtent l="0" t="0" r="15240" b="13970"/>
            <wp:docPr id="3" name="Chart 3">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EE63B4" w14:textId="339170CB" w:rsidR="00B87565" w:rsidRDefault="00B87565">
      <w:pPr>
        <w:spacing w:after="200" w:line="276" w:lineRule="auto"/>
        <w:rPr>
          <w:lang w:val="en-CA"/>
        </w:rPr>
      </w:pPr>
      <w:r>
        <w:rPr>
          <w:noProof/>
          <w:lang w:bidi="he-IL"/>
        </w:rPr>
        <mc:AlternateContent>
          <mc:Choice Requires="wps">
            <w:drawing>
              <wp:anchor distT="0" distB="0" distL="114300" distR="114300" simplePos="0" relativeHeight="251662336" behindDoc="0" locked="0" layoutInCell="1" allowOverlap="1" wp14:anchorId="6DA0E9F8" wp14:editId="5C302BDB">
                <wp:simplePos x="0" y="0"/>
                <wp:positionH relativeFrom="column">
                  <wp:posOffset>447040</wp:posOffset>
                </wp:positionH>
                <wp:positionV relativeFrom="paragraph">
                  <wp:posOffset>2582545</wp:posOffset>
                </wp:positionV>
                <wp:extent cx="480568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805680" cy="635"/>
                        </a:xfrm>
                        <a:prstGeom prst="rect">
                          <a:avLst/>
                        </a:prstGeom>
                        <a:solidFill>
                          <a:prstClr val="white"/>
                        </a:solidFill>
                        <a:ln>
                          <a:noFill/>
                        </a:ln>
                      </wps:spPr>
                      <wps:txbx>
                        <w:txbxContent>
                          <w:p w14:paraId="74CC7E8D" w14:textId="78E2ECDE" w:rsidR="002624EB" w:rsidRPr="00B60657" w:rsidRDefault="002624EB" w:rsidP="00B87565">
                            <w:pPr>
                              <w:pStyle w:val="Caption"/>
                              <w:spacing w:after="0"/>
                              <w:rPr>
                                <w:rFonts w:asciiTheme="majorBidi" w:hAnsiTheme="majorBidi" w:cstheme="majorBidi"/>
                                <w:color w:val="auto"/>
                                <w:sz w:val="20"/>
                                <w:szCs w:val="20"/>
                              </w:rPr>
                            </w:pPr>
                            <w:r w:rsidRPr="00B60657">
                              <w:rPr>
                                <w:rFonts w:asciiTheme="majorBidi" w:hAnsiTheme="majorBidi" w:cstheme="majorBidi"/>
                                <w:color w:val="auto"/>
                                <w:sz w:val="20"/>
                                <w:szCs w:val="20"/>
                              </w:rPr>
                              <w:t xml:space="preserve">Figure </w:t>
                            </w:r>
                            <w:r w:rsidRPr="00B60657">
                              <w:rPr>
                                <w:rFonts w:asciiTheme="majorBidi" w:hAnsiTheme="majorBidi" w:cstheme="majorBidi"/>
                                <w:color w:val="auto"/>
                                <w:sz w:val="20"/>
                                <w:szCs w:val="20"/>
                              </w:rPr>
                              <w:fldChar w:fldCharType="begin"/>
                            </w:r>
                            <w:r w:rsidRPr="00B60657">
                              <w:rPr>
                                <w:rFonts w:asciiTheme="majorBidi" w:hAnsiTheme="majorBidi" w:cstheme="majorBidi"/>
                                <w:color w:val="auto"/>
                                <w:sz w:val="20"/>
                                <w:szCs w:val="20"/>
                              </w:rPr>
                              <w:instrText xml:space="preserve"> SEQ Figure \* ARABIC </w:instrText>
                            </w:r>
                            <w:r w:rsidRPr="00B60657">
                              <w:rPr>
                                <w:rFonts w:asciiTheme="majorBidi" w:hAnsiTheme="majorBidi" w:cstheme="majorBidi"/>
                                <w:color w:val="auto"/>
                                <w:sz w:val="20"/>
                                <w:szCs w:val="20"/>
                              </w:rPr>
                              <w:fldChar w:fldCharType="separate"/>
                            </w:r>
                            <w:r>
                              <w:rPr>
                                <w:rFonts w:asciiTheme="majorBidi" w:hAnsiTheme="majorBidi" w:cstheme="majorBidi"/>
                                <w:noProof/>
                                <w:color w:val="auto"/>
                                <w:sz w:val="20"/>
                                <w:szCs w:val="20"/>
                              </w:rPr>
                              <w:t>2</w:t>
                            </w:r>
                            <w:r w:rsidRPr="00B60657">
                              <w:rPr>
                                <w:rFonts w:asciiTheme="majorBidi" w:hAnsiTheme="majorBidi" w:cstheme="majorBidi"/>
                                <w:color w:val="auto"/>
                                <w:sz w:val="20"/>
                                <w:szCs w:val="20"/>
                              </w:rPr>
                              <w:fldChar w:fldCharType="end"/>
                            </w:r>
                            <w:r w:rsidRPr="00B60657">
                              <w:rPr>
                                <w:rFonts w:asciiTheme="majorBidi" w:hAnsiTheme="majorBidi" w:cstheme="majorBidi"/>
                                <w:color w:val="auto"/>
                                <w:sz w:val="20"/>
                                <w:szCs w:val="20"/>
                              </w:rPr>
                              <w:t xml:space="preserve">: Accumulated productivity distribution </w:t>
                            </w:r>
                          </w:p>
                          <w:p w14:paraId="145406BC" w14:textId="68F473AB" w:rsidR="002624EB" w:rsidRPr="00B87565" w:rsidRDefault="002624EB" w:rsidP="00B55DF8">
                            <w:pPr>
                              <w:rPr>
                                <w:sz w:val="20"/>
                                <w:szCs w:val="20"/>
                                <w:lang w:val="en-CA"/>
                              </w:rPr>
                            </w:pPr>
                            <w:r w:rsidRPr="00B87565">
                              <w:rPr>
                                <w:sz w:val="20"/>
                                <w:szCs w:val="20"/>
                                <w:lang w:val="en-CA"/>
                              </w:rPr>
                              <w:t>The figure provides the distribution of authors based on the number of A articles publish</w:t>
                            </w:r>
                            <w:r>
                              <w:rPr>
                                <w:sz w:val="20"/>
                                <w:szCs w:val="20"/>
                                <w:lang w:val="en-CA"/>
                              </w:rPr>
                              <w:t>ed</w:t>
                            </w:r>
                            <w:r w:rsidRPr="00B87565">
                              <w:rPr>
                                <w:sz w:val="20"/>
                                <w:szCs w:val="20"/>
                                <w:lang w:val="en-CA"/>
                              </w:rPr>
                              <w:t xml:space="preserve"> in the</w:t>
                            </w:r>
                            <w:r>
                              <w:rPr>
                                <w:sz w:val="20"/>
                                <w:szCs w:val="20"/>
                                <w:lang w:val="en-CA"/>
                              </w:rPr>
                              <w:t>ir</w:t>
                            </w:r>
                            <w:r w:rsidRPr="00B87565">
                              <w:rPr>
                                <w:sz w:val="20"/>
                                <w:szCs w:val="20"/>
                                <w:lang w:val="en-CA"/>
                              </w:rPr>
                              <w:t xml:space="preserve"> first 5 years (for </w:t>
                            </w:r>
                            <w:r>
                              <w:rPr>
                                <w:sz w:val="20"/>
                                <w:szCs w:val="20"/>
                                <w:lang w:val="en-CA"/>
                              </w:rPr>
                              <w:t>S</w:t>
                            </w:r>
                            <w:r w:rsidRPr="00B87565">
                              <w:rPr>
                                <w:sz w:val="20"/>
                                <w:szCs w:val="20"/>
                                <w:lang w:val="en-CA"/>
                              </w:rPr>
                              <w:t xml:space="preserve">ample 1) and </w:t>
                            </w:r>
                            <w:r>
                              <w:rPr>
                                <w:sz w:val="20"/>
                                <w:szCs w:val="20"/>
                                <w:lang w:val="en-CA"/>
                              </w:rPr>
                              <w:t xml:space="preserve">first </w:t>
                            </w:r>
                            <w:r w:rsidRPr="00B87565">
                              <w:rPr>
                                <w:sz w:val="20"/>
                                <w:szCs w:val="20"/>
                                <w:lang w:val="en-CA"/>
                              </w:rPr>
                              <w:t xml:space="preserve">10 years (for </w:t>
                            </w:r>
                            <w:r>
                              <w:rPr>
                                <w:sz w:val="20"/>
                                <w:szCs w:val="20"/>
                                <w:lang w:val="en-CA"/>
                              </w:rPr>
                              <w:t>S</w:t>
                            </w:r>
                            <w:r w:rsidRPr="00B87565">
                              <w:rPr>
                                <w:sz w:val="20"/>
                                <w:szCs w:val="20"/>
                                <w:lang w:val="en-CA"/>
                              </w:rPr>
                              <w:t>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A0E9F8" id="_x0000_t202" coordsize="21600,21600" o:spt="202" path="m,l,21600r21600,l21600,xe">
                <v:stroke joinstyle="miter"/>
                <v:path gradientshapeok="t" o:connecttype="rect"/>
              </v:shapetype>
              <v:shape id="Text Box 6" o:spid="_x0000_s1026" type="#_x0000_t202" style="position:absolute;margin-left:35.2pt;margin-top:203.35pt;width:378.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fzKgIAAF0EAAAOAAAAZHJzL2Uyb0RvYy54bWysVE1vGjEQvVfqf7B8Lwtpg6IVS0SJqCqh&#10;JBJUORuvl7Vke9yxYZf++o73g7RpT1UvZjwzft733pjFfWsNOysMGlzBZ5MpZ8pJKLU7FvzbfvPh&#10;jrMQhSuFAacKflGB3y/fv1s0Plc3UIMpFTICcSFvfMHrGH2eZUHWyoowAa8cFStAKyJt8ZiVKBpC&#10;tya7mU7nWQNYegSpQqDsQ1/kyw6/qpSMT1UVVGSm4PRtsVuxWw9pzZYLkR9R+FrL4TPEP3yFFdrR&#10;pVeoBxEFO6H+A8pqiRCgihMJNoOq0lJ1HIjNbPqGza4WXnVcSJzgrzKF/wcrH8/PyHRZ8DlnTliy&#10;aK/ayD5Dy+ZJncaHnJp2ntpiS2lyecwHSibSbYU2/RIdRnXS+XLVNoFJSn66m97O76gkqTb/eJsw&#10;stejHkP8osCyFBQcybhOT3Hehti3ji3ppgBGlxttTNqkwtogOwsyual1VAP4b13GpV4H6VQPmDJZ&#10;4tfzSFFsD+1A+gDlhTgj9DMTvNxoumgrQnwWSENCXGjw4xMtlYGm4DBEnNWAP/6WT/3kHVU5a2jo&#10;Ch6+nwQqzsxXR66mCR0DHIPDGLiTXQNRnNGT8rIL6QBGM4YVgn2h97BKt1BJOEl3FTyO4Tr2o0/v&#10;SarVqmuiOfQibt3OywQ9CrpvXwT6wY5ILj7COI4if+NK39v54lenSBJ3liVBexUHnWmGO9OH95Ye&#10;ya/7ruv1X2H5EwAA//8DAFBLAwQUAAYACAAAACEA6n8NF+AAAAAKAQAADwAAAGRycy9kb3ducmV2&#10;LnhtbEyPsU7DMBCGdyTewTokFkRtQpREIU5VVTDAUhG6sLnxNQ7E5yh22vD2GBYY7+7Tf99frRc7&#10;sBNOvnck4W4lgCG1TvfUSdi/Pd0WwHxQpNXgCCV8oYd1fXlRqVK7M73iqQkdiyHkSyXBhDCWnPvW&#10;oFV+5UakeDu6yaoQx6njelLnGG4HngiRcat6ih+MGnFrsP1sZithl77vzM18fHzZpPfT837eZh9d&#10;I+X11bJ5ABZwCX8w/OhHdaij08HNpD0bJOQijaSEVGQ5sAgUSZ4AO/xuCuB1xf9XqL8BAAD//wMA&#10;UEsBAi0AFAAGAAgAAAAhALaDOJL+AAAA4QEAABMAAAAAAAAAAAAAAAAAAAAAAFtDb250ZW50X1R5&#10;cGVzXS54bWxQSwECLQAUAAYACAAAACEAOP0h/9YAAACUAQAACwAAAAAAAAAAAAAAAAAvAQAAX3Jl&#10;bHMvLnJlbHNQSwECLQAUAAYACAAAACEAQjan8yoCAABdBAAADgAAAAAAAAAAAAAAAAAuAgAAZHJz&#10;L2Uyb0RvYy54bWxQSwECLQAUAAYACAAAACEA6n8NF+AAAAAKAQAADwAAAAAAAAAAAAAAAACEBAAA&#10;ZHJzL2Rvd25yZXYueG1sUEsFBgAAAAAEAAQA8wAAAJEFAAAAAA==&#10;" stroked="f">
                <v:textbox style="mso-fit-shape-to-text:t" inset="0,0,0,0">
                  <w:txbxContent>
                    <w:p w14:paraId="74CC7E8D" w14:textId="78E2ECDE" w:rsidR="002624EB" w:rsidRPr="00B60657" w:rsidRDefault="002624EB" w:rsidP="00B87565">
                      <w:pPr>
                        <w:pStyle w:val="Caption"/>
                        <w:spacing w:after="0"/>
                        <w:rPr>
                          <w:rFonts w:asciiTheme="majorBidi" w:hAnsiTheme="majorBidi" w:cstheme="majorBidi"/>
                          <w:color w:val="auto"/>
                          <w:sz w:val="20"/>
                          <w:szCs w:val="20"/>
                        </w:rPr>
                      </w:pPr>
                      <w:r w:rsidRPr="00B60657">
                        <w:rPr>
                          <w:rFonts w:asciiTheme="majorBidi" w:hAnsiTheme="majorBidi" w:cstheme="majorBidi"/>
                          <w:color w:val="auto"/>
                          <w:sz w:val="20"/>
                          <w:szCs w:val="20"/>
                        </w:rPr>
                        <w:t xml:space="preserve">Figure </w:t>
                      </w:r>
                      <w:r w:rsidRPr="00B60657">
                        <w:rPr>
                          <w:rFonts w:asciiTheme="majorBidi" w:hAnsiTheme="majorBidi" w:cstheme="majorBidi"/>
                          <w:color w:val="auto"/>
                          <w:sz w:val="20"/>
                          <w:szCs w:val="20"/>
                        </w:rPr>
                        <w:fldChar w:fldCharType="begin"/>
                      </w:r>
                      <w:r w:rsidRPr="00B60657">
                        <w:rPr>
                          <w:rFonts w:asciiTheme="majorBidi" w:hAnsiTheme="majorBidi" w:cstheme="majorBidi"/>
                          <w:color w:val="auto"/>
                          <w:sz w:val="20"/>
                          <w:szCs w:val="20"/>
                        </w:rPr>
                        <w:instrText xml:space="preserve"> SEQ Figure \* ARABIC </w:instrText>
                      </w:r>
                      <w:r w:rsidRPr="00B60657">
                        <w:rPr>
                          <w:rFonts w:asciiTheme="majorBidi" w:hAnsiTheme="majorBidi" w:cstheme="majorBidi"/>
                          <w:color w:val="auto"/>
                          <w:sz w:val="20"/>
                          <w:szCs w:val="20"/>
                        </w:rPr>
                        <w:fldChar w:fldCharType="separate"/>
                      </w:r>
                      <w:r>
                        <w:rPr>
                          <w:rFonts w:asciiTheme="majorBidi" w:hAnsiTheme="majorBidi" w:cstheme="majorBidi"/>
                          <w:noProof/>
                          <w:color w:val="auto"/>
                          <w:sz w:val="20"/>
                          <w:szCs w:val="20"/>
                        </w:rPr>
                        <w:t>2</w:t>
                      </w:r>
                      <w:r w:rsidRPr="00B60657">
                        <w:rPr>
                          <w:rFonts w:asciiTheme="majorBidi" w:hAnsiTheme="majorBidi" w:cstheme="majorBidi"/>
                          <w:color w:val="auto"/>
                          <w:sz w:val="20"/>
                          <w:szCs w:val="20"/>
                        </w:rPr>
                        <w:fldChar w:fldCharType="end"/>
                      </w:r>
                      <w:r w:rsidRPr="00B60657">
                        <w:rPr>
                          <w:rFonts w:asciiTheme="majorBidi" w:hAnsiTheme="majorBidi" w:cstheme="majorBidi"/>
                          <w:color w:val="auto"/>
                          <w:sz w:val="20"/>
                          <w:szCs w:val="20"/>
                        </w:rPr>
                        <w:t xml:space="preserve">: Accumulated productivity distribution </w:t>
                      </w:r>
                    </w:p>
                    <w:p w14:paraId="145406BC" w14:textId="68F473AB" w:rsidR="002624EB" w:rsidRPr="00B87565" w:rsidRDefault="002624EB" w:rsidP="00B55DF8">
                      <w:pPr>
                        <w:rPr>
                          <w:sz w:val="20"/>
                          <w:szCs w:val="20"/>
                          <w:lang w:val="en-CA"/>
                        </w:rPr>
                      </w:pPr>
                      <w:r w:rsidRPr="00B87565">
                        <w:rPr>
                          <w:sz w:val="20"/>
                          <w:szCs w:val="20"/>
                          <w:lang w:val="en-CA"/>
                        </w:rPr>
                        <w:t>The figure provides the distribution of authors based on the number of A articles publish</w:t>
                      </w:r>
                      <w:r>
                        <w:rPr>
                          <w:sz w:val="20"/>
                          <w:szCs w:val="20"/>
                          <w:lang w:val="en-CA"/>
                        </w:rPr>
                        <w:t>ed</w:t>
                      </w:r>
                      <w:r w:rsidRPr="00B87565">
                        <w:rPr>
                          <w:sz w:val="20"/>
                          <w:szCs w:val="20"/>
                          <w:lang w:val="en-CA"/>
                        </w:rPr>
                        <w:t xml:space="preserve"> in the</w:t>
                      </w:r>
                      <w:r>
                        <w:rPr>
                          <w:sz w:val="20"/>
                          <w:szCs w:val="20"/>
                          <w:lang w:val="en-CA"/>
                        </w:rPr>
                        <w:t>ir</w:t>
                      </w:r>
                      <w:r w:rsidRPr="00B87565">
                        <w:rPr>
                          <w:sz w:val="20"/>
                          <w:szCs w:val="20"/>
                          <w:lang w:val="en-CA"/>
                        </w:rPr>
                        <w:t xml:space="preserve"> first 5 years (for </w:t>
                      </w:r>
                      <w:r>
                        <w:rPr>
                          <w:sz w:val="20"/>
                          <w:szCs w:val="20"/>
                          <w:lang w:val="en-CA"/>
                        </w:rPr>
                        <w:t>S</w:t>
                      </w:r>
                      <w:r w:rsidRPr="00B87565">
                        <w:rPr>
                          <w:sz w:val="20"/>
                          <w:szCs w:val="20"/>
                          <w:lang w:val="en-CA"/>
                        </w:rPr>
                        <w:t xml:space="preserve">ample 1) and </w:t>
                      </w:r>
                      <w:r>
                        <w:rPr>
                          <w:sz w:val="20"/>
                          <w:szCs w:val="20"/>
                          <w:lang w:val="en-CA"/>
                        </w:rPr>
                        <w:t xml:space="preserve">first </w:t>
                      </w:r>
                      <w:r w:rsidRPr="00B87565">
                        <w:rPr>
                          <w:sz w:val="20"/>
                          <w:szCs w:val="20"/>
                          <w:lang w:val="en-CA"/>
                        </w:rPr>
                        <w:t xml:space="preserve">10 years (for </w:t>
                      </w:r>
                      <w:r>
                        <w:rPr>
                          <w:sz w:val="20"/>
                          <w:szCs w:val="20"/>
                          <w:lang w:val="en-CA"/>
                        </w:rPr>
                        <w:t>S</w:t>
                      </w:r>
                      <w:r w:rsidRPr="00B87565">
                        <w:rPr>
                          <w:sz w:val="20"/>
                          <w:szCs w:val="20"/>
                          <w:lang w:val="en-CA"/>
                        </w:rPr>
                        <w:t>ample 2).</w:t>
                      </w:r>
                    </w:p>
                  </w:txbxContent>
                </v:textbox>
                <w10:wrap type="through"/>
              </v:shape>
            </w:pict>
          </mc:Fallback>
        </mc:AlternateContent>
      </w:r>
      <w:r>
        <w:rPr>
          <w:noProof/>
          <w:lang w:bidi="he-IL"/>
        </w:rPr>
        <w:drawing>
          <wp:anchor distT="0" distB="0" distL="114300" distR="114300" simplePos="0" relativeHeight="251660288" behindDoc="1" locked="0" layoutInCell="1" allowOverlap="1" wp14:anchorId="503E0390" wp14:editId="7F55DCA9">
            <wp:simplePos x="0" y="0"/>
            <wp:positionH relativeFrom="column">
              <wp:posOffset>447463</wp:posOffset>
            </wp:positionH>
            <wp:positionV relativeFrom="paragraph">
              <wp:posOffset>6139</wp:posOffset>
            </wp:positionV>
            <wp:extent cx="4805680" cy="2519680"/>
            <wp:effectExtent l="0" t="0" r="13970" b="13970"/>
            <wp:wrapThrough wrapText="bothSides">
              <wp:wrapPolygon edited="0">
                <wp:start x="0" y="0"/>
                <wp:lineTo x="0" y="21556"/>
                <wp:lineTo x="21577" y="21556"/>
                <wp:lineTo x="21577" y="0"/>
                <wp:lineTo x="0" y="0"/>
              </wp:wrapPolygon>
            </wp:wrapThrough>
            <wp:docPr id="4" name="Chart 4">
              <a:extLst xmlns:a="http://schemas.openxmlformats.org/drawingml/2006/main">
                <a:ext uri="{FF2B5EF4-FFF2-40B4-BE49-F238E27FC236}">
                  <a16:creationId xmlns:a16="http://schemas.microsoft.com/office/drawing/2014/main" id="{DC8E1F30-669A-421F-AAD1-856B99382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6AF9A167" w14:textId="4965E3D6" w:rsidR="00B87565" w:rsidRDefault="00B87565" w:rsidP="00BE3A6B">
      <w:pPr>
        <w:rPr>
          <w:lang w:val="en-CA"/>
        </w:rPr>
      </w:pPr>
    </w:p>
    <w:p w14:paraId="64E263EE" w14:textId="6A8BA4D5" w:rsidR="00B87565" w:rsidRDefault="00B87565">
      <w:pPr>
        <w:spacing w:after="200" w:line="276" w:lineRule="auto"/>
        <w:rPr>
          <w:lang w:val="en-CA"/>
        </w:rPr>
      </w:pPr>
      <w:r>
        <w:rPr>
          <w:lang w:val="en-CA"/>
        </w:rPr>
        <w:br w:type="page"/>
      </w:r>
    </w:p>
    <w:p w14:paraId="49D0392B" w14:textId="77777777" w:rsidR="00A22923" w:rsidRDefault="00A22923" w:rsidP="00A22923">
      <w:pPr>
        <w:keepNext/>
        <w:spacing w:after="200" w:line="276" w:lineRule="auto"/>
      </w:pPr>
      <w:r>
        <w:rPr>
          <w:noProof/>
          <w:lang w:bidi="he-IL"/>
        </w:rPr>
        <w:lastRenderedPageBreak/>
        <w:drawing>
          <wp:inline distT="0" distB="0" distL="0" distR="0" wp14:anchorId="4A4D607B" wp14:editId="5F143A78">
            <wp:extent cx="5947833" cy="6273800"/>
            <wp:effectExtent l="0" t="0" r="15240" b="12700"/>
            <wp:docPr id="7" name="Chart 7">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78D770" w14:textId="7E845DFA" w:rsidR="00D35772" w:rsidRPr="00D35772" w:rsidRDefault="00A22923" w:rsidP="00D35772">
      <w:pPr>
        <w:pStyle w:val="Caption"/>
        <w:spacing w:after="0"/>
        <w:rPr>
          <w:rFonts w:asciiTheme="majorBidi" w:hAnsiTheme="majorBidi" w:cstheme="majorBidi"/>
          <w:color w:val="auto"/>
          <w:sz w:val="22"/>
          <w:szCs w:val="22"/>
        </w:rPr>
      </w:pPr>
      <w:r w:rsidRPr="00D35772">
        <w:rPr>
          <w:rFonts w:asciiTheme="majorBidi" w:hAnsiTheme="majorBidi" w:cstheme="majorBidi"/>
          <w:color w:val="auto"/>
          <w:sz w:val="22"/>
          <w:szCs w:val="22"/>
        </w:rPr>
        <w:t xml:space="preserve">Figure </w:t>
      </w:r>
      <w:r w:rsidRPr="00D35772">
        <w:rPr>
          <w:rFonts w:asciiTheme="majorBidi" w:hAnsiTheme="majorBidi" w:cstheme="majorBidi"/>
          <w:color w:val="auto"/>
          <w:sz w:val="22"/>
          <w:szCs w:val="22"/>
        </w:rPr>
        <w:fldChar w:fldCharType="begin"/>
      </w:r>
      <w:r w:rsidRPr="00D35772">
        <w:rPr>
          <w:rFonts w:asciiTheme="majorBidi" w:hAnsiTheme="majorBidi" w:cstheme="majorBidi"/>
          <w:color w:val="auto"/>
          <w:sz w:val="22"/>
          <w:szCs w:val="22"/>
        </w:rPr>
        <w:instrText xml:space="preserve"> SEQ Figure \* ARABIC </w:instrText>
      </w:r>
      <w:r w:rsidRPr="00D35772">
        <w:rPr>
          <w:rFonts w:asciiTheme="majorBidi" w:hAnsiTheme="majorBidi" w:cstheme="majorBidi"/>
          <w:color w:val="auto"/>
          <w:sz w:val="22"/>
          <w:szCs w:val="22"/>
        </w:rPr>
        <w:fldChar w:fldCharType="separate"/>
      </w:r>
      <w:r w:rsidR="005C748A">
        <w:rPr>
          <w:rFonts w:asciiTheme="majorBidi" w:hAnsiTheme="majorBidi" w:cstheme="majorBidi"/>
          <w:noProof/>
          <w:color w:val="auto"/>
          <w:sz w:val="22"/>
          <w:szCs w:val="22"/>
        </w:rPr>
        <w:t>3</w:t>
      </w:r>
      <w:r w:rsidRPr="00D35772">
        <w:rPr>
          <w:rFonts w:asciiTheme="majorBidi" w:hAnsiTheme="majorBidi" w:cstheme="majorBidi"/>
          <w:color w:val="auto"/>
          <w:sz w:val="22"/>
          <w:szCs w:val="22"/>
        </w:rPr>
        <w:fldChar w:fldCharType="end"/>
      </w:r>
      <w:r w:rsidRPr="00D35772">
        <w:rPr>
          <w:rFonts w:asciiTheme="majorBidi" w:hAnsiTheme="majorBidi" w:cstheme="majorBidi"/>
          <w:color w:val="auto"/>
          <w:sz w:val="22"/>
          <w:szCs w:val="22"/>
        </w:rPr>
        <w:t>: Accumulate</w:t>
      </w:r>
      <w:r w:rsidR="00D35772" w:rsidRPr="00D35772">
        <w:rPr>
          <w:rFonts w:asciiTheme="majorBidi" w:hAnsiTheme="majorBidi" w:cstheme="majorBidi"/>
          <w:color w:val="auto"/>
          <w:sz w:val="22"/>
          <w:szCs w:val="22"/>
        </w:rPr>
        <w:t>d</w:t>
      </w:r>
      <w:r w:rsidRPr="00D35772">
        <w:rPr>
          <w:rFonts w:asciiTheme="majorBidi" w:hAnsiTheme="majorBidi" w:cstheme="majorBidi"/>
          <w:color w:val="auto"/>
          <w:sz w:val="22"/>
          <w:szCs w:val="22"/>
        </w:rPr>
        <w:t xml:space="preserve"> </w:t>
      </w:r>
      <w:r w:rsidR="00D35772" w:rsidRPr="00D35772">
        <w:rPr>
          <w:rFonts w:asciiTheme="majorBidi" w:hAnsiTheme="majorBidi" w:cstheme="majorBidi"/>
          <w:color w:val="auto"/>
          <w:sz w:val="22"/>
          <w:szCs w:val="22"/>
        </w:rPr>
        <w:t>productivity</w:t>
      </w:r>
      <w:r w:rsidRPr="00D35772">
        <w:rPr>
          <w:rFonts w:asciiTheme="majorBidi" w:hAnsiTheme="majorBidi" w:cstheme="majorBidi"/>
          <w:color w:val="auto"/>
          <w:sz w:val="22"/>
          <w:szCs w:val="22"/>
        </w:rPr>
        <w:t xml:space="preserve"> </w:t>
      </w:r>
      <w:r w:rsidR="00D35772" w:rsidRPr="00D35772">
        <w:rPr>
          <w:rFonts w:asciiTheme="majorBidi" w:hAnsiTheme="majorBidi" w:cstheme="majorBidi"/>
          <w:color w:val="auto"/>
          <w:sz w:val="22"/>
          <w:szCs w:val="22"/>
        </w:rPr>
        <w:t>starting at year 6</w:t>
      </w:r>
    </w:p>
    <w:p w14:paraId="53857A03" w14:textId="265691F5" w:rsidR="00D35772" w:rsidRPr="00D35772" w:rsidRDefault="00D35772" w:rsidP="00093417">
      <w:pPr>
        <w:rPr>
          <w:rFonts w:asciiTheme="majorBidi" w:hAnsiTheme="majorBidi" w:cstheme="majorBidi"/>
          <w:sz w:val="22"/>
          <w:szCs w:val="22"/>
          <w:lang w:val="en-CA"/>
        </w:rPr>
      </w:pPr>
      <w:r w:rsidRPr="00D35772">
        <w:rPr>
          <w:rFonts w:asciiTheme="majorBidi" w:hAnsiTheme="majorBidi" w:cstheme="majorBidi"/>
          <w:sz w:val="22"/>
          <w:szCs w:val="22"/>
          <w:lang w:val="en-CA"/>
        </w:rPr>
        <w:t xml:space="preserve">Authors are grouped based on their first affiliation and number of A articles they published during the first 5 years. The figure plots that </w:t>
      </w:r>
      <w:r w:rsidR="003E6AE6">
        <w:rPr>
          <w:rFonts w:asciiTheme="majorBidi" w:hAnsiTheme="majorBidi" w:cstheme="majorBidi"/>
          <w:sz w:val="22"/>
          <w:szCs w:val="22"/>
          <w:lang w:val="en-CA"/>
        </w:rPr>
        <w:t xml:space="preserve">mean </w:t>
      </w:r>
      <w:r w:rsidRPr="00D35772">
        <w:rPr>
          <w:rFonts w:asciiTheme="majorBidi" w:hAnsiTheme="majorBidi" w:cstheme="majorBidi"/>
          <w:sz w:val="22"/>
          <w:szCs w:val="22"/>
          <w:lang w:val="en-CA"/>
        </w:rPr>
        <w:t xml:space="preserve">number of accumulated A articles </w:t>
      </w:r>
      <w:r w:rsidR="00093417">
        <w:rPr>
          <w:rFonts w:asciiTheme="majorBidi" w:hAnsiTheme="majorBidi" w:cstheme="majorBidi"/>
          <w:sz w:val="22"/>
          <w:szCs w:val="22"/>
          <w:lang w:val="en-CA"/>
        </w:rPr>
        <w:t>between</w:t>
      </w:r>
      <w:r w:rsidRPr="00D35772">
        <w:rPr>
          <w:rFonts w:asciiTheme="majorBidi" w:hAnsiTheme="majorBidi" w:cstheme="majorBidi"/>
          <w:sz w:val="22"/>
          <w:szCs w:val="22"/>
          <w:lang w:val="en-CA"/>
        </w:rPr>
        <w:t xml:space="preserve"> </w:t>
      </w:r>
      <w:r w:rsidR="003E1EFB">
        <w:rPr>
          <w:rFonts w:asciiTheme="majorBidi" w:hAnsiTheme="majorBidi" w:cstheme="majorBidi"/>
          <w:sz w:val="22"/>
          <w:szCs w:val="22"/>
          <w:lang w:val="en-CA"/>
        </w:rPr>
        <w:t xml:space="preserve">end of </w:t>
      </w:r>
      <w:r w:rsidRPr="00D35772">
        <w:rPr>
          <w:rFonts w:asciiTheme="majorBidi" w:hAnsiTheme="majorBidi" w:cstheme="majorBidi"/>
          <w:sz w:val="22"/>
          <w:szCs w:val="22"/>
          <w:lang w:val="en-CA"/>
        </w:rPr>
        <w:t xml:space="preserve">year </w:t>
      </w:r>
      <w:r w:rsidR="003E1EFB">
        <w:rPr>
          <w:rFonts w:asciiTheme="majorBidi" w:hAnsiTheme="majorBidi" w:cstheme="majorBidi"/>
          <w:sz w:val="22"/>
          <w:szCs w:val="22"/>
          <w:lang w:val="en-CA"/>
        </w:rPr>
        <w:t>5</w:t>
      </w:r>
      <w:r w:rsidR="003E1EFB" w:rsidRPr="00D35772">
        <w:rPr>
          <w:rFonts w:asciiTheme="majorBidi" w:hAnsiTheme="majorBidi" w:cstheme="majorBidi"/>
          <w:sz w:val="22"/>
          <w:szCs w:val="22"/>
          <w:lang w:val="en-CA"/>
        </w:rPr>
        <w:t xml:space="preserve"> </w:t>
      </w:r>
      <w:r w:rsidRPr="00D35772">
        <w:rPr>
          <w:rFonts w:asciiTheme="majorBidi" w:hAnsiTheme="majorBidi" w:cstheme="majorBidi"/>
          <w:sz w:val="22"/>
          <w:szCs w:val="22"/>
          <w:lang w:val="en-CA"/>
        </w:rPr>
        <w:t xml:space="preserve">and year 10. </w:t>
      </w:r>
    </w:p>
    <w:p w14:paraId="657A66E4" w14:textId="2CE4F0CD" w:rsidR="005C748A" w:rsidRDefault="00A22923" w:rsidP="00F066B7">
      <w:pPr>
        <w:keepNext/>
        <w:spacing w:after="200" w:line="276" w:lineRule="auto"/>
      </w:pPr>
      <w:r>
        <w:rPr>
          <w:lang w:val="en-CA"/>
        </w:rPr>
        <w:br w:type="page"/>
      </w:r>
    </w:p>
    <w:p w14:paraId="5511B4E6" w14:textId="77777777" w:rsidR="00B87565" w:rsidRDefault="00B87565" w:rsidP="00BE3A6B">
      <w:pPr>
        <w:rPr>
          <w:lang w:val="en-CA"/>
        </w:rPr>
      </w:pPr>
    </w:p>
    <w:tbl>
      <w:tblPr>
        <w:tblStyle w:val="TableGrid"/>
        <w:tblW w:w="0" w:type="auto"/>
        <w:tblInd w:w="-284" w:type="dxa"/>
        <w:tblLayout w:type="fixed"/>
        <w:tblLook w:val="04A0" w:firstRow="1" w:lastRow="0" w:firstColumn="1" w:lastColumn="0" w:noHBand="0" w:noVBand="1"/>
      </w:tblPr>
      <w:tblGrid>
        <w:gridCol w:w="1697"/>
        <w:gridCol w:w="1077"/>
        <w:gridCol w:w="1077"/>
        <w:gridCol w:w="1078"/>
        <w:gridCol w:w="1077"/>
        <w:gridCol w:w="1077"/>
        <w:gridCol w:w="1078"/>
        <w:gridCol w:w="1077"/>
        <w:gridCol w:w="1078"/>
      </w:tblGrid>
      <w:tr w:rsidR="004939AF" w:rsidRPr="00DF6928" w14:paraId="4869369A" w14:textId="77777777" w:rsidTr="00A11B3A">
        <w:tc>
          <w:tcPr>
            <w:tcW w:w="10316" w:type="dxa"/>
            <w:gridSpan w:val="9"/>
            <w:tcBorders>
              <w:top w:val="nil"/>
              <w:left w:val="nil"/>
              <w:bottom w:val="nil"/>
              <w:right w:val="nil"/>
            </w:tcBorders>
          </w:tcPr>
          <w:p w14:paraId="3C3730C3" w14:textId="4D7548ED" w:rsidR="004939AF" w:rsidRPr="00D876CC" w:rsidRDefault="004939AF" w:rsidP="002F6DC7">
            <w:pPr>
              <w:jc w:val="center"/>
              <w:rPr>
                <w:b/>
                <w:bCs/>
                <w:sz w:val="22"/>
                <w:szCs w:val="22"/>
                <w:lang w:val="en-CA"/>
              </w:rPr>
            </w:pPr>
            <w:r w:rsidRPr="00D876CC">
              <w:rPr>
                <w:b/>
                <w:bCs/>
                <w:sz w:val="22"/>
                <w:szCs w:val="22"/>
                <w:lang w:val="en-CA"/>
              </w:rPr>
              <w:t xml:space="preserve">Table 1: </w:t>
            </w:r>
            <w:r w:rsidR="002120EA">
              <w:rPr>
                <w:b/>
                <w:bCs/>
                <w:sz w:val="22"/>
                <w:szCs w:val="22"/>
                <w:lang w:val="en-CA"/>
              </w:rPr>
              <w:t>Affiliation of authors over time</w:t>
            </w:r>
          </w:p>
          <w:p w14:paraId="45E5329F" w14:textId="2C21FAFD" w:rsidR="004939AF" w:rsidRPr="00D876CC" w:rsidRDefault="004939AF" w:rsidP="007C3F6D">
            <w:pPr>
              <w:rPr>
                <w:sz w:val="22"/>
                <w:szCs w:val="22"/>
                <w:lang w:val="en-CA"/>
              </w:rPr>
            </w:pPr>
            <w:r w:rsidRPr="00D876CC">
              <w:rPr>
                <w:sz w:val="22"/>
                <w:szCs w:val="22"/>
                <w:lang w:val="en-CA"/>
              </w:rPr>
              <w:t xml:space="preserve">The table provides </w:t>
            </w:r>
            <w:r w:rsidR="00D876CC">
              <w:rPr>
                <w:sz w:val="22"/>
                <w:szCs w:val="22"/>
                <w:lang w:val="en-CA"/>
              </w:rPr>
              <w:t>information on number of authors in each of the samples</w:t>
            </w:r>
            <w:r w:rsidR="00A11B3A">
              <w:rPr>
                <w:sz w:val="22"/>
                <w:szCs w:val="22"/>
                <w:lang w:val="en-CA"/>
              </w:rPr>
              <w:t>, as we</w:t>
            </w:r>
            <w:r w:rsidR="0071231B">
              <w:rPr>
                <w:sz w:val="22"/>
                <w:szCs w:val="22"/>
                <w:lang w:val="en-CA"/>
              </w:rPr>
              <w:t>ll</w:t>
            </w:r>
            <w:r w:rsidR="00A11B3A">
              <w:rPr>
                <w:sz w:val="22"/>
                <w:szCs w:val="22"/>
                <w:lang w:val="en-CA"/>
              </w:rPr>
              <w:t xml:space="preserve"> as authors’ affiliation distribution </w:t>
            </w:r>
            <w:r w:rsidR="006D670C" w:rsidRPr="00D876CC">
              <w:rPr>
                <w:sz w:val="22"/>
                <w:szCs w:val="22"/>
                <w:lang w:val="en-CA"/>
              </w:rPr>
              <w:t>after 5</w:t>
            </w:r>
            <w:r w:rsidR="00D876CC" w:rsidRPr="00D876CC">
              <w:rPr>
                <w:sz w:val="22"/>
                <w:szCs w:val="22"/>
                <w:lang w:val="en-CA"/>
              </w:rPr>
              <w:t xml:space="preserve"> and</w:t>
            </w:r>
            <w:r w:rsidR="006D670C" w:rsidRPr="00D876CC">
              <w:rPr>
                <w:sz w:val="22"/>
                <w:szCs w:val="22"/>
                <w:lang w:val="en-CA"/>
              </w:rPr>
              <w:t xml:space="preserve"> 10</w:t>
            </w:r>
            <w:r w:rsidR="00D876CC" w:rsidRPr="00D876CC">
              <w:rPr>
                <w:sz w:val="22"/>
                <w:szCs w:val="22"/>
                <w:lang w:val="en-CA"/>
              </w:rPr>
              <w:t xml:space="preserve"> </w:t>
            </w:r>
            <w:r w:rsidR="00A11B3A">
              <w:rPr>
                <w:sz w:val="22"/>
                <w:szCs w:val="22"/>
                <w:lang w:val="en-CA"/>
              </w:rPr>
              <w:t xml:space="preserve">years of tenure </w:t>
            </w:r>
            <w:r w:rsidR="00D876CC" w:rsidRPr="00D876CC">
              <w:rPr>
                <w:sz w:val="22"/>
                <w:szCs w:val="22"/>
                <w:lang w:val="en-CA"/>
              </w:rPr>
              <w:t xml:space="preserve">(for </w:t>
            </w:r>
            <w:r w:rsidR="007C3F6D">
              <w:rPr>
                <w:sz w:val="22"/>
                <w:szCs w:val="22"/>
                <w:lang w:val="en-CA"/>
              </w:rPr>
              <w:t>S</w:t>
            </w:r>
            <w:r w:rsidR="007C3F6D" w:rsidRPr="00D876CC">
              <w:rPr>
                <w:sz w:val="22"/>
                <w:szCs w:val="22"/>
                <w:lang w:val="en-CA"/>
              </w:rPr>
              <w:t xml:space="preserve">ample </w:t>
            </w:r>
            <w:r w:rsidR="00D876CC" w:rsidRPr="00D876CC">
              <w:rPr>
                <w:sz w:val="22"/>
                <w:szCs w:val="22"/>
                <w:lang w:val="en-CA"/>
              </w:rPr>
              <w:t>1)</w:t>
            </w:r>
            <w:r w:rsidR="006D670C" w:rsidRPr="00D876CC">
              <w:rPr>
                <w:sz w:val="22"/>
                <w:szCs w:val="22"/>
                <w:lang w:val="en-CA"/>
              </w:rPr>
              <w:t xml:space="preserve">, and </w:t>
            </w:r>
            <w:r w:rsidR="00D876CC" w:rsidRPr="00D876CC">
              <w:rPr>
                <w:sz w:val="22"/>
                <w:szCs w:val="22"/>
                <w:lang w:val="en-CA"/>
              </w:rPr>
              <w:t xml:space="preserve">10 and </w:t>
            </w:r>
            <w:r w:rsidR="006D670C" w:rsidRPr="00D876CC">
              <w:rPr>
                <w:sz w:val="22"/>
                <w:szCs w:val="22"/>
                <w:lang w:val="en-CA"/>
              </w:rPr>
              <w:t>20 years</w:t>
            </w:r>
            <w:r w:rsidR="00D876CC" w:rsidRPr="00D876CC">
              <w:rPr>
                <w:sz w:val="22"/>
                <w:szCs w:val="22"/>
                <w:lang w:val="en-CA"/>
              </w:rPr>
              <w:t xml:space="preserve"> </w:t>
            </w:r>
            <w:r w:rsidR="00A11B3A">
              <w:rPr>
                <w:sz w:val="22"/>
                <w:szCs w:val="22"/>
                <w:lang w:val="en-CA"/>
              </w:rPr>
              <w:t xml:space="preserve">of tenure </w:t>
            </w:r>
            <w:r w:rsidR="00D876CC" w:rsidRPr="00D876CC">
              <w:rPr>
                <w:sz w:val="22"/>
                <w:szCs w:val="22"/>
                <w:lang w:val="en-CA"/>
              </w:rPr>
              <w:t xml:space="preserve">(for </w:t>
            </w:r>
            <w:r w:rsidR="007C3F6D">
              <w:rPr>
                <w:sz w:val="22"/>
                <w:szCs w:val="22"/>
                <w:lang w:val="en-CA"/>
              </w:rPr>
              <w:t>S</w:t>
            </w:r>
            <w:r w:rsidR="007C3F6D" w:rsidRPr="00D876CC">
              <w:rPr>
                <w:sz w:val="22"/>
                <w:szCs w:val="22"/>
                <w:lang w:val="en-CA"/>
              </w:rPr>
              <w:t xml:space="preserve">ample </w:t>
            </w:r>
            <w:r w:rsidR="00D876CC" w:rsidRPr="00D876CC">
              <w:rPr>
                <w:sz w:val="22"/>
                <w:szCs w:val="22"/>
                <w:lang w:val="en-CA"/>
              </w:rPr>
              <w:t>2)</w:t>
            </w:r>
            <w:r w:rsidR="006D670C" w:rsidRPr="00D876CC">
              <w:rPr>
                <w:sz w:val="22"/>
                <w:szCs w:val="22"/>
                <w:lang w:val="en-CA"/>
              </w:rPr>
              <w:t xml:space="preserve">. </w:t>
            </w:r>
          </w:p>
          <w:p w14:paraId="4F1F20E3" w14:textId="77777777" w:rsidR="004939AF" w:rsidRPr="00D876CC" w:rsidRDefault="004939AF" w:rsidP="00BE3A6B">
            <w:pPr>
              <w:rPr>
                <w:sz w:val="22"/>
                <w:szCs w:val="22"/>
                <w:lang w:val="en-CA"/>
              </w:rPr>
            </w:pPr>
          </w:p>
          <w:p w14:paraId="19901B04" w14:textId="576EC241" w:rsidR="004939AF" w:rsidRPr="00D876CC" w:rsidRDefault="004939AF" w:rsidP="00BE3A6B">
            <w:pPr>
              <w:rPr>
                <w:sz w:val="22"/>
                <w:szCs w:val="22"/>
                <w:lang w:val="en-CA"/>
              </w:rPr>
            </w:pPr>
          </w:p>
        </w:tc>
      </w:tr>
      <w:tr w:rsidR="006D670C" w:rsidRPr="00DF6928" w14:paraId="2CCBA524" w14:textId="77777777" w:rsidTr="00A11B3A">
        <w:tc>
          <w:tcPr>
            <w:tcW w:w="1697" w:type="dxa"/>
            <w:tcBorders>
              <w:top w:val="nil"/>
              <w:left w:val="nil"/>
              <w:bottom w:val="single" w:sz="4" w:space="0" w:color="auto"/>
              <w:right w:val="nil"/>
            </w:tcBorders>
          </w:tcPr>
          <w:p w14:paraId="5D4DAB1E" w14:textId="12FF422E" w:rsidR="006D670C" w:rsidRPr="00D876CC" w:rsidRDefault="006D670C" w:rsidP="00DF6928">
            <w:pPr>
              <w:jc w:val="center"/>
              <w:rPr>
                <w:sz w:val="22"/>
                <w:szCs w:val="22"/>
                <w:lang w:val="en-CA"/>
              </w:rPr>
            </w:pPr>
          </w:p>
        </w:tc>
        <w:tc>
          <w:tcPr>
            <w:tcW w:w="4309" w:type="dxa"/>
            <w:gridSpan w:val="4"/>
            <w:tcBorders>
              <w:top w:val="nil"/>
              <w:left w:val="nil"/>
              <w:bottom w:val="single" w:sz="4" w:space="0" w:color="auto"/>
              <w:right w:val="single" w:sz="4" w:space="0" w:color="auto"/>
            </w:tcBorders>
          </w:tcPr>
          <w:p w14:paraId="7400976F" w14:textId="069377B3" w:rsidR="006D670C" w:rsidRPr="00D876CC" w:rsidRDefault="006D670C" w:rsidP="006D670C">
            <w:pPr>
              <w:jc w:val="center"/>
              <w:rPr>
                <w:sz w:val="22"/>
                <w:szCs w:val="22"/>
                <w:lang w:val="en-CA"/>
              </w:rPr>
            </w:pPr>
            <w:r w:rsidRPr="00D876CC">
              <w:rPr>
                <w:sz w:val="22"/>
                <w:szCs w:val="22"/>
                <w:lang w:val="en-CA"/>
              </w:rPr>
              <w:t xml:space="preserve">Sample </w:t>
            </w:r>
            <w:r w:rsidR="00754F2B" w:rsidRPr="00D876CC">
              <w:rPr>
                <w:sz w:val="22"/>
                <w:szCs w:val="22"/>
                <w:lang w:val="en-CA"/>
              </w:rPr>
              <w:t xml:space="preserve">1 </w:t>
            </w:r>
          </w:p>
        </w:tc>
        <w:tc>
          <w:tcPr>
            <w:tcW w:w="4310" w:type="dxa"/>
            <w:gridSpan w:val="4"/>
            <w:tcBorders>
              <w:top w:val="nil"/>
              <w:left w:val="single" w:sz="4" w:space="0" w:color="auto"/>
              <w:bottom w:val="single" w:sz="4" w:space="0" w:color="auto"/>
              <w:right w:val="nil"/>
            </w:tcBorders>
          </w:tcPr>
          <w:p w14:paraId="67DD3874" w14:textId="6263BD61" w:rsidR="006D670C" w:rsidRPr="00D876CC" w:rsidRDefault="006D670C" w:rsidP="006D670C">
            <w:pPr>
              <w:jc w:val="center"/>
              <w:rPr>
                <w:sz w:val="22"/>
                <w:szCs w:val="22"/>
                <w:lang w:val="en-CA"/>
              </w:rPr>
            </w:pPr>
            <w:r w:rsidRPr="00D876CC">
              <w:rPr>
                <w:sz w:val="22"/>
                <w:szCs w:val="22"/>
                <w:lang w:val="en-CA"/>
              </w:rPr>
              <w:t xml:space="preserve">Sample </w:t>
            </w:r>
            <w:r w:rsidR="00754F2B" w:rsidRPr="00D876CC">
              <w:rPr>
                <w:sz w:val="22"/>
                <w:szCs w:val="22"/>
                <w:lang w:val="en-CA"/>
              </w:rPr>
              <w:t>2</w:t>
            </w:r>
            <w:r w:rsidRPr="00D876CC">
              <w:rPr>
                <w:sz w:val="22"/>
                <w:szCs w:val="22"/>
                <w:lang w:val="en-CA"/>
              </w:rPr>
              <w:t xml:space="preserve"> </w:t>
            </w:r>
          </w:p>
        </w:tc>
      </w:tr>
      <w:tr w:rsidR="00BA7482" w:rsidRPr="00DF6928" w14:paraId="7261FC9B" w14:textId="77777777" w:rsidTr="00A11B3A">
        <w:tc>
          <w:tcPr>
            <w:tcW w:w="1697" w:type="dxa"/>
            <w:tcBorders>
              <w:top w:val="single" w:sz="4" w:space="0" w:color="auto"/>
              <w:left w:val="nil"/>
              <w:bottom w:val="nil"/>
              <w:right w:val="nil"/>
            </w:tcBorders>
          </w:tcPr>
          <w:p w14:paraId="2EE25149" w14:textId="483403EC" w:rsidR="00BA7482" w:rsidRPr="00D876CC" w:rsidRDefault="006D670C" w:rsidP="006D670C">
            <w:pPr>
              <w:rPr>
                <w:sz w:val="22"/>
                <w:szCs w:val="22"/>
                <w:lang w:val="en-CA"/>
              </w:rPr>
            </w:pPr>
            <w:r w:rsidRPr="00D876CC">
              <w:rPr>
                <w:sz w:val="22"/>
                <w:szCs w:val="22"/>
                <w:lang w:val="en-CA"/>
              </w:rPr>
              <w:t>First affiliation</w:t>
            </w:r>
          </w:p>
        </w:tc>
        <w:tc>
          <w:tcPr>
            <w:tcW w:w="2154" w:type="dxa"/>
            <w:gridSpan w:val="2"/>
            <w:tcBorders>
              <w:top w:val="single" w:sz="4" w:space="0" w:color="auto"/>
              <w:left w:val="nil"/>
              <w:bottom w:val="nil"/>
              <w:right w:val="nil"/>
            </w:tcBorders>
          </w:tcPr>
          <w:p w14:paraId="4E288261" w14:textId="00136E0D" w:rsidR="00BA7482" w:rsidRPr="00D876CC" w:rsidRDefault="00BA7482" w:rsidP="00A11B3A">
            <w:pPr>
              <w:jc w:val="center"/>
              <w:rPr>
                <w:sz w:val="22"/>
                <w:szCs w:val="22"/>
                <w:lang w:val="en-CA"/>
              </w:rPr>
            </w:pPr>
            <w:r w:rsidRPr="00D876CC">
              <w:rPr>
                <w:sz w:val="22"/>
                <w:szCs w:val="22"/>
                <w:lang w:val="en-CA"/>
              </w:rPr>
              <w:t>Top 20 universities</w:t>
            </w:r>
          </w:p>
        </w:tc>
        <w:tc>
          <w:tcPr>
            <w:tcW w:w="2155" w:type="dxa"/>
            <w:gridSpan w:val="2"/>
            <w:tcBorders>
              <w:top w:val="single" w:sz="4" w:space="0" w:color="auto"/>
              <w:left w:val="nil"/>
              <w:bottom w:val="nil"/>
              <w:right w:val="single" w:sz="4" w:space="0" w:color="auto"/>
            </w:tcBorders>
          </w:tcPr>
          <w:p w14:paraId="49996D22" w14:textId="12BECF91" w:rsidR="00BA7482" w:rsidRPr="00D876CC" w:rsidRDefault="008621F6" w:rsidP="00A11B3A">
            <w:pPr>
              <w:jc w:val="center"/>
              <w:rPr>
                <w:sz w:val="22"/>
                <w:szCs w:val="22"/>
                <w:lang w:val="en-CA"/>
              </w:rPr>
            </w:pPr>
            <w:r w:rsidRPr="00D876CC">
              <w:rPr>
                <w:sz w:val="22"/>
                <w:szCs w:val="22"/>
                <w:lang w:val="en-CA"/>
              </w:rPr>
              <w:t xml:space="preserve">Top </w:t>
            </w:r>
            <w:r w:rsidR="00BA7482" w:rsidRPr="00D876CC">
              <w:rPr>
                <w:sz w:val="22"/>
                <w:szCs w:val="22"/>
                <w:lang w:val="en-CA"/>
              </w:rPr>
              <w:t>51-100 universities</w:t>
            </w:r>
          </w:p>
        </w:tc>
        <w:tc>
          <w:tcPr>
            <w:tcW w:w="2155" w:type="dxa"/>
            <w:gridSpan w:val="2"/>
            <w:tcBorders>
              <w:top w:val="single" w:sz="4" w:space="0" w:color="auto"/>
              <w:left w:val="single" w:sz="4" w:space="0" w:color="auto"/>
              <w:bottom w:val="nil"/>
              <w:right w:val="nil"/>
            </w:tcBorders>
          </w:tcPr>
          <w:p w14:paraId="7E7D0810" w14:textId="747A7B39" w:rsidR="00BA7482" w:rsidRPr="00D876CC" w:rsidRDefault="00BA7482" w:rsidP="00A11B3A">
            <w:pPr>
              <w:jc w:val="center"/>
              <w:rPr>
                <w:sz w:val="22"/>
                <w:szCs w:val="22"/>
                <w:lang w:val="en-CA"/>
              </w:rPr>
            </w:pPr>
            <w:r w:rsidRPr="00D876CC">
              <w:rPr>
                <w:sz w:val="22"/>
                <w:szCs w:val="22"/>
                <w:lang w:val="en-CA"/>
              </w:rPr>
              <w:t>Top 20 universities</w:t>
            </w:r>
          </w:p>
        </w:tc>
        <w:tc>
          <w:tcPr>
            <w:tcW w:w="2155" w:type="dxa"/>
            <w:gridSpan w:val="2"/>
            <w:tcBorders>
              <w:top w:val="single" w:sz="4" w:space="0" w:color="auto"/>
              <w:left w:val="nil"/>
              <w:bottom w:val="nil"/>
              <w:right w:val="nil"/>
            </w:tcBorders>
          </w:tcPr>
          <w:p w14:paraId="51A2ECC4" w14:textId="3D2D9B62" w:rsidR="00BA7482" w:rsidRPr="00D876CC" w:rsidRDefault="008621F6" w:rsidP="00A11B3A">
            <w:pPr>
              <w:jc w:val="center"/>
              <w:rPr>
                <w:sz w:val="22"/>
                <w:szCs w:val="22"/>
                <w:lang w:val="en-CA"/>
              </w:rPr>
            </w:pPr>
            <w:r w:rsidRPr="00D876CC">
              <w:rPr>
                <w:sz w:val="22"/>
                <w:szCs w:val="22"/>
                <w:lang w:val="en-CA"/>
              </w:rPr>
              <w:t xml:space="preserve">Top </w:t>
            </w:r>
            <w:r w:rsidR="00BA7482" w:rsidRPr="00D876CC">
              <w:rPr>
                <w:sz w:val="22"/>
                <w:szCs w:val="22"/>
                <w:lang w:val="en-CA"/>
              </w:rPr>
              <w:t>51-100 universities</w:t>
            </w:r>
          </w:p>
        </w:tc>
      </w:tr>
      <w:tr w:rsidR="00BA7482" w:rsidRPr="00DF6928" w14:paraId="2862CF81" w14:textId="77777777" w:rsidTr="00A11B3A">
        <w:tc>
          <w:tcPr>
            <w:tcW w:w="1697" w:type="dxa"/>
            <w:tcBorders>
              <w:top w:val="nil"/>
              <w:left w:val="nil"/>
              <w:bottom w:val="single" w:sz="4" w:space="0" w:color="auto"/>
              <w:right w:val="nil"/>
            </w:tcBorders>
          </w:tcPr>
          <w:p w14:paraId="6595D4BF" w14:textId="019360AB" w:rsidR="00BA7482" w:rsidRPr="00D876CC" w:rsidRDefault="00BA7482" w:rsidP="006D670C">
            <w:pPr>
              <w:rPr>
                <w:sz w:val="22"/>
                <w:szCs w:val="22"/>
                <w:lang w:val="en-CA"/>
              </w:rPr>
            </w:pPr>
            <w:r w:rsidRPr="00D876CC">
              <w:rPr>
                <w:sz w:val="22"/>
                <w:szCs w:val="22"/>
                <w:lang w:val="en-CA"/>
              </w:rPr>
              <w:t># of authors</w:t>
            </w:r>
          </w:p>
        </w:tc>
        <w:tc>
          <w:tcPr>
            <w:tcW w:w="2154" w:type="dxa"/>
            <w:gridSpan w:val="2"/>
            <w:tcBorders>
              <w:top w:val="nil"/>
              <w:left w:val="nil"/>
              <w:bottom w:val="single" w:sz="4" w:space="0" w:color="auto"/>
              <w:right w:val="nil"/>
            </w:tcBorders>
          </w:tcPr>
          <w:p w14:paraId="30B943E9" w14:textId="6E015E4D" w:rsidR="00BA7482" w:rsidRPr="00D876CC" w:rsidRDefault="00DF6928" w:rsidP="00A11B3A">
            <w:pPr>
              <w:jc w:val="center"/>
              <w:rPr>
                <w:sz w:val="22"/>
                <w:szCs w:val="22"/>
                <w:lang w:val="en-CA"/>
              </w:rPr>
            </w:pPr>
            <w:r w:rsidRPr="00D876CC">
              <w:rPr>
                <w:sz w:val="22"/>
                <w:szCs w:val="22"/>
                <w:lang w:val="en-CA"/>
              </w:rPr>
              <w:t>921</w:t>
            </w:r>
          </w:p>
        </w:tc>
        <w:tc>
          <w:tcPr>
            <w:tcW w:w="2155" w:type="dxa"/>
            <w:gridSpan w:val="2"/>
            <w:tcBorders>
              <w:top w:val="nil"/>
              <w:left w:val="nil"/>
              <w:bottom w:val="single" w:sz="4" w:space="0" w:color="auto"/>
              <w:right w:val="single" w:sz="4" w:space="0" w:color="auto"/>
            </w:tcBorders>
          </w:tcPr>
          <w:p w14:paraId="16EE7C30" w14:textId="1DA8AC2B" w:rsidR="00BA7482" w:rsidRPr="00D876CC" w:rsidRDefault="00DF6928" w:rsidP="00A11B3A">
            <w:pPr>
              <w:jc w:val="center"/>
              <w:rPr>
                <w:sz w:val="22"/>
                <w:szCs w:val="22"/>
                <w:lang w:val="en-CA"/>
              </w:rPr>
            </w:pPr>
            <w:r w:rsidRPr="00D876CC">
              <w:rPr>
                <w:sz w:val="22"/>
                <w:szCs w:val="22"/>
                <w:lang w:val="en-CA"/>
              </w:rPr>
              <w:t>651</w:t>
            </w:r>
          </w:p>
        </w:tc>
        <w:tc>
          <w:tcPr>
            <w:tcW w:w="2155" w:type="dxa"/>
            <w:gridSpan w:val="2"/>
            <w:tcBorders>
              <w:top w:val="nil"/>
              <w:left w:val="single" w:sz="4" w:space="0" w:color="auto"/>
              <w:bottom w:val="single" w:sz="4" w:space="0" w:color="auto"/>
              <w:right w:val="nil"/>
            </w:tcBorders>
          </w:tcPr>
          <w:p w14:paraId="7E1DFAE1" w14:textId="3CF92B1B" w:rsidR="00BA7482" w:rsidRPr="00D876CC" w:rsidRDefault="00DF6928" w:rsidP="00A11B3A">
            <w:pPr>
              <w:jc w:val="center"/>
              <w:rPr>
                <w:sz w:val="22"/>
                <w:szCs w:val="22"/>
                <w:lang w:val="en-CA"/>
              </w:rPr>
            </w:pPr>
            <w:r w:rsidRPr="00D876CC">
              <w:rPr>
                <w:sz w:val="22"/>
                <w:szCs w:val="22"/>
                <w:lang w:val="en-CA"/>
              </w:rPr>
              <w:t>561</w:t>
            </w:r>
          </w:p>
        </w:tc>
        <w:tc>
          <w:tcPr>
            <w:tcW w:w="2155" w:type="dxa"/>
            <w:gridSpan w:val="2"/>
            <w:tcBorders>
              <w:top w:val="nil"/>
              <w:left w:val="nil"/>
              <w:bottom w:val="single" w:sz="4" w:space="0" w:color="auto"/>
              <w:right w:val="nil"/>
            </w:tcBorders>
          </w:tcPr>
          <w:p w14:paraId="18B6658F" w14:textId="063F195B" w:rsidR="00BA7482" w:rsidRPr="00D876CC" w:rsidRDefault="00DF6928" w:rsidP="00A11B3A">
            <w:pPr>
              <w:jc w:val="center"/>
              <w:rPr>
                <w:sz w:val="22"/>
                <w:szCs w:val="22"/>
                <w:lang w:val="en-CA"/>
              </w:rPr>
            </w:pPr>
            <w:r w:rsidRPr="00D876CC">
              <w:rPr>
                <w:sz w:val="22"/>
                <w:szCs w:val="22"/>
                <w:lang w:val="en-CA"/>
              </w:rPr>
              <w:t>293</w:t>
            </w:r>
          </w:p>
        </w:tc>
      </w:tr>
      <w:tr w:rsidR="00A11B3A" w:rsidRPr="00DF6928" w14:paraId="4162C762" w14:textId="77777777" w:rsidTr="00A11B3A">
        <w:tc>
          <w:tcPr>
            <w:tcW w:w="1697" w:type="dxa"/>
            <w:tcBorders>
              <w:top w:val="single" w:sz="4" w:space="0" w:color="auto"/>
              <w:left w:val="nil"/>
              <w:bottom w:val="nil"/>
              <w:right w:val="nil"/>
            </w:tcBorders>
          </w:tcPr>
          <w:p w14:paraId="4A5548BD" w14:textId="77777777" w:rsidR="00A11B3A" w:rsidRPr="00D876CC" w:rsidRDefault="00A11B3A" w:rsidP="00A11B3A">
            <w:pPr>
              <w:jc w:val="center"/>
              <w:rPr>
                <w:sz w:val="22"/>
                <w:szCs w:val="22"/>
                <w:lang w:val="en-CA"/>
              </w:rPr>
            </w:pPr>
          </w:p>
        </w:tc>
        <w:tc>
          <w:tcPr>
            <w:tcW w:w="4309" w:type="dxa"/>
            <w:gridSpan w:val="4"/>
            <w:tcBorders>
              <w:top w:val="single" w:sz="4" w:space="0" w:color="auto"/>
              <w:left w:val="nil"/>
              <w:bottom w:val="nil"/>
              <w:right w:val="single" w:sz="4" w:space="0" w:color="auto"/>
            </w:tcBorders>
          </w:tcPr>
          <w:p w14:paraId="42977266" w14:textId="6479ED2B" w:rsidR="00A11B3A" w:rsidRPr="00D876CC" w:rsidRDefault="00A11B3A" w:rsidP="00A11B3A">
            <w:pPr>
              <w:jc w:val="center"/>
              <w:rPr>
                <w:sz w:val="22"/>
                <w:szCs w:val="22"/>
                <w:lang w:val="en-CA"/>
              </w:rPr>
            </w:pPr>
            <w:r w:rsidRPr="00D876CC">
              <w:rPr>
                <w:sz w:val="22"/>
                <w:szCs w:val="22"/>
                <w:lang w:val="en-CA"/>
              </w:rPr>
              <w:t>Affiliation</w:t>
            </w:r>
            <w:r>
              <w:rPr>
                <w:sz w:val="22"/>
                <w:szCs w:val="22"/>
                <w:lang w:val="en-CA"/>
              </w:rPr>
              <w:t xml:space="preserve"> (% of authors)</w:t>
            </w:r>
          </w:p>
        </w:tc>
        <w:tc>
          <w:tcPr>
            <w:tcW w:w="4310" w:type="dxa"/>
            <w:gridSpan w:val="4"/>
            <w:tcBorders>
              <w:top w:val="single" w:sz="4" w:space="0" w:color="auto"/>
              <w:left w:val="single" w:sz="4" w:space="0" w:color="auto"/>
              <w:bottom w:val="nil"/>
              <w:right w:val="nil"/>
            </w:tcBorders>
          </w:tcPr>
          <w:p w14:paraId="09454488" w14:textId="33BF1A7A" w:rsidR="00A11B3A" w:rsidRPr="00D876CC" w:rsidRDefault="00A11B3A" w:rsidP="00A11B3A">
            <w:pPr>
              <w:jc w:val="center"/>
              <w:rPr>
                <w:sz w:val="22"/>
                <w:szCs w:val="22"/>
                <w:lang w:val="en-CA"/>
              </w:rPr>
            </w:pPr>
            <w:r w:rsidRPr="00D876CC">
              <w:rPr>
                <w:sz w:val="22"/>
                <w:szCs w:val="22"/>
                <w:lang w:val="en-CA"/>
              </w:rPr>
              <w:t>Affiliation</w:t>
            </w:r>
            <w:r>
              <w:rPr>
                <w:sz w:val="22"/>
                <w:szCs w:val="22"/>
                <w:lang w:val="en-CA"/>
              </w:rPr>
              <w:t xml:space="preserve"> (% of authors)</w:t>
            </w:r>
          </w:p>
        </w:tc>
      </w:tr>
      <w:tr w:rsidR="001C62F0" w:rsidRPr="00DF6928" w14:paraId="285DE5DF" w14:textId="77777777" w:rsidTr="00A11B3A">
        <w:tc>
          <w:tcPr>
            <w:tcW w:w="1697" w:type="dxa"/>
            <w:tcBorders>
              <w:top w:val="nil"/>
              <w:left w:val="nil"/>
              <w:bottom w:val="single" w:sz="4" w:space="0" w:color="auto"/>
              <w:right w:val="nil"/>
            </w:tcBorders>
          </w:tcPr>
          <w:p w14:paraId="4DEAC512" w14:textId="77777777" w:rsidR="001C62F0" w:rsidRPr="00D876CC" w:rsidRDefault="001C62F0" w:rsidP="001C62F0">
            <w:pPr>
              <w:jc w:val="center"/>
              <w:rPr>
                <w:sz w:val="22"/>
                <w:szCs w:val="22"/>
                <w:lang w:val="en-CA"/>
              </w:rPr>
            </w:pPr>
          </w:p>
        </w:tc>
        <w:tc>
          <w:tcPr>
            <w:tcW w:w="1077" w:type="dxa"/>
            <w:tcBorders>
              <w:top w:val="nil"/>
              <w:left w:val="nil"/>
              <w:bottom w:val="single" w:sz="4" w:space="0" w:color="auto"/>
              <w:right w:val="nil"/>
            </w:tcBorders>
          </w:tcPr>
          <w:p w14:paraId="429733C8" w14:textId="0408F26F" w:rsidR="001C62F0" w:rsidRPr="00D876CC" w:rsidRDefault="001C62F0" w:rsidP="001C62F0">
            <w:pPr>
              <w:jc w:val="center"/>
              <w:rPr>
                <w:sz w:val="22"/>
                <w:szCs w:val="22"/>
                <w:lang w:val="en-CA"/>
              </w:rPr>
            </w:pPr>
            <w:r w:rsidRPr="00D876CC">
              <w:rPr>
                <w:sz w:val="22"/>
                <w:szCs w:val="22"/>
                <w:lang w:val="en-CA"/>
              </w:rPr>
              <w:t>after 5 years</w:t>
            </w:r>
          </w:p>
        </w:tc>
        <w:tc>
          <w:tcPr>
            <w:tcW w:w="1077" w:type="dxa"/>
            <w:tcBorders>
              <w:top w:val="nil"/>
              <w:left w:val="nil"/>
              <w:bottom w:val="single" w:sz="4" w:space="0" w:color="auto"/>
              <w:right w:val="nil"/>
            </w:tcBorders>
          </w:tcPr>
          <w:p w14:paraId="3DAA5D3E" w14:textId="02A40E90" w:rsidR="001C62F0" w:rsidRPr="00D876CC" w:rsidRDefault="001C62F0" w:rsidP="001C62F0">
            <w:pPr>
              <w:jc w:val="center"/>
              <w:rPr>
                <w:sz w:val="22"/>
                <w:szCs w:val="22"/>
                <w:lang w:val="en-CA"/>
              </w:rPr>
            </w:pPr>
            <w:r w:rsidRPr="00D876CC">
              <w:rPr>
                <w:sz w:val="22"/>
                <w:szCs w:val="22"/>
                <w:lang w:val="en-CA"/>
              </w:rPr>
              <w:t>after 10 years</w:t>
            </w:r>
          </w:p>
        </w:tc>
        <w:tc>
          <w:tcPr>
            <w:tcW w:w="1078" w:type="dxa"/>
            <w:tcBorders>
              <w:top w:val="nil"/>
              <w:left w:val="nil"/>
              <w:bottom w:val="single" w:sz="4" w:space="0" w:color="auto"/>
              <w:right w:val="nil"/>
            </w:tcBorders>
          </w:tcPr>
          <w:p w14:paraId="4BC7E858" w14:textId="40A4E207" w:rsidR="001C62F0" w:rsidRPr="00D876CC" w:rsidRDefault="001C62F0" w:rsidP="001C62F0">
            <w:pPr>
              <w:jc w:val="center"/>
              <w:rPr>
                <w:sz w:val="22"/>
                <w:szCs w:val="22"/>
                <w:lang w:val="en-CA"/>
              </w:rPr>
            </w:pPr>
            <w:r w:rsidRPr="00D876CC">
              <w:rPr>
                <w:sz w:val="22"/>
                <w:szCs w:val="22"/>
                <w:lang w:val="en-CA"/>
              </w:rPr>
              <w:t>after 5 years</w:t>
            </w:r>
          </w:p>
        </w:tc>
        <w:tc>
          <w:tcPr>
            <w:tcW w:w="1077" w:type="dxa"/>
            <w:tcBorders>
              <w:top w:val="nil"/>
              <w:left w:val="nil"/>
              <w:bottom w:val="single" w:sz="4" w:space="0" w:color="auto"/>
              <w:right w:val="single" w:sz="4" w:space="0" w:color="auto"/>
            </w:tcBorders>
          </w:tcPr>
          <w:p w14:paraId="4F29431F" w14:textId="1A08BC5D" w:rsidR="001C62F0" w:rsidRPr="00D876CC" w:rsidRDefault="001C62F0" w:rsidP="001C62F0">
            <w:pPr>
              <w:jc w:val="center"/>
              <w:rPr>
                <w:sz w:val="22"/>
                <w:szCs w:val="22"/>
                <w:lang w:val="en-CA"/>
              </w:rPr>
            </w:pPr>
            <w:r w:rsidRPr="00D876CC">
              <w:rPr>
                <w:sz w:val="22"/>
                <w:szCs w:val="22"/>
                <w:lang w:val="en-CA"/>
              </w:rPr>
              <w:t>after 10 years</w:t>
            </w:r>
          </w:p>
        </w:tc>
        <w:tc>
          <w:tcPr>
            <w:tcW w:w="1077" w:type="dxa"/>
            <w:tcBorders>
              <w:top w:val="nil"/>
              <w:left w:val="single" w:sz="4" w:space="0" w:color="auto"/>
              <w:bottom w:val="single" w:sz="4" w:space="0" w:color="auto"/>
              <w:right w:val="nil"/>
            </w:tcBorders>
          </w:tcPr>
          <w:p w14:paraId="7D00DD37" w14:textId="68D5ADCE" w:rsidR="001C62F0" w:rsidRPr="00D876CC" w:rsidRDefault="001C62F0" w:rsidP="001C62F0">
            <w:pPr>
              <w:jc w:val="center"/>
              <w:rPr>
                <w:sz w:val="22"/>
                <w:szCs w:val="22"/>
                <w:lang w:val="en-CA"/>
              </w:rPr>
            </w:pPr>
            <w:r w:rsidRPr="00D876CC">
              <w:rPr>
                <w:sz w:val="22"/>
                <w:szCs w:val="22"/>
                <w:lang w:val="en-CA"/>
              </w:rPr>
              <w:t>after 10 years</w:t>
            </w:r>
          </w:p>
        </w:tc>
        <w:tc>
          <w:tcPr>
            <w:tcW w:w="1078" w:type="dxa"/>
            <w:tcBorders>
              <w:top w:val="nil"/>
              <w:left w:val="nil"/>
              <w:bottom w:val="single" w:sz="4" w:space="0" w:color="auto"/>
              <w:right w:val="nil"/>
            </w:tcBorders>
          </w:tcPr>
          <w:p w14:paraId="253388D5" w14:textId="76052098" w:rsidR="001C62F0" w:rsidRPr="00D876CC" w:rsidRDefault="001C62F0" w:rsidP="001C62F0">
            <w:pPr>
              <w:jc w:val="center"/>
              <w:rPr>
                <w:sz w:val="22"/>
                <w:szCs w:val="22"/>
                <w:lang w:val="en-CA"/>
              </w:rPr>
            </w:pPr>
            <w:r w:rsidRPr="00D876CC">
              <w:rPr>
                <w:sz w:val="22"/>
                <w:szCs w:val="22"/>
                <w:lang w:val="en-CA"/>
              </w:rPr>
              <w:t>after 20 years</w:t>
            </w:r>
          </w:p>
        </w:tc>
        <w:tc>
          <w:tcPr>
            <w:tcW w:w="1077" w:type="dxa"/>
            <w:tcBorders>
              <w:top w:val="nil"/>
              <w:left w:val="nil"/>
              <w:bottom w:val="single" w:sz="4" w:space="0" w:color="auto"/>
              <w:right w:val="nil"/>
            </w:tcBorders>
          </w:tcPr>
          <w:p w14:paraId="451524FA" w14:textId="7CEF398A" w:rsidR="001C62F0" w:rsidRPr="00D876CC" w:rsidRDefault="001C62F0" w:rsidP="001C62F0">
            <w:pPr>
              <w:jc w:val="center"/>
              <w:rPr>
                <w:sz w:val="22"/>
                <w:szCs w:val="22"/>
                <w:lang w:val="en-CA"/>
              </w:rPr>
            </w:pPr>
            <w:r w:rsidRPr="00D876CC">
              <w:rPr>
                <w:sz w:val="22"/>
                <w:szCs w:val="22"/>
                <w:lang w:val="en-CA"/>
              </w:rPr>
              <w:t>after 10 years</w:t>
            </w:r>
          </w:p>
        </w:tc>
        <w:tc>
          <w:tcPr>
            <w:tcW w:w="1078" w:type="dxa"/>
            <w:tcBorders>
              <w:top w:val="nil"/>
              <w:left w:val="nil"/>
              <w:bottom w:val="single" w:sz="4" w:space="0" w:color="auto"/>
              <w:right w:val="nil"/>
            </w:tcBorders>
          </w:tcPr>
          <w:p w14:paraId="57385D3E" w14:textId="338E1AEB" w:rsidR="001C62F0" w:rsidRPr="00D876CC" w:rsidRDefault="001C62F0" w:rsidP="001C62F0">
            <w:pPr>
              <w:jc w:val="center"/>
              <w:rPr>
                <w:sz w:val="22"/>
                <w:szCs w:val="22"/>
                <w:lang w:val="en-CA"/>
              </w:rPr>
            </w:pPr>
            <w:r w:rsidRPr="00D876CC">
              <w:rPr>
                <w:sz w:val="22"/>
                <w:szCs w:val="22"/>
                <w:lang w:val="en-CA"/>
              </w:rPr>
              <w:t>after 20 years</w:t>
            </w:r>
          </w:p>
        </w:tc>
      </w:tr>
      <w:tr w:rsidR="001C62F0" w:rsidRPr="00DF6928" w14:paraId="6BDD7EE2" w14:textId="77777777" w:rsidTr="00A11B3A">
        <w:tc>
          <w:tcPr>
            <w:tcW w:w="1697" w:type="dxa"/>
            <w:tcBorders>
              <w:top w:val="single" w:sz="4" w:space="0" w:color="auto"/>
              <w:left w:val="nil"/>
              <w:bottom w:val="nil"/>
              <w:right w:val="nil"/>
            </w:tcBorders>
          </w:tcPr>
          <w:p w14:paraId="1A1E51B7" w14:textId="1CEE2B5F" w:rsidR="001C62F0" w:rsidRPr="00D876CC" w:rsidRDefault="001C62F0" w:rsidP="00A11B3A">
            <w:pPr>
              <w:rPr>
                <w:sz w:val="22"/>
                <w:szCs w:val="22"/>
                <w:lang w:val="en-CA"/>
              </w:rPr>
            </w:pPr>
            <w:r w:rsidRPr="00D876CC">
              <w:rPr>
                <w:sz w:val="22"/>
                <w:szCs w:val="22"/>
                <w:lang w:val="en-CA"/>
              </w:rPr>
              <w:t>University rank</w:t>
            </w:r>
          </w:p>
        </w:tc>
        <w:tc>
          <w:tcPr>
            <w:tcW w:w="1077" w:type="dxa"/>
            <w:tcBorders>
              <w:top w:val="single" w:sz="4" w:space="0" w:color="auto"/>
              <w:left w:val="nil"/>
              <w:bottom w:val="nil"/>
              <w:right w:val="nil"/>
            </w:tcBorders>
          </w:tcPr>
          <w:p w14:paraId="18319E91" w14:textId="77777777" w:rsidR="001C62F0" w:rsidRPr="00D876CC" w:rsidRDefault="001C62F0" w:rsidP="001C62F0">
            <w:pPr>
              <w:rPr>
                <w:sz w:val="22"/>
                <w:szCs w:val="22"/>
                <w:lang w:val="en-CA"/>
              </w:rPr>
            </w:pPr>
          </w:p>
        </w:tc>
        <w:tc>
          <w:tcPr>
            <w:tcW w:w="1077" w:type="dxa"/>
            <w:tcBorders>
              <w:top w:val="single" w:sz="4" w:space="0" w:color="auto"/>
              <w:left w:val="nil"/>
              <w:bottom w:val="nil"/>
              <w:right w:val="nil"/>
            </w:tcBorders>
          </w:tcPr>
          <w:p w14:paraId="429CE649" w14:textId="77777777" w:rsidR="001C62F0" w:rsidRPr="00D876CC" w:rsidRDefault="001C62F0" w:rsidP="001C62F0">
            <w:pPr>
              <w:rPr>
                <w:sz w:val="22"/>
                <w:szCs w:val="22"/>
                <w:lang w:val="en-CA"/>
              </w:rPr>
            </w:pPr>
          </w:p>
        </w:tc>
        <w:tc>
          <w:tcPr>
            <w:tcW w:w="1078" w:type="dxa"/>
            <w:tcBorders>
              <w:top w:val="single" w:sz="4" w:space="0" w:color="auto"/>
              <w:left w:val="nil"/>
              <w:bottom w:val="nil"/>
              <w:right w:val="nil"/>
            </w:tcBorders>
          </w:tcPr>
          <w:p w14:paraId="183B4E8C" w14:textId="77777777" w:rsidR="001C62F0" w:rsidRPr="00D876CC" w:rsidRDefault="001C62F0" w:rsidP="001C62F0">
            <w:pPr>
              <w:rPr>
                <w:sz w:val="22"/>
                <w:szCs w:val="22"/>
                <w:lang w:val="en-CA"/>
              </w:rPr>
            </w:pPr>
          </w:p>
        </w:tc>
        <w:tc>
          <w:tcPr>
            <w:tcW w:w="1077" w:type="dxa"/>
            <w:tcBorders>
              <w:top w:val="single" w:sz="4" w:space="0" w:color="auto"/>
              <w:left w:val="nil"/>
              <w:bottom w:val="nil"/>
              <w:right w:val="single" w:sz="4" w:space="0" w:color="auto"/>
            </w:tcBorders>
          </w:tcPr>
          <w:p w14:paraId="36410409" w14:textId="77777777" w:rsidR="001C62F0" w:rsidRPr="00D876CC" w:rsidRDefault="001C62F0" w:rsidP="001C62F0">
            <w:pPr>
              <w:rPr>
                <w:sz w:val="22"/>
                <w:szCs w:val="22"/>
                <w:lang w:val="en-CA"/>
              </w:rPr>
            </w:pPr>
          </w:p>
        </w:tc>
        <w:tc>
          <w:tcPr>
            <w:tcW w:w="1077" w:type="dxa"/>
            <w:tcBorders>
              <w:top w:val="single" w:sz="4" w:space="0" w:color="auto"/>
              <w:left w:val="single" w:sz="4" w:space="0" w:color="auto"/>
              <w:bottom w:val="nil"/>
              <w:right w:val="nil"/>
            </w:tcBorders>
          </w:tcPr>
          <w:p w14:paraId="7744A96E" w14:textId="77777777" w:rsidR="001C62F0" w:rsidRPr="00D876CC" w:rsidRDefault="001C62F0" w:rsidP="001C62F0">
            <w:pPr>
              <w:rPr>
                <w:sz w:val="22"/>
                <w:szCs w:val="22"/>
                <w:lang w:val="en-CA"/>
              </w:rPr>
            </w:pPr>
          </w:p>
        </w:tc>
        <w:tc>
          <w:tcPr>
            <w:tcW w:w="1078" w:type="dxa"/>
            <w:tcBorders>
              <w:top w:val="single" w:sz="4" w:space="0" w:color="auto"/>
              <w:left w:val="nil"/>
              <w:bottom w:val="nil"/>
              <w:right w:val="nil"/>
            </w:tcBorders>
          </w:tcPr>
          <w:p w14:paraId="2024CAD6" w14:textId="77777777" w:rsidR="001C62F0" w:rsidRPr="00D876CC" w:rsidRDefault="001C62F0" w:rsidP="001C62F0">
            <w:pPr>
              <w:rPr>
                <w:sz w:val="22"/>
                <w:szCs w:val="22"/>
                <w:lang w:val="en-CA"/>
              </w:rPr>
            </w:pPr>
          </w:p>
        </w:tc>
        <w:tc>
          <w:tcPr>
            <w:tcW w:w="1077" w:type="dxa"/>
            <w:tcBorders>
              <w:top w:val="single" w:sz="4" w:space="0" w:color="auto"/>
              <w:left w:val="nil"/>
              <w:bottom w:val="nil"/>
              <w:right w:val="nil"/>
            </w:tcBorders>
          </w:tcPr>
          <w:p w14:paraId="3E86408B" w14:textId="77777777" w:rsidR="001C62F0" w:rsidRPr="00D876CC" w:rsidRDefault="001C62F0" w:rsidP="001C62F0">
            <w:pPr>
              <w:rPr>
                <w:sz w:val="22"/>
                <w:szCs w:val="22"/>
                <w:lang w:val="en-CA"/>
              </w:rPr>
            </w:pPr>
          </w:p>
        </w:tc>
        <w:tc>
          <w:tcPr>
            <w:tcW w:w="1078" w:type="dxa"/>
            <w:tcBorders>
              <w:top w:val="single" w:sz="4" w:space="0" w:color="auto"/>
              <w:left w:val="nil"/>
              <w:bottom w:val="nil"/>
              <w:right w:val="nil"/>
            </w:tcBorders>
          </w:tcPr>
          <w:p w14:paraId="3F66F54E" w14:textId="77777777" w:rsidR="001C62F0" w:rsidRPr="00D876CC" w:rsidRDefault="001C62F0" w:rsidP="001C62F0">
            <w:pPr>
              <w:rPr>
                <w:sz w:val="22"/>
                <w:szCs w:val="22"/>
                <w:lang w:val="en-CA"/>
              </w:rPr>
            </w:pPr>
          </w:p>
        </w:tc>
      </w:tr>
      <w:tr w:rsidR="001C62F0" w:rsidRPr="00DF6928" w14:paraId="4372BE7F" w14:textId="77777777" w:rsidTr="00A11B3A">
        <w:tc>
          <w:tcPr>
            <w:tcW w:w="1697" w:type="dxa"/>
            <w:tcBorders>
              <w:top w:val="nil"/>
              <w:left w:val="nil"/>
              <w:bottom w:val="nil"/>
              <w:right w:val="nil"/>
            </w:tcBorders>
          </w:tcPr>
          <w:p w14:paraId="596DFB4E" w14:textId="50D0DAF0" w:rsidR="001C62F0" w:rsidRPr="00D876CC" w:rsidRDefault="001C62F0" w:rsidP="00A11B3A">
            <w:pPr>
              <w:rPr>
                <w:sz w:val="22"/>
                <w:szCs w:val="22"/>
                <w:lang w:val="en-CA"/>
              </w:rPr>
            </w:pPr>
            <w:r w:rsidRPr="00D876CC">
              <w:rPr>
                <w:sz w:val="22"/>
                <w:szCs w:val="22"/>
                <w:lang w:val="en-CA"/>
              </w:rPr>
              <w:t>Less than 100</w:t>
            </w:r>
          </w:p>
        </w:tc>
        <w:tc>
          <w:tcPr>
            <w:tcW w:w="1077" w:type="dxa"/>
            <w:tcBorders>
              <w:top w:val="nil"/>
              <w:left w:val="nil"/>
              <w:bottom w:val="nil"/>
              <w:right w:val="nil"/>
            </w:tcBorders>
            <w:vAlign w:val="bottom"/>
          </w:tcPr>
          <w:p w14:paraId="6B4EC05E" w14:textId="456784F3" w:rsidR="001C62F0" w:rsidRPr="00D876CC" w:rsidRDefault="001C62F0" w:rsidP="001C62F0">
            <w:pPr>
              <w:jc w:val="center"/>
              <w:rPr>
                <w:sz w:val="22"/>
                <w:szCs w:val="22"/>
                <w:lang w:val="en-CA"/>
              </w:rPr>
            </w:pPr>
            <w:r w:rsidRPr="00D876CC">
              <w:rPr>
                <w:sz w:val="22"/>
                <w:szCs w:val="22"/>
                <w:lang w:val="en-CA"/>
              </w:rPr>
              <w:t>4.5</w:t>
            </w:r>
          </w:p>
        </w:tc>
        <w:tc>
          <w:tcPr>
            <w:tcW w:w="1077" w:type="dxa"/>
            <w:tcBorders>
              <w:top w:val="nil"/>
              <w:left w:val="nil"/>
              <w:bottom w:val="nil"/>
              <w:right w:val="nil"/>
            </w:tcBorders>
            <w:vAlign w:val="bottom"/>
          </w:tcPr>
          <w:p w14:paraId="4736B89B" w14:textId="2239DC62" w:rsidR="001C62F0" w:rsidRPr="00D876CC" w:rsidRDefault="001C62F0" w:rsidP="001C62F0">
            <w:pPr>
              <w:jc w:val="center"/>
              <w:rPr>
                <w:sz w:val="22"/>
                <w:szCs w:val="22"/>
                <w:lang w:val="en-CA"/>
              </w:rPr>
            </w:pPr>
            <w:r w:rsidRPr="00D876CC">
              <w:rPr>
                <w:sz w:val="22"/>
                <w:szCs w:val="22"/>
                <w:lang w:val="en-CA"/>
              </w:rPr>
              <w:t>8.3</w:t>
            </w:r>
          </w:p>
        </w:tc>
        <w:tc>
          <w:tcPr>
            <w:tcW w:w="1078" w:type="dxa"/>
            <w:tcBorders>
              <w:top w:val="nil"/>
              <w:left w:val="nil"/>
              <w:bottom w:val="nil"/>
              <w:right w:val="nil"/>
            </w:tcBorders>
            <w:vAlign w:val="bottom"/>
          </w:tcPr>
          <w:p w14:paraId="1954DFDD" w14:textId="20C85141" w:rsidR="001C62F0" w:rsidRPr="00D876CC" w:rsidRDefault="001C62F0" w:rsidP="001C62F0">
            <w:pPr>
              <w:jc w:val="center"/>
              <w:rPr>
                <w:sz w:val="22"/>
                <w:szCs w:val="22"/>
                <w:lang w:val="en-CA"/>
              </w:rPr>
            </w:pPr>
            <w:r w:rsidRPr="00D876CC">
              <w:rPr>
                <w:sz w:val="22"/>
                <w:szCs w:val="22"/>
                <w:lang w:val="en-CA"/>
              </w:rPr>
              <w:t>6.6</w:t>
            </w:r>
          </w:p>
        </w:tc>
        <w:tc>
          <w:tcPr>
            <w:tcW w:w="1077" w:type="dxa"/>
            <w:tcBorders>
              <w:top w:val="nil"/>
              <w:left w:val="nil"/>
              <w:bottom w:val="nil"/>
              <w:right w:val="single" w:sz="4" w:space="0" w:color="auto"/>
            </w:tcBorders>
            <w:vAlign w:val="bottom"/>
          </w:tcPr>
          <w:p w14:paraId="681CD4AF" w14:textId="198C6CD2" w:rsidR="001C62F0" w:rsidRPr="00D876CC" w:rsidRDefault="001C62F0" w:rsidP="001C62F0">
            <w:pPr>
              <w:jc w:val="center"/>
              <w:rPr>
                <w:sz w:val="22"/>
                <w:szCs w:val="22"/>
                <w:lang w:val="en-CA"/>
              </w:rPr>
            </w:pPr>
            <w:r w:rsidRPr="00D876CC">
              <w:rPr>
                <w:sz w:val="22"/>
                <w:szCs w:val="22"/>
                <w:lang w:val="en-CA"/>
              </w:rPr>
              <w:t>15.5</w:t>
            </w:r>
          </w:p>
        </w:tc>
        <w:tc>
          <w:tcPr>
            <w:tcW w:w="1077" w:type="dxa"/>
            <w:tcBorders>
              <w:top w:val="nil"/>
              <w:left w:val="single" w:sz="4" w:space="0" w:color="auto"/>
              <w:bottom w:val="nil"/>
              <w:right w:val="nil"/>
            </w:tcBorders>
            <w:vAlign w:val="bottom"/>
          </w:tcPr>
          <w:p w14:paraId="35182EA4" w14:textId="3B376824" w:rsidR="001C62F0" w:rsidRPr="00D876CC" w:rsidRDefault="001C62F0" w:rsidP="001C62F0">
            <w:pPr>
              <w:jc w:val="center"/>
              <w:rPr>
                <w:sz w:val="22"/>
                <w:szCs w:val="22"/>
                <w:lang w:val="en-CA"/>
              </w:rPr>
            </w:pPr>
            <w:r w:rsidRPr="00D876CC">
              <w:rPr>
                <w:sz w:val="22"/>
                <w:szCs w:val="22"/>
                <w:lang w:val="en-CA"/>
              </w:rPr>
              <w:t>4.6</w:t>
            </w:r>
          </w:p>
        </w:tc>
        <w:tc>
          <w:tcPr>
            <w:tcW w:w="1078" w:type="dxa"/>
            <w:tcBorders>
              <w:top w:val="nil"/>
              <w:left w:val="nil"/>
              <w:bottom w:val="nil"/>
              <w:right w:val="nil"/>
            </w:tcBorders>
            <w:vAlign w:val="bottom"/>
          </w:tcPr>
          <w:p w14:paraId="7BC22716" w14:textId="0BCF8D1A" w:rsidR="001C62F0" w:rsidRPr="00D876CC" w:rsidRDefault="001C62F0" w:rsidP="001C62F0">
            <w:pPr>
              <w:jc w:val="center"/>
              <w:rPr>
                <w:sz w:val="22"/>
                <w:szCs w:val="22"/>
                <w:lang w:val="en-CA"/>
              </w:rPr>
            </w:pPr>
            <w:r w:rsidRPr="00D876CC">
              <w:rPr>
                <w:sz w:val="22"/>
                <w:szCs w:val="22"/>
                <w:lang w:val="en-CA"/>
              </w:rPr>
              <w:t>10.3</w:t>
            </w:r>
          </w:p>
        </w:tc>
        <w:tc>
          <w:tcPr>
            <w:tcW w:w="1077" w:type="dxa"/>
            <w:tcBorders>
              <w:top w:val="nil"/>
              <w:left w:val="nil"/>
              <w:bottom w:val="nil"/>
              <w:right w:val="nil"/>
            </w:tcBorders>
            <w:vAlign w:val="bottom"/>
          </w:tcPr>
          <w:p w14:paraId="62626B34" w14:textId="3464E3C1" w:rsidR="001C62F0" w:rsidRPr="00D876CC" w:rsidRDefault="001C62F0" w:rsidP="001C62F0">
            <w:pPr>
              <w:jc w:val="center"/>
              <w:rPr>
                <w:sz w:val="22"/>
                <w:szCs w:val="22"/>
                <w:lang w:val="en-CA"/>
              </w:rPr>
            </w:pPr>
            <w:r w:rsidRPr="00D876CC">
              <w:rPr>
                <w:sz w:val="22"/>
                <w:szCs w:val="22"/>
                <w:lang w:val="en-CA"/>
              </w:rPr>
              <w:t>7.8</w:t>
            </w:r>
          </w:p>
        </w:tc>
        <w:tc>
          <w:tcPr>
            <w:tcW w:w="1078" w:type="dxa"/>
            <w:tcBorders>
              <w:top w:val="nil"/>
              <w:left w:val="nil"/>
              <w:bottom w:val="nil"/>
              <w:right w:val="nil"/>
            </w:tcBorders>
            <w:vAlign w:val="bottom"/>
          </w:tcPr>
          <w:p w14:paraId="74B79F9A" w14:textId="1498080C" w:rsidR="001C62F0" w:rsidRPr="00D876CC" w:rsidRDefault="001C62F0" w:rsidP="001C62F0">
            <w:pPr>
              <w:jc w:val="center"/>
              <w:rPr>
                <w:sz w:val="22"/>
                <w:szCs w:val="22"/>
                <w:lang w:val="en-CA"/>
              </w:rPr>
            </w:pPr>
            <w:r w:rsidRPr="00D876CC">
              <w:rPr>
                <w:sz w:val="22"/>
                <w:szCs w:val="22"/>
                <w:lang w:val="en-CA"/>
              </w:rPr>
              <w:t>14.0</w:t>
            </w:r>
          </w:p>
        </w:tc>
      </w:tr>
      <w:tr w:rsidR="001C62F0" w:rsidRPr="00DF6928" w14:paraId="7BA42657" w14:textId="77777777" w:rsidTr="00A11B3A">
        <w:tc>
          <w:tcPr>
            <w:tcW w:w="1697" w:type="dxa"/>
            <w:tcBorders>
              <w:top w:val="nil"/>
              <w:left w:val="nil"/>
              <w:bottom w:val="nil"/>
              <w:right w:val="nil"/>
            </w:tcBorders>
          </w:tcPr>
          <w:p w14:paraId="62122BBC" w14:textId="09B317CC" w:rsidR="001C62F0" w:rsidRPr="00D876CC" w:rsidRDefault="001C62F0" w:rsidP="00A11B3A">
            <w:pPr>
              <w:rPr>
                <w:sz w:val="22"/>
                <w:szCs w:val="22"/>
                <w:lang w:val="en-CA"/>
              </w:rPr>
            </w:pPr>
            <w:r w:rsidRPr="00D876CC">
              <w:rPr>
                <w:sz w:val="22"/>
                <w:szCs w:val="22"/>
                <w:lang w:val="en-CA"/>
              </w:rPr>
              <w:t>Top 51-100</w:t>
            </w:r>
          </w:p>
        </w:tc>
        <w:tc>
          <w:tcPr>
            <w:tcW w:w="1077" w:type="dxa"/>
            <w:tcBorders>
              <w:top w:val="nil"/>
              <w:left w:val="nil"/>
              <w:bottom w:val="nil"/>
              <w:right w:val="nil"/>
            </w:tcBorders>
            <w:vAlign w:val="bottom"/>
          </w:tcPr>
          <w:p w14:paraId="6E24A941" w14:textId="2F6434D2" w:rsidR="001C62F0" w:rsidRPr="00D876CC" w:rsidRDefault="001C62F0" w:rsidP="001C62F0">
            <w:pPr>
              <w:jc w:val="center"/>
              <w:rPr>
                <w:sz w:val="22"/>
                <w:szCs w:val="22"/>
                <w:lang w:val="en-CA"/>
              </w:rPr>
            </w:pPr>
            <w:r w:rsidRPr="00D876CC">
              <w:rPr>
                <w:sz w:val="22"/>
                <w:szCs w:val="22"/>
                <w:lang w:val="en-CA"/>
              </w:rPr>
              <w:t>2.9</w:t>
            </w:r>
          </w:p>
        </w:tc>
        <w:tc>
          <w:tcPr>
            <w:tcW w:w="1077" w:type="dxa"/>
            <w:tcBorders>
              <w:top w:val="nil"/>
              <w:left w:val="nil"/>
              <w:bottom w:val="nil"/>
              <w:right w:val="nil"/>
            </w:tcBorders>
            <w:vAlign w:val="bottom"/>
          </w:tcPr>
          <w:p w14:paraId="0F7E1A47" w14:textId="272A70E6" w:rsidR="001C62F0" w:rsidRPr="00D876CC" w:rsidRDefault="001C62F0" w:rsidP="001C62F0">
            <w:pPr>
              <w:jc w:val="center"/>
              <w:rPr>
                <w:sz w:val="22"/>
                <w:szCs w:val="22"/>
                <w:lang w:val="en-CA"/>
              </w:rPr>
            </w:pPr>
            <w:r w:rsidRPr="00D876CC">
              <w:rPr>
                <w:sz w:val="22"/>
                <w:szCs w:val="22"/>
                <w:lang w:val="en-CA"/>
              </w:rPr>
              <w:t>5.3</w:t>
            </w:r>
          </w:p>
        </w:tc>
        <w:tc>
          <w:tcPr>
            <w:tcW w:w="1078" w:type="dxa"/>
            <w:tcBorders>
              <w:top w:val="nil"/>
              <w:left w:val="nil"/>
              <w:bottom w:val="nil"/>
              <w:right w:val="nil"/>
            </w:tcBorders>
            <w:vAlign w:val="bottom"/>
          </w:tcPr>
          <w:p w14:paraId="73C2CC6A" w14:textId="3FE1E030" w:rsidR="001C62F0" w:rsidRPr="00D876CC" w:rsidRDefault="001C62F0" w:rsidP="001C62F0">
            <w:pPr>
              <w:jc w:val="center"/>
              <w:rPr>
                <w:sz w:val="22"/>
                <w:szCs w:val="22"/>
                <w:lang w:val="en-CA"/>
              </w:rPr>
            </w:pPr>
            <w:r w:rsidRPr="00D876CC">
              <w:rPr>
                <w:sz w:val="22"/>
                <w:szCs w:val="22"/>
                <w:lang w:val="en-CA"/>
              </w:rPr>
              <w:t>89.2</w:t>
            </w:r>
          </w:p>
        </w:tc>
        <w:tc>
          <w:tcPr>
            <w:tcW w:w="1077" w:type="dxa"/>
            <w:tcBorders>
              <w:top w:val="nil"/>
              <w:left w:val="nil"/>
              <w:bottom w:val="nil"/>
              <w:right w:val="single" w:sz="4" w:space="0" w:color="auto"/>
            </w:tcBorders>
            <w:vAlign w:val="bottom"/>
          </w:tcPr>
          <w:p w14:paraId="1328E84F" w14:textId="1660C5AE" w:rsidR="001C62F0" w:rsidRPr="00D876CC" w:rsidRDefault="001C62F0" w:rsidP="001C62F0">
            <w:pPr>
              <w:jc w:val="center"/>
              <w:rPr>
                <w:sz w:val="22"/>
                <w:szCs w:val="22"/>
                <w:lang w:val="en-CA"/>
              </w:rPr>
            </w:pPr>
            <w:r w:rsidRPr="00D876CC">
              <w:rPr>
                <w:sz w:val="22"/>
                <w:szCs w:val="22"/>
                <w:lang w:val="en-CA"/>
              </w:rPr>
              <w:t>78.8</w:t>
            </w:r>
          </w:p>
        </w:tc>
        <w:tc>
          <w:tcPr>
            <w:tcW w:w="1077" w:type="dxa"/>
            <w:tcBorders>
              <w:top w:val="nil"/>
              <w:left w:val="single" w:sz="4" w:space="0" w:color="auto"/>
              <w:bottom w:val="nil"/>
              <w:right w:val="nil"/>
            </w:tcBorders>
            <w:vAlign w:val="bottom"/>
          </w:tcPr>
          <w:p w14:paraId="2364E476" w14:textId="57A2FB3A" w:rsidR="001C62F0" w:rsidRPr="00D876CC" w:rsidRDefault="001C62F0" w:rsidP="001C62F0">
            <w:pPr>
              <w:jc w:val="center"/>
              <w:rPr>
                <w:sz w:val="22"/>
                <w:szCs w:val="22"/>
                <w:lang w:val="en-CA"/>
              </w:rPr>
            </w:pPr>
            <w:r w:rsidRPr="00D876CC">
              <w:rPr>
                <w:sz w:val="22"/>
                <w:szCs w:val="22"/>
                <w:lang w:val="en-CA"/>
              </w:rPr>
              <w:t>4.5</w:t>
            </w:r>
          </w:p>
        </w:tc>
        <w:tc>
          <w:tcPr>
            <w:tcW w:w="1078" w:type="dxa"/>
            <w:tcBorders>
              <w:top w:val="nil"/>
              <w:left w:val="nil"/>
              <w:bottom w:val="nil"/>
              <w:right w:val="nil"/>
            </w:tcBorders>
            <w:vAlign w:val="bottom"/>
          </w:tcPr>
          <w:p w14:paraId="709D3A76" w14:textId="78C72B28" w:rsidR="001C62F0" w:rsidRPr="00D876CC" w:rsidRDefault="001C62F0" w:rsidP="001C62F0">
            <w:pPr>
              <w:jc w:val="center"/>
              <w:rPr>
                <w:sz w:val="22"/>
                <w:szCs w:val="22"/>
                <w:lang w:val="en-CA"/>
              </w:rPr>
            </w:pPr>
            <w:r w:rsidRPr="00D876CC">
              <w:rPr>
                <w:sz w:val="22"/>
                <w:szCs w:val="22"/>
                <w:lang w:val="en-CA"/>
              </w:rPr>
              <w:t>6.4</w:t>
            </w:r>
          </w:p>
        </w:tc>
        <w:tc>
          <w:tcPr>
            <w:tcW w:w="1077" w:type="dxa"/>
            <w:tcBorders>
              <w:top w:val="nil"/>
              <w:left w:val="nil"/>
              <w:bottom w:val="nil"/>
              <w:right w:val="nil"/>
            </w:tcBorders>
            <w:vAlign w:val="bottom"/>
          </w:tcPr>
          <w:p w14:paraId="5AD8B887" w14:textId="1D823DA1" w:rsidR="001C62F0" w:rsidRPr="00D876CC" w:rsidRDefault="001C62F0" w:rsidP="001C62F0">
            <w:pPr>
              <w:jc w:val="center"/>
              <w:rPr>
                <w:sz w:val="22"/>
                <w:szCs w:val="22"/>
                <w:lang w:val="en-CA"/>
              </w:rPr>
            </w:pPr>
            <w:r w:rsidRPr="00D876CC">
              <w:rPr>
                <w:sz w:val="22"/>
                <w:szCs w:val="22"/>
                <w:lang w:val="en-CA"/>
              </w:rPr>
              <w:t>86.7</w:t>
            </w:r>
          </w:p>
        </w:tc>
        <w:tc>
          <w:tcPr>
            <w:tcW w:w="1078" w:type="dxa"/>
            <w:tcBorders>
              <w:top w:val="nil"/>
              <w:left w:val="nil"/>
              <w:bottom w:val="nil"/>
              <w:right w:val="nil"/>
            </w:tcBorders>
            <w:vAlign w:val="bottom"/>
          </w:tcPr>
          <w:p w14:paraId="472BF007" w14:textId="571D2818" w:rsidR="001C62F0" w:rsidRPr="00D876CC" w:rsidRDefault="001C62F0" w:rsidP="001C62F0">
            <w:pPr>
              <w:jc w:val="center"/>
              <w:rPr>
                <w:sz w:val="22"/>
                <w:szCs w:val="22"/>
                <w:lang w:val="en-CA"/>
              </w:rPr>
            </w:pPr>
            <w:r w:rsidRPr="00D876CC">
              <w:rPr>
                <w:sz w:val="22"/>
                <w:szCs w:val="22"/>
                <w:lang w:val="en-CA"/>
              </w:rPr>
              <w:t>76.1</w:t>
            </w:r>
          </w:p>
        </w:tc>
      </w:tr>
      <w:tr w:rsidR="001C62F0" w:rsidRPr="00DF6928" w14:paraId="42EBA072" w14:textId="77777777" w:rsidTr="00A11B3A">
        <w:tc>
          <w:tcPr>
            <w:tcW w:w="1697" w:type="dxa"/>
            <w:tcBorders>
              <w:top w:val="nil"/>
              <w:left w:val="nil"/>
              <w:bottom w:val="nil"/>
              <w:right w:val="nil"/>
            </w:tcBorders>
          </w:tcPr>
          <w:p w14:paraId="24D42BE1" w14:textId="0118CB34" w:rsidR="001C62F0" w:rsidRPr="00D876CC" w:rsidRDefault="001C62F0" w:rsidP="00A11B3A">
            <w:pPr>
              <w:rPr>
                <w:sz w:val="22"/>
                <w:szCs w:val="22"/>
                <w:lang w:val="en-CA"/>
              </w:rPr>
            </w:pPr>
            <w:r w:rsidRPr="00D876CC">
              <w:rPr>
                <w:sz w:val="22"/>
                <w:szCs w:val="22"/>
                <w:lang w:val="en-CA"/>
              </w:rPr>
              <w:t>Top 21-50</w:t>
            </w:r>
          </w:p>
        </w:tc>
        <w:tc>
          <w:tcPr>
            <w:tcW w:w="1077" w:type="dxa"/>
            <w:tcBorders>
              <w:top w:val="nil"/>
              <w:left w:val="nil"/>
              <w:bottom w:val="nil"/>
              <w:right w:val="nil"/>
            </w:tcBorders>
            <w:vAlign w:val="bottom"/>
          </w:tcPr>
          <w:p w14:paraId="7AA41680" w14:textId="324B2E43" w:rsidR="001C62F0" w:rsidRPr="00D876CC" w:rsidRDefault="001C62F0" w:rsidP="001C62F0">
            <w:pPr>
              <w:jc w:val="center"/>
              <w:rPr>
                <w:sz w:val="22"/>
                <w:szCs w:val="22"/>
                <w:lang w:val="en-CA"/>
              </w:rPr>
            </w:pPr>
            <w:r w:rsidRPr="00D876CC">
              <w:rPr>
                <w:sz w:val="22"/>
                <w:szCs w:val="22"/>
                <w:lang w:val="en-CA"/>
              </w:rPr>
              <w:t>4.2</w:t>
            </w:r>
          </w:p>
        </w:tc>
        <w:tc>
          <w:tcPr>
            <w:tcW w:w="1077" w:type="dxa"/>
            <w:tcBorders>
              <w:top w:val="nil"/>
              <w:left w:val="nil"/>
              <w:bottom w:val="nil"/>
              <w:right w:val="nil"/>
            </w:tcBorders>
            <w:vAlign w:val="bottom"/>
          </w:tcPr>
          <w:p w14:paraId="04001C72" w14:textId="62D52CF4" w:rsidR="001C62F0" w:rsidRPr="00D876CC" w:rsidRDefault="001C62F0" w:rsidP="001C62F0">
            <w:pPr>
              <w:jc w:val="center"/>
              <w:rPr>
                <w:sz w:val="22"/>
                <w:szCs w:val="22"/>
                <w:lang w:val="en-CA"/>
              </w:rPr>
            </w:pPr>
            <w:r w:rsidRPr="00D876CC">
              <w:rPr>
                <w:sz w:val="22"/>
                <w:szCs w:val="22"/>
                <w:lang w:val="en-CA"/>
              </w:rPr>
              <w:t>7.7</w:t>
            </w:r>
          </w:p>
        </w:tc>
        <w:tc>
          <w:tcPr>
            <w:tcW w:w="1078" w:type="dxa"/>
            <w:tcBorders>
              <w:top w:val="nil"/>
              <w:left w:val="nil"/>
              <w:bottom w:val="nil"/>
              <w:right w:val="nil"/>
            </w:tcBorders>
            <w:vAlign w:val="bottom"/>
          </w:tcPr>
          <w:p w14:paraId="13500347" w14:textId="57626668" w:rsidR="001C62F0" w:rsidRPr="00D876CC" w:rsidRDefault="001C62F0" w:rsidP="001C62F0">
            <w:pPr>
              <w:jc w:val="center"/>
              <w:rPr>
                <w:sz w:val="22"/>
                <w:szCs w:val="22"/>
                <w:lang w:val="en-CA"/>
              </w:rPr>
            </w:pPr>
            <w:r w:rsidRPr="00D876CC">
              <w:rPr>
                <w:sz w:val="22"/>
                <w:szCs w:val="22"/>
                <w:lang w:val="en-CA"/>
              </w:rPr>
              <w:t>2.2</w:t>
            </w:r>
          </w:p>
        </w:tc>
        <w:tc>
          <w:tcPr>
            <w:tcW w:w="1077" w:type="dxa"/>
            <w:tcBorders>
              <w:top w:val="nil"/>
              <w:left w:val="nil"/>
              <w:bottom w:val="nil"/>
              <w:right w:val="single" w:sz="4" w:space="0" w:color="auto"/>
            </w:tcBorders>
            <w:vAlign w:val="bottom"/>
          </w:tcPr>
          <w:p w14:paraId="7F9A87AA" w14:textId="580D6ECE" w:rsidR="001C62F0" w:rsidRPr="00D876CC" w:rsidRDefault="001C62F0" w:rsidP="001C62F0">
            <w:pPr>
              <w:jc w:val="center"/>
              <w:rPr>
                <w:sz w:val="22"/>
                <w:szCs w:val="22"/>
                <w:lang w:val="en-CA"/>
              </w:rPr>
            </w:pPr>
            <w:r w:rsidRPr="00D876CC">
              <w:rPr>
                <w:sz w:val="22"/>
                <w:szCs w:val="22"/>
                <w:lang w:val="en-CA"/>
              </w:rPr>
              <w:t>3.4</w:t>
            </w:r>
          </w:p>
        </w:tc>
        <w:tc>
          <w:tcPr>
            <w:tcW w:w="1077" w:type="dxa"/>
            <w:tcBorders>
              <w:top w:val="nil"/>
              <w:left w:val="single" w:sz="4" w:space="0" w:color="auto"/>
              <w:bottom w:val="nil"/>
              <w:right w:val="nil"/>
            </w:tcBorders>
            <w:vAlign w:val="bottom"/>
          </w:tcPr>
          <w:p w14:paraId="665392E5" w14:textId="228CCB38" w:rsidR="001C62F0" w:rsidRPr="00D876CC" w:rsidRDefault="001C62F0" w:rsidP="001C62F0">
            <w:pPr>
              <w:jc w:val="center"/>
              <w:rPr>
                <w:sz w:val="22"/>
                <w:szCs w:val="22"/>
                <w:lang w:val="en-CA"/>
              </w:rPr>
            </w:pPr>
            <w:r w:rsidRPr="00D876CC">
              <w:rPr>
                <w:sz w:val="22"/>
                <w:szCs w:val="22"/>
                <w:lang w:val="en-CA"/>
              </w:rPr>
              <w:t>7.7</w:t>
            </w:r>
          </w:p>
        </w:tc>
        <w:tc>
          <w:tcPr>
            <w:tcW w:w="1078" w:type="dxa"/>
            <w:tcBorders>
              <w:top w:val="nil"/>
              <w:left w:val="nil"/>
              <w:bottom w:val="nil"/>
              <w:right w:val="nil"/>
            </w:tcBorders>
            <w:vAlign w:val="bottom"/>
          </w:tcPr>
          <w:p w14:paraId="2F374B10" w14:textId="151243FE" w:rsidR="001C62F0" w:rsidRPr="00D876CC" w:rsidRDefault="001C62F0" w:rsidP="001C62F0">
            <w:pPr>
              <w:jc w:val="center"/>
              <w:rPr>
                <w:sz w:val="22"/>
                <w:szCs w:val="22"/>
                <w:lang w:val="en-CA"/>
              </w:rPr>
            </w:pPr>
            <w:r w:rsidRPr="00D876CC">
              <w:rPr>
                <w:sz w:val="22"/>
                <w:szCs w:val="22"/>
                <w:lang w:val="en-CA"/>
              </w:rPr>
              <w:t>10.2</w:t>
            </w:r>
          </w:p>
        </w:tc>
        <w:tc>
          <w:tcPr>
            <w:tcW w:w="1077" w:type="dxa"/>
            <w:tcBorders>
              <w:top w:val="nil"/>
              <w:left w:val="nil"/>
              <w:bottom w:val="nil"/>
              <w:right w:val="nil"/>
            </w:tcBorders>
            <w:vAlign w:val="bottom"/>
          </w:tcPr>
          <w:p w14:paraId="77475F8E" w14:textId="28830D26" w:rsidR="001C62F0" w:rsidRPr="00D876CC" w:rsidRDefault="001C62F0" w:rsidP="001C62F0">
            <w:pPr>
              <w:jc w:val="center"/>
              <w:rPr>
                <w:sz w:val="22"/>
                <w:szCs w:val="22"/>
                <w:lang w:val="en-CA"/>
              </w:rPr>
            </w:pPr>
            <w:r w:rsidRPr="00D876CC">
              <w:rPr>
                <w:sz w:val="22"/>
                <w:szCs w:val="22"/>
                <w:lang w:val="en-CA"/>
              </w:rPr>
              <w:t>3.4</w:t>
            </w:r>
          </w:p>
        </w:tc>
        <w:tc>
          <w:tcPr>
            <w:tcW w:w="1078" w:type="dxa"/>
            <w:tcBorders>
              <w:top w:val="nil"/>
              <w:left w:val="nil"/>
              <w:bottom w:val="nil"/>
              <w:right w:val="nil"/>
            </w:tcBorders>
            <w:vAlign w:val="bottom"/>
          </w:tcPr>
          <w:p w14:paraId="0829B404" w14:textId="5255D039" w:rsidR="001C62F0" w:rsidRPr="00D876CC" w:rsidRDefault="001C62F0" w:rsidP="001C62F0">
            <w:pPr>
              <w:jc w:val="center"/>
              <w:rPr>
                <w:sz w:val="22"/>
                <w:szCs w:val="22"/>
                <w:lang w:val="en-CA"/>
              </w:rPr>
            </w:pPr>
            <w:r w:rsidRPr="00D876CC">
              <w:rPr>
                <w:sz w:val="22"/>
                <w:szCs w:val="22"/>
                <w:lang w:val="en-CA"/>
              </w:rPr>
              <w:t>5.8</w:t>
            </w:r>
          </w:p>
        </w:tc>
      </w:tr>
      <w:tr w:rsidR="001C62F0" w:rsidRPr="00DF6928" w14:paraId="379756C4" w14:textId="77777777" w:rsidTr="00A11B3A">
        <w:tc>
          <w:tcPr>
            <w:tcW w:w="1697" w:type="dxa"/>
            <w:tcBorders>
              <w:top w:val="nil"/>
              <w:left w:val="nil"/>
              <w:bottom w:val="single" w:sz="4" w:space="0" w:color="auto"/>
              <w:right w:val="nil"/>
            </w:tcBorders>
          </w:tcPr>
          <w:p w14:paraId="039A9660" w14:textId="12C44986" w:rsidR="001C62F0" w:rsidRPr="00D876CC" w:rsidRDefault="001C62F0" w:rsidP="00A11B3A">
            <w:pPr>
              <w:rPr>
                <w:sz w:val="22"/>
                <w:szCs w:val="22"/>
                <w:lang w:val="en-CA"/>
              </w:rPr>
            </w:pPr>
            <w:r w:rsidRPr="00D876CC">
              <w:rPr>
                <w:sz w:val="22"/>
                <w:szCs w:val="22"/>
                <w:lang w:val="en-CA"/>
              </w:rPr>
              <w:t>Top 20</w:t>
            </w:r>
          </w:p>
        </w:tc>
        <w:tc>
          <w:tcPr>
            <w:tcW w:w="1077" w:type="dxa"/>
            <w:tcBorders>
              <w:top w:val="nil"/>
              <w:left w:val="nil"/>
              <w:bottom w:val="single" w:sz="4" w:space="0" w:color="auto"/>
              <w:right w:val="nil"/>
            </w:tcBorders>
            <w:vAlign w:val="bottom"/>
          </w:tcPr>
          <w:p w14:paraId="5C878A7F" w14:textId="093A8F3E" w:rsidR="001C62F0" w:rsidRPr="00D876CC" w:rsidRDefault="001C62F0" w:rsidP="001C62F0">
            <w:pPr>
              <w:jc w:val="center"/>
              <w:rPr>
                <w:sz w:val="22"/>
                <w:szCs w:val="22"/>
                <w:lang w:val="en-CA"/>
              </w:rPr>
            </w:pPr>
            <w:r w:rsidRPr="00D876CC">
              <w:rPr>
                <w:sz w:val="22"/>
                <w:szCs w:val="22"/>
                <w:lang w:val="en-CA"/>
              </w:rPr>
              <w:t>88.4</w:t>
            </w:r>
          </w:p>
        </w:tc>
        <w:tc>
          <w:tcPr>
            <w:tcW w:w="1077" w:type="dxa"/>
            <w:tcBorders>
              <w:top w:val="nil"/>
              <w:left w:val="nil"/>
              <w:bottom w:val="single" w:sz="4" w:space="0" w:color="auto"/>
              <w:right w:val="nil"/>
            </w:tcBorders>
            <w:vAlign w:val="bottom"/>
          </w:tcPr>
          <w:p w14:paraId="56D9135F" w14:textId="2695FB44" w:rsidR="001C62F0" w:rsidRPr="00D876CC" w:rsidRDefault="001C62F0" w:rsidP="001C62F0">
            <w:pPr>
              <w:jc w:val="center"/>
              <w:rPr>
                <w:sz w:val="22"/>
                <w:szCs w:val="22"/>
                <w:lang w:val="en-CA"/>
              </w:rPr>
            </w:pPr>
            <w:r w:rsidRPr="00D876CC">
              <w:rPr>
                <w:sz w:val="22"/>
                <w:szCs w:val="22"/>
                <w:lang w:val="en-CA"/>
              </w:rPr>
              <w:t>78.7</w:t>
            </w:r>
          </w:p>
        </w:tc>
        <w:tc>
          <w:tcPr>
            <w:tcW w:w="1078" w:type="dxa"/>
            <w:tcBorders>
              <w:top w:val="nil"/>
              <w:left w:val="nil"/>
              <w:bottom w:val="single" w:sz="4" w:space="0" w:color="auto"/>
              <w:right w:val="nil"/>
            </w:tcBorders>
            <w:vAlign w:val="bottom"/>
          </w:tcPr>
          <w:p w14:paraId="60C914F4" w14:textId="74FF7CDE" w:rsidR="001C62F0" w:rsidRPr="00D876CC" w:rsidRDefault="001C62F0" w:rsidP="001C62F0">
            <w:pPr>
              <w:jc w:val="center"/>
              <w:rPr>
                <w:sz w:val="22"/>
                <w:szCs w:val="22"/>
                <w:lang w:val="en-CA"/>
              </w:rPr>
            </w:pPr>
            <w:r w:rsidRPr="00D876CC">
              <w:rPr>
                <w:sz w:val="22"/>
                <w:szCs w:val="22"/>
                <w:lang w:val="en-CA"/>
              </w:rPr>
              <w:t>2.0</w:t>
            </w:r>
          </w:p>
        </w:tc>
        <w:tc>
          <w:tcPr>
            <w:tcW w:w="1077" w:type="dxa"/>
            <w:tcBorders>
              <w:top w:val="nil"/>
              <w:left w:val="nil"/>
              <w:bottom w:val="single" w:sz="4" w:space="0" w:color="auto"/>
              <w:right w:val="single" w:sz="4" w:space="0" w:color="auto"/>
            </w:tcBorders>
            <w:vAlign w:val="bottom"/>
          </w:tcPr>
          <w:p w14:paraId="1D35AEA2" w14:textId="08664FBB" w:rsidR="001C62F0" w:rsidRPr="00D876CC" w:rsidRDefault="001C62F0" w:rsidP="001C62F0">
            <w:pPr>
              <w:jc w:val="center"/>
              <w:rPr>
                <w:sz w:val="22"/>
                <w:szCs w:val="22"/>
                <w:lang w:val="en-CA"/>
              </w:rPr>
            </w:pPr>
            <w:r w:rsidRPr="00D876CC">
              <w:rPr>
                <w:sz w:val="22"/>
                <w:szCs w:val="22"/>
                <w:lang w:val="en-CA"/>
              </w:rPr>
              <w:t>2.3</w:t>
            </w:r>
          </w:p>
        </w:tc>
        <w:tc>
          <w:tcPr>
            <w:tcW w:w="1077" w:type="dxa"/>
            <w:tcBorders>
              <w:top w:val="nil"/>
              <w:left w:val="single" w:sz="4" w:space="0" w:color="auto"/>
              <w:bottom w:val="single" w:sz="4" w:space="0" w:color="auto"/>
              <w:right w:val="nil"/>
            </w:tcBorders>
            <w:vAlign w:val="bottom"/>
          </w:tcPr>
          <w:p w14:paraId="2F793619" w14:textId="0E5CF372" w:rsidR="001C62F0" w:rsidRPr="00D876CC" w:rsidRDefault="001C62F0" w:rsidP="001C62F0">
            <w:pPr>
              <w:jc w:val="center"/>
              <w:rPr>
                <w:sz w:val="22"/>
                <w:szCs w:val="22"/>
                <w:lang w:val="en-CA"/>
              </w:rPr>
            </w:pPr>
            <w:r w:rsidRPr="00D876CC">
              <w:rPr>
                <w:sz w:val="22"/>
                <w:szCs w:val="22"/>
                <w:lang w:val="en-CA"/>
              </w:rPr>
              <w:t>83.2</w:t>
            </w:r>
          </w:p>
        </w:tc>
        <w:tc>
          <w:tcPr>
            <w:tcW w:w="1078" w:type="dxa"/>
            <w:tcBorders>
              <w:top w:val="nil"/>
              <w:left w:val="nil"/>
              <w:bottom w:val="single" w:sz="4" w:space="0" w:color="auto"/>
              <w:right w:val="nil"/>
            </w:tcBorders>
            <w:vAlign w:val="bottom"/>
          </w:tcPr>
          <w:p w14:paraId="581D2E3A" w14:textId="1EF41690" w:rsidR="001C62F0" w:rsidRPr="00D876CC" w:rsidRDefault="001C62F0" w:rsidP="001C62F0">
            <w:pPr>
              <w:jc w:val="center"/>
              <w:rPr>
                <w:sz w:val="22"/>
                <w:szCs w:val="22"/>
                <w:lang w:val="en-CA"/>
              </w:rPr>
            </w:pPr>
            <w:r w:rsidRPr="00D876CC">
              <w:rPr>
                <w:sz w:val="22"/>
                <w:szCs w:val="22"/>
                <w:lang w:val="en-CA"/>
              </w:rPr>
              <w:t>73.1</w:t>
            </w:r>
          </w:p>
        </w:tc>
        <w:tc>
          <w:tcPr>
            <w:tcW w:w="1077" w:type="dxa"/>
            <w:tcBorders>
              <w:top w:val="nil"/>
              <w:left w:val="nil"/>
              <w:bottom w:val="single" w:sz="4" w:space="0" w:color="auto"/>
              <w:right w:val="nil"/>
            </w:tcBorders>
            <w:vAlign w:val="bottom"/>
          </w:tcPr>
          <w:p w14:paraId="72835C68" w14:textId="469C4578" w:rsidR="001C62F0" w:rsidRPr="00D876CC" w:rsidRDefault="001C62F0" w:rsidP="001C62F0">
            <w:pPr>
              <w:jc w:val="center"/>
              <w:rPr>
                <w:sz w:val="22"/>
                <w:szCs w:val="22"/>
                <w:lang w:val="en-CA"/>
              </w:rPr>
            </w:pPr>
            <w:r w:rsidRPr="00D876CC">
              <w:rPr>
                <w:sz w:val="22"/>
                <w:szCs w:val="22"/>
                <w:lang w:val="en-CA"/>
              </w:rPr>
              <w:t>2.0</w:t>
            </w:r>
          </w:p>
        </w:tc>
        <w:tc>
          <w:tcPr>
            <w:tcW w:w="1078" w:type="dxa"/>
            <w:tcBorders>
              <w:top w:val="nil"/>
              <w:left w:val="nil"/>
              <w:bottom w:val="single" w:sz="4" w:space="0" w:color="auto"/>
              <w:right w:val="nil"/>
            </w:tcBorders>
            <w:vAlign w:val="bottom"/>
          </w:tcPr>
          <w:p w14:paraId="347CECDB" w14:textId="7421DE30" w:rsidR="001C62F0" w:rsidRPr="00D876CC" w:rsidRDefault="001C62F0" w:rsidP="001C62F0">
            <w:pPr>
              <w:jc w:val="center"/>
              <w:rPr>
                <w:sz w:val="22"/>
                <w:szCs w:val="22"/>
                <w:lang w:val="en-CA"/>
              </w:rPr>
            </w:pPr>
            <w:r w:rsidRPr="00D876CC">
              <w:rPr>
                <w:sz w:val="22"/>
                <w:szCs w:val="22"/>
                <w:lang w:val="en-CA"/>
              </w:rPr>
              <w:t>4.1</w:t>
            </w:r>
          </w:p>
        </w:tc>
      </w:tr>
      <w:tr w:rsidR="001C62F0" w:rsidRPr="00DF6928" w14:paraId="720130C5" w14:textId="77777777" w:rsidTr="00A11B3A">
        <w:tc>
          <w:tcPr>
            <w:tcW w:w="1697" w:type="dxa"/>
            <w:tcBorders>
              <w:top w:val="single" w:sz="4" w:space="0" w:color="auto"/>
              <w:left w:val="nil"/>
              <w:bottom w:val="single" w:sz="4" w:space="0" w:color="auto"/>
              <w:right w:val="nil"/>
            </w:tcBorders>
          </w:tcPr>
          <w:p w14:paraId="4067B125" w14:textId="77777777" w:rsidR="001C62F0" w:rsidRPr="00D876CC" w:rsidRDefault="001C62F0" w:rsidP="001C62F0">
            <w:pPr>
              <w:rPr>
                <w:sz w:val="22"/>
                <w:szCs w:val="22"/>
                <w:lang w:val="en-CA"/>
              </w:rPr>
            </w:pPr>
          </w:p>
        </w:tc>
        <w:tc>
          <w:tcPr>
            <w:tcW w:w="4309" w:type="dxa"/>
            <w:gridSpan w:val="4"/>
            <w:tcBorders>
              <w:top w:val="single" w:sz="4" w:space="0" w:color="auto"/>
              <w:left w:val="nil"/>
              <w:bottom w:val="single" w:sz="4" w:space="0" w:color="auto"/>
              <w:right w:val="single" w:sz="4" w:space="0" w:color="auto"/>
            </w:tcBorders>
            <w:vAlign w:val="bottom"/>
          </w:tcPr>
          <w:p w14:paraId="7FC8363B" w14:textId="329F1019" w:rsidR="001C62F0" w:rsidRPr="00D876CC" w:rsidRDefault="001C62F0" w:rsidP="001C62F0">
            <w:pPr>
              <w:jc w:val="center"/>
              <w:rPr>
                <w:sz w:val="22"/>
                <w:szCs w:val="22"/>
                <w:lang w:val="en-CA"/>
              </w:rPr>
            </w:pPr>
            <w:r w:rsidRPr="00D876CC">
              <w:rPr>
                <w:sz w:val="22"/>
                <w:szCs w:val="22"/>
                <w:lang w:val="en-CA"/>
              </w:rPr>
              <w:t>Authors with no articles published after tenure=5</w:t>
            </w:r>
          </w:p>
        </w:tc>
        <w:tc>
          <w:tcPr>
            <w:tcW w:w="4310" w:type="dxa"/>
            <w:gridSpan w:val="4"/>
            <w:tcBorders>
              <w:top w:val="single" w:sz="4" w:space="0" w:color="auto"/>
              <w:left w:val="single" w:sz="4" w:space="0" w:color="auto"/>
              <w:bottom w:val="single" w:sz="4" w:space="0" w:color="auto"/>
              <w:right w:val="nil"/>
            </w:tcBorders>
            <w:vAlign w:val="bottom"/>
          </w:tcPr>
          <w:p w14:paraId="08F6755D" w14:textId="265F5C6D" w:rsidR="001C62F0" w:rsidRPr="00D876CC" w:rsidRDefault="001C62F0" w:rsidP="001C62F0">
            <w:pPr>
              <w:jc w:val="center"/>
              <w:rPr>
                <w:rFonts w:ascii="Arial" w:hAnsi="Arial" w:cs="Arial"/>
                <w:color w:val="000000"/>
                <w:sz w:val="22"/>
                <w:szCs w:val="22"/>
                <w:lang w:val="en-CA"/>
              </w:rPr>
            </w:pPr>
            <w:r w:rsidRPr="00D876CC">
              <w:rPr>
                <w:sz w:val="22"/>
                <w:szCs w:val="22"/>
                <w:lang w:val="en-CA"/>
              </w:rPr>
              <w:t>Authors with no articles published after tenure=10</w:t>
            </w:r>
          </w:p>
        </w:tc>
      </w:tr>
      <w:tr w:rsidR="001C62F0" w:rsidRPr="00DF6928" w14:paraId="4F3380C0" w14:textId="77777777" w:rsidTr="00A11B3A">
        <w:trPr>
          <w:trHeight w:val="37"/>
        </w:trPr>
        <w:tc>
          <w:tcPr>
            <w:tcW w:w="1697" w:type="dxa"/>
            <w:tcBorders>
              <w:top w:val="single" w:sz="4" w:space="0" w:color="auto"/>
              <w:left w:val="nil"/>
              <w:bottom w:val="single" w:sz="4" w:space="0" w:color="auto"/>
              <w:right w:val="nil"/>
            </w:tcBorders>
          </w:tcPr>
          <w:p w14:paraId="2C6C4519" w14:textId="30336337" w:rsidR="001C62F0" w:rsidRPr="00D876CC" w:rsidRDefault="001C62F0" w:rsidP="001C62F0">
            <w:pPr>
              <w:rPr>
                <w:sz w:val="22"/>
                <w:szCs w:val="22"/>
                <w:lang w:val="en-CA"/>
              </w:rPr>
            </w:pPr>
          </w:p>
        </w:tc>
        <w:tc>
          <w:tcPr>
            <w:tcW w:w="2154" w:type="dxa"/>
            <w:gridSpan w:val="2"/>
            <w:tcBorders>
              <w:top w:val="single" w:sz="4" w:space="0" w:color="auto"/>
              <w:left w:val="nil"/>
              <w:bottom w:val="single" w:sz="4" w:space="0" w:color="auto"/>
              <w:right w:val="nil"/>
            </w:tcBorders>
            <w:vAlign w:val="bottom"/>
          </w:tcPr>
          <w:p w14:paraId="2F1FB269" w14:textId="1CD777DD" w:rsidR="001C62F0" w:rsidRPr="00D876CC" w:rsidRDefault="001C62F0" w:rsidP="001C62F0">
            <w:pPr>
              <w:jc w:val="center"/>
              <w:rPr>
                <w:sz w:val="22"/>
                <w:szCs w:val="22"/>
                <w:lang w:val="en-CA"/>
              </w:rPr>
            </w:pPr>
            <w:r w:rsidRPr="00D876CC">
              <w:rPr>
                <w:sz w:val="22"/>
                <w:szCs w:val="22"/>
                <w:lang w:val="en-CA"/>
              </w:rPr>
              <w:t>7.2%</w:t>
            </w:r>
          </w:p>
        </w:tc>
        <w:tc>
          <w:tcPr>
            <w:tcW w:w="2155" w:type="dxa"/>
            <w:gridSpan w:val="2"/>
            <w:tcBorders>
              <w:top w:val="single" w:sz="4" w:space="0" w:color="auto"/>
              <w:left w:val="nil"/>
              <w:bottom w:val="single" w:sz="4" w:space="0" w:color="auto"/>
              <w:right w:val="single" w:sz="4" w:space="0" w:color="auto"/>
            </w:tcBorders>
            <w:vAlign w:val="bottom"/>
          </w:tcPr>
          <w:p w14:paraId="667B3E2A" w14:textId="2B54FA20" w:rsidR="001C62F0" w:rsidRPr="00D876CC" w:rsidRDefault="001C62F0" w:rsidP="001C62F0">
            <w:pPr>
              <w:jc w:val="center"/>
              <w:rPr>
                <w:sz w:val="22"/>
                <w:szCs w:val="22"/>
                <w:lang w:val="en-CA"/>
              </w:rPr>
            </w:pPr>
            <w:r w:rsidRPr="00D876CC">
              <w:rPr>
                <w:sz w:val="22"/>
                <w:szCs w:val="22"/>
                <w:lang w:val="en-CA"/>
              </w:rPr>
              <w:t>12.0%</w:t>
            </w:r>
          </w:p>
        </w:tc>
        <w:tc>
          <w:tcPr>
            <w:tcW w:w="2155" w:type="dxa"/>
            <w:gridSpan w:val="2"/>
            <w:tcBorders>
              <w:top w:val="single" w:sz="4" w:space="0" w:color="auto"/>
              <w:left w:val="single" w:sz="4" w:space="0" w:color="auto"/>
              <w:bottom w:val="single" w:sz="4" w:space="0" w:color="auto"/>
              <w:right w:val="nil"/>
            </w:tcBorders>
            <w:vAlign w:val="bottom"/>
          </w:tcPr>
          <w:p w14:paraId="0364F233" w14:textId="5579DF6F" w:rsidR="001C62F0" w:rsidRPr="00D876CC" w:rsidRDefault="001C62F0" w:rsidP="001C62F0">
            <w:pPr>
              <w:jc w:val="center"/>
              <w:rPr>
                <w:sz w:val="22"/>
                <w:szCs w:val="22"/>
                <w:lang w:val="en-CA"/>
              </w:rPr>
            </w:pPr>
            <w:r w:rsidRPr="00D876CC">
              <w:rPr>
                <w:sz w:val="22"/>
                <w:szCs w:val="22"/>
                <w:lang w:val="en-CA"/>
              </w:rPr>
              <w:t>16.9%</w:t>
            </w:r>
          </w:p>
        </w:tc>
        <w:tc>
          <w:tcPr>
            <w:tcW w:w="2155" w:type="dxa"/>
            <w:gridSpan w:val="2"/>
            <w:tcBorders>
              <w:top w:val="single" w:sz="4" w:space="0" w:color="auto"/>
              <w:left w:val="nil"/>
              <w:bottom w:val="single" w:sz="4" w:space="0" w:color="auto"/>
              <w:right w:val="nil"/>
            </w:tcBorders>
            <w:vAlign w:val="bottom"/>
          </w:tcPr>
          <w:p w14:paraId="34983B9B" w14:textId="5CD10F17" w:rsidR="001C62F0" w:rsidRPr="00D876CC" w:rsidRDefault="001C62F0" w:rsidP="001C62F0">
            <w:pPr>
              <w:jc w:val="center"/>
              <w:rPr>
                <w:sz w:val="22"/>
                <w:szCs w:val="22"/>
                <w:lang w:val="en-CA"/>
              </w:rPr>
            </w:pPr>
            <w:r w:rsidRPr="00D876CC">
              <w:rPr>
                <w:sz w:val="22"/>
                <w:szCs w:val="22"/>
                <w:lang w:val="en-CA"/>
              </w:rPr>
              <w:t>22.2%</w:t>
            </w:r>
          </w:p>
        </w:tc>
      </w:tr>
    </w:tbl>
    <w:p w14:paraId="2F772893" w14:textId="4E74A59B" w:rsidR="00BE3A6B" w:rsidRDefault="00BE3A6B" w:rsidP="004939AF">
      <w:pPr>
        <w:jc w:val="center"/>
        <w:rPr>
          <w:sz w:val="20"/>
          <w:szCs w:val="20"/>
          <w:lang w:val="en-CA"/>
        </w:rPr>
      </w:pPr>
    </w:p>
    <w:p w14:paraId="6C020452" w14:textId="54DB189B" w:rsidR="001C62F0" w:rsidRDefault="001C62F0">
      <w:pPr>
        <w:spacing w:after="200" w:line="276" w:lineRule="auto"/>
        <w:rPr>
          <w:sz w:val="20"/>
          <w:szCs w:val="20"/>
          <w:lang w:val="en-CA"/>
        </w:rPr>
      </w:pPr>
      <w:r>
        <w:rPr>
          <w:sz w:val="20"/>
          <w:szCs w:val="20"/>
          <w:lang w:val="en-CA"/>
        </w:rPr>
        <w:br w:type="page"/>
      </w: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404"/>
        <w:gridCol w:w="1403"/>
        <w:gridCol w:w="1392"/>
        <w:gridCol w:w="1403"/>
        <w:gridCol w:w="1403"/>
        <w:gridCol w:w="1393"/>
      </w:tblGrid>
      <w:tr w:rsidR="002F6DC7" w14:paraId="3776D90B" w14:textId="77777777" w:rsidTr="00D876CC">
        <w:tc>
          <w:tcPr>
            <w:tcW w:w="10032" w:type="dxa"/>
            <w:gridSpan w:val="7"/>
            <w:tcBorders>
              <w:bottom w:val="single" w:sz="4" w:space="0" w:color="auto"/>
            </w:tcBorders>
          </w:tcPr>
          <w:p w14:paraId="2AEEEF0A" w14:textId="2B552DF9" w:rsidR="002F6DC7" w:rsidRPr="00D876CC" w:rsidRDefault="002F6DC7" w:rsidP="004939AF">
            <w:pPr>
              <w:jc w:val="center"/>
              <w:rPr>
                <w:b/>
                <w:bCs/>
                <w:sz w:val="22"/>
                <w:szCs w:val="22"/>
                <w:lang w:val="en-CA"/>
              </w:rPr>
            </w:pPr>
            <w:r w:rsidRPr="00D876CC">
              <w:rPr>
                <w:b/>
                <w:bCs/>
                <w:sz w:val="22"/>
                <w:szCs w:val="22"/>
                <w:lang w:val="en-CA"/>
              </w:rPr>
              <w:lastRenderedPageBreak/>
              <w:t>Table 2: Author</w:t>
            </w:r>
            <w:r w:rsidR="00AB600F" w:rsidRPr="00D876CC">
              <w:rPr>
                <w:b/>
                <w:bCs/>
                <w:sz w:val="22"/>
                <w:szCs w:val="22"/>
                <w:lang w:val="en-CA"/>
              </w:rPr>
              <w:t>s’ first affiliation</w:t>
            </w:r>
            <w:r w:rsidRPr="00D876CC">
              <w:rPr>
                <w:b/>
                <w:bCs/>
                <w:sz w:val="22"/>
                <w:szCs w:val="22"/>
                <w:lang w:val="en-CA"/>
              </w:rPr>
              <w:t xml:space="preserve"> and </w:t>
            </w:r>
            <w:r w:rsidR="00AB600F" w:rsidRPr="00D876CC">
              <w:rPr>
                <w:b/>
                <w:bCs/>
                <w:sz w:val="22"/>
                <w:szCs w:val="22"/>
                <w:lang w:val="en-CA"/>
              </w:rPr>
              <w:t xml:space="preserve">number of A publications </w:t>
            </w:r>
          </w:p>
          <w:p w14:paraId="1AB4A9F8" w14:textId="339C9E8E" w:rsidR="00BA7FD8" w:rsidRPr="00553E7C" w:rsidRDefault="00BA7FD8" w:rsidP="00553E7C">
            <w:pPr>
              <w:jc w:val="both"/>
              <w:rPr>
                <w:sz w:val="22"/>
                <w:szCs w:val="22"/>
                <w:lang w:val="en-CA"/>
              </w:rPr>
            </w:pPr>
            <w:r w:rsidRPr="00553E7C">
              <w:rPr>
                <w:sz w:val="22"/>
                <w:szCs w:val="22"/>
                <w:lang w:val="en-CA"/>
              </w:rPr>
              <w:t>The table provides the distribution of authors productivity</w:t>
            </w:r>
            <w:r w:rsidR="00754F2B" w:rsidRPr="00553E7C">
              <w:rPr>
                <w:sz w:val="22"/>
                <w:szCs w:val="22"/>
                <w:lang w:val="en-CA"/>
              </w:rPr>
              <w:t>, measured by the number of A articles accumulated over the first 5 years (10 years) in Sample 1 (Sample 2)</w:t>
            </w:r>
            <w:r w:rsidR="00751471">
              <w:rPr>
                <w:sz w:val="22"/>
                <w:szCs w:val="22"/>
                <w:lang w:val="en-CA"/>
              </w:rPr>
              <w:t xml:space="preserve">, as well as the difference in means tests across the </w:t>
            </w:r>
            <w:proofErr w:type="gramStart"/>
            <w:r w:rsidR="00751471">
              <w:rPr>
                <w:sz w:val="22"/>
                <w:szCs w:val="22"/>
                <w:lang w:val="en-CA"/>
              </w:rPr>
              <w:t>two tier</w:t>
            </w:r>
            <w:proofErr w:type="gramEnd"/>
            <w:r w:rsidR="00751471">
              <w:rPr>
                <w:sz w:val="22"/>
                <w:szCs w:val="22"/>
                <w:lang w:val="en-CA"/>
              </w:rPr>
              <w:t xml:space="preserve"> levels.</w:t>
            </w:r>
            <w:r w:rsidR="00553E7C" w:rsidRPr="00553E7C">
              <w:rPr>
                <w:sz w:val="22"/>
                <w:szCs w:val="22"/>
                <w:lang w:val="en-CA"/>
              </w:rPr>
              <w:t xml:space="preserve"> </w:t>
            </w:r>
            <w:r w:rsidR="00553E7C" w:rsidRPr="00553E7C">
              <w:rPr>
                <w:sz w:val="22"/>
                <w:szCs w:val="22"/>
              </w:rPr>
              <w:t>*, **, and *** indicate significance at the 10%, 5%, and 1% level, respectively.</w:t>
            </w:r>
            <w:r w:rsidR="00754F2B" w:rsidRPr="00553E7C">
              <w:rPr>
                <w:sz w:val="22"/>
                <w:szCs w:val="22"/>
                <w:lang w:val="en-CA"/>
              </w:rPr>
              <w:t xml:space="preserve"> </w:t>
            </w:r>
            <w:r w:rsidRPr="00553E7C">
              <w:rPr>
                <w:sz w:val="22"/>
                <w:szCs w:val="22"/>
                <w:lang w:val="en-CA"/>
              </w:rPr>
              <w:t xml:space="preserve"> </w:t>
            </w:r>
          </w:p>
          <w:p w14:paraId="310F6A89" w14:textId="3B46804C" w:rsidR="00D876CC" w:rsidRDefault="00D876CC" w:rsidP="00BA7FD8">
            <w:pPr>
              <w:rPr>
                <w:sz w:val="20"/>
                <w:szCs w:val="20"/>
                <w:lang w:val="en-CA"/>
              </w:rPr>
            </w:pPr>
          </w:p>
        </w:tc>
      </w:tr>
      <w:tr w:rsidR="00BA7FD8" w14:paraId="334A6AE9" w14:textId="77777777" w:rsidTr="00D876CC">
        <w:tc>
          <w:tcPr>
            <w:tcW w:w="1433" w:type="dxa"/>
            <w:tcBorders>
              <w:top w:val="single" w:sz="4" w:space="0" w:color="auto"/>
              <w:bottom w:val="single" w:sz="4" w:space="0" w:color="auto"/>
            </w:tcBorders>
          </w:tcPr>
          <w:p w14:paraId="48FB8190" w14:textId="77777777" w:rsidR="00BA7FD8" w:rsidRPr="00D876CC" w:rsidRDefault="00BA7FD8" w:rsidP="00BA7FD8">
            <w:pPr>
              <w:jc w:val="center"/>
              <w:rPr>
                <w:sz w:val="22"/>
                <w:szCs w:val="22"/>
                <w:lang w:val="en-CA"/>
              </w:rPr>
            </w:pPr>
          </w:p>
        </w:tc>
        <w:tc>
          <w:tcPr>
            <w:tcW w:w="4299" w:type="dxa"/>
            <w:gridSpan w:val="3"/>
            <w:tcBorders>
              <w:top w:val="single" w:sz="4" w:space="0" w:color="auto"/>
              <w:bottom w:val="single" w:sz="4" w:space="0" w:color="auto"/>
            </w:tcBorders>
          </w:tcPr>
          <w:p w14:paraId="0AD39857" w14:textId="27652AA6" w:rsidR="00BA7FD8" w:rsidRPr="00D876CC" w:rsidRDefault="00BA7FD8" w:rsidP="00BA7FD8">
            <w:pPr>
              <w:jc w:val="center"/>
              <w:rPr>
                <w:sz w:val="22"/>
                <w:szCs w:val="22"/>
                <w:lang w:val="en-CA"/>
              </w:rPr>
            </w:pPr>
            <w:r w:rsidRPr="00D876CC">
              <w:rPr>
                <w:sz w:val="22"/>
                <w:szCs w:val="22"/>
                <w:lang w:val="en-CA"/>
              </w:rPr>
              <w:t xml:space="preserve">Sample </w:t>
            </w:r>
            <w:r w:rsidR="00754F2B" w:rsidRPr="00D876CC">
              <w:rPr>
                <w:sz w:val="22"/>
                <w:szCs w:val="22"/>
                <w:lang w:val="en-CA"/>
              </w:rPr>
              <w:t>1</w:t>
            </w:r>
            <w:r w:rsidRPr="00D876CC">
              <w:rPr>
                <w:sz w:val="22"/>
                <w:szCs w:val="22"/>
                <w:lang w:val="en-CA"/>
              </w:rPr>
              <w:t xml:space="preserve"> </w:t>
            </w:r>
          </w:p>
        </w:tc>
        <w:tc>
          <w:tcPr>
            <w:tcW w:w="4300" w:type="dxa"/>
            <w:gridSpan w:val="3"/>
            <w:tcBorders>
              <w:top w:val="single" w:sz="4" w:space="0" w:color="auto"/>
              <w:bottom w:val="single" w:sz="4" w:space="0" w:color="auto"/>
            </w:tcBorders>
          </w:tcPr>
          <w:p w14:paraId="2E9F609E" w14:textId="6F21F82C" w:rsidR="00BA7FD8" w:rsidRPr="00D876CC" w:rsidRDefault="00BA7FD8" w:rsidP="00BA7FD8">
            <w:pPr>
              <w:jc w:val="center"/>
              <w:rPr>
                <w:sz w:val="22"/>
                <w:szCs w:val="22"/>
                <w:lang w:val="en-CA"/>
              </w:rPr>
            </w:pPr>
            <w:r w:rsidRPr="00D876CC">
              <w:rPr>
                <w:sz w:val="22"/>
                <w:szCs w:val="22"/>
                <w:lang w:val="en-CA"/>
              </w:rPr>
              <w:t xml:space="preserve">Sample </w:t>
            </w:r>
            <w:r w:rsidR="00754F2B" w:rsidRPr="00D876CC">
              <w:rPr>
                <w:sz w:val="22"/>
                <w:szCs w:val="22"/>
                <w:lang w:val="en-CA"/>
              </w:rPr>
              <w:t>2</w:t>
            </w:r>
            <w:r w:rsidRPr="00D876CC">
              <w:rPr>
                <w:sz w:val="22"/>
                <w:szCs w:val="22"/>
                <w:lang w:val="en-CA"/>
              </w:rPr>
              <w:t xml:space="preserve"> </w:t>
            </w:r>
          </w:p>
        </w:tc>
      </w:tr>
      <w:tr w:rsidR="00C66740" w14:paraId="7ED865FF" w14:textId="77777777" w:rsidTr="00D876CC">
        <w:tc>
          <w:tcPr>
            <w:tcW w:w="1433" w:type="dxa"/>
            <w:tcBorders>
              <w:top w:val="single" w:sz="4" w:space="0" w:color="auto"/>
              <w:bottom w:val="single" w:sz="4" w:space="0" w:color="auto"/>
            </w:tcBorders>
          </w:tcPr>
          <w:p w14:paraId="1C22870A" w14:textId="2B4CCD95" w:rsidR="002F6DC7" w:rsidRPr="00D876CC" w:rsidRDefault="002F6DC7" w:rsidP="002F6DC7">
            <w:pPr>
              <w:jc w:val="center"/>
              <w:rPr>
                <w:sz w:val="22"/>
                <w:szCs w:val="22"/>
                <w:lang w:val="en-CA"/>
              </w:rPr>
            </w:pPr>
            <w:r w:rsidRPr="00D876CC">
              <w:rPr>
                <w:sz w:val="22"/>
                <w:szCs w:val="22"/>
                <w:lang w:val="en-CA"/>
              </w:rPr>
              <w:t>Number of A articles</w:t>
            </w:r>
          </w:p>
        </w:tc>
        <w:tc>
          <w:tcPr>
            <w:tcW w:w="1433" w:type="dxa"/>
            <w:tcBorders>
              <w:top w:val="single" w:sz="4" w:space="0" w:color="auto"/>
              <w:bottom w:val="single" w:sz="4" w:space="0" w:color="auto"/>
            </w:tcBorders>
          </w:tcPr>
          <w:p w14:paraId="755D0E57" w14:textId="77777777" w:rsidR="002F6DC7" w:rsidRPr="00D876CC" w:rsidRDefault="002F6DC7" w:rsidP="002F6DC7">
            <w:pPr>
              <w:jc w:val="center"/>
              <w:rPr>
                <w:sz w:val="22"/>
                <w:szCs w:val="22"/>
                <w:lang w:val="en-CA"/>
              </w:rPr>
            </w:pPr>
            <w:r w:rsidRPr="00D876CC">
              <w:rPr>
                <w:sz w:val="22"/>
                <w:szCs w:val="22"/>
                <w:lang w:val="en-CA"/>
              </w:rPr>
              <w:t>Top 20 universities</w:t>
            </w:r>
          </w:p>
          <w:p w14:paraId="73A348AC" w14:textId="51C86C7F" w:rsidR="00754F2B" w:rsidRPr="00D876CC" w:rsidRDefault="00754F2B" w:rsidP="002F6DC7">
            <w:pPr>
              <w:jc w:val="center"/>
              <w:rPr>
                <w:sz w:val="22"/>
                <w:szCs w:val="22"/>
                <w:lang w:val="en-CA"/>
              </w:rPr>
            </w:pPr>
            <w:r w:rsidRPr="00D876CC">
              <w:rPr>
                <w:sz w:val="22"/>
                <w:szCs w:val="22"/>
                <w:lang w:val="en-CA"/>
              </w:rPr>
              <w:t>(% of authors)</w:t>
            </w:r>
          </w:p>
        </w:tc>
        <w:tc>
          <w:tcPr>
            <w:tcW w:w="1433" w:type="dxa"/>
            <w:tcBorders>
              <w:top w:val="single" w:sz="4" w:space="0" w:color="auto"/>
              <w:bottom w:val="single" w:sz="4" w:space="0" w:color="auto"/>
            </w:tcBorders>
          </w:tcPr>
          <w:p w14:paraId="48EE3055" w14:textId="77777777" w:rsidR="002F6DC7" w:rsidRPr="00D876CC" w:rsidRDefault="002F6DC7" w:rsidP="002F6DC7">
            <w:pPr>
              <w:jc w:val="center"/>
              <w:rPr>
                <w:sz w:val="22"/>
                <w:szCs w:val="22"/>
                <w:lang w:val="en-CA"/>
              </w:rPr>
            </w:pPr>
            <w:r w:rsidRPr="00D876CC">
              <w:rPr>
                <w:sz w:val="22"/>
                <w:szCs w:val="22"/>
                <w:lang w:val="en-CA"/>
              </w:rPr>
              <w:t>Top 51-100 universities</w:t>
            </w:r>
          </w:p>
          <w:p w14:paraId="5A27D79C" w14:textId="74C0FE9F" w:rsidR="00754F2B" w:rsidRPr="00D876CC" w:rsidRDefault="00754F2B" w:rsidP="002F6DC7">
            <w:pPr>
              <w:jc w:val="center"/>
              <w:rPr>
                <w:sz w:val="22"/>
                <w:szCs w:val="22"/>
                <w:lang w:val="en-CA"/>
              </w:rPr>
            </w:pPr>
            <w:r w:rsidRPr="00D876CC">
              <w:rPr>
                <w:sz w:val="22"/>
                <w:szCs w:val="22"/>
                <w:lang w:val="en-CA"/>
              </w:rPr>
              <w:t>(% of authors)</w:t>
            </w:r>
          </w:p>
        </w:tc>
        <w:tc>
          <w:tcPr>
            <w:tcW w:w="1433" w:type="dxa"/>
            <w:tcBorders>
              <w:top w:val="single" w:sz="4" w:space="0" w:color="auto"/>
              <w:bottom w:val="single" w:sz="4" w:space="0" w:color="auto"/>
            </w:tcBorders>
          </w:tcPr>
          <w:p w14:paraId="45874F84" w14:textId="720501A7" w:rsidR="002F6DC7" w:rsidRPr="00D876CC" w:rsidRDefault="002F6DC7" w:rsidP="002F6DC7">
            <w:pPr>
              <w:jc w:val="center"/>
              <w:rPr>
                <w:sz w:val="22"/>
                <w:szCs w:val="22"/>
                <w:lang w:val="en-CA"/>
              </w:rPr>
            </w:pPr>
            <w:r w:rsidRPr="00D876CC">
              <w:rPr>
                <w:sz w:val="22"/>
                <w:szCs w:val="22"/>
                <w:lang w:val="en-CA"/>
              </w:rPr>
              <w:t>Difference</w:t>
            </w:r>
          </w:p>
        </w:tc>
        <w:tc>
          <w:tcPr>
            <w:tcW w:w="1433" w:type="dxa"/>
            <w:tcBorders>
              <w:top w:val="single" w:sz="4" w:space="0" w:color="auto"/>
              <w:bottom w:val="single" w:sz="4" w:space="0" w:color="auto"/>
            </w:tcBorders>
          </w:tcPr>
          <w:p w14:paraId="1F50CAD9" w14:textId="77777777" w:rsidR="002F6DC7" w:rsidRPr="00D876CC" w:rsidRDefault="002F6DC7" w:rsidP="002F6DC7">
            <w:pPr>
              <w:jc w:val="center"/>
              <w:rPr>
                <w:sz w:val="22"/>
                <w:szCs w:val="22"/>
                <w:lang w:val="en-CA"/>
              </w:rPr>
            </w:pPr>
            <w:r w:rsidRPr="00D876CC">
              <w:rPr>
                <w:sz w:val="22"/>
                <w:szCs w:val="22"/>
                <w:lang w:val="en-CA"/>
              </w:rPr>
              <w:t>Top 20 universities</w:t>
            </w:r>
          </w:p>
          <w:p w14:paraId="73025E9B" w14:textId="7982B3DB" w:rsidR="00754F2B" w:rsidRPr="00D876CC" w:rsidRDefault="00754F2B" w:rsidP="002F6DC7">
            <w:pPr>
              <w:jc w:val="center"/>
              <w:rPr>
                <w:sz w:val="22"/>
                <w:szCs w:val="22"/>
                <w:lang w:val="en-CA"/>
              </w:rPr>
            </w:pPr>
            <w:r w:rsidRPr="00D876CC">
              <w:rPr>
                <w:sz w:val="22"/>
                <w:szCs w:val="22"/>
                <w:lang w:val="en-CA"/>
              </w:rPr>
              <w:t>(% of authors)</w:t>
            </w:r>
          </w:p>
        </w:tc>
        <w:tc>
          <w:tcPr>
            <w:tcW w:w="1433" w:type="dxa"/>
            <w:tcBorders>
              <w:top w:val="single" w:sz="4" w:space="0" w:color="auto"/>
              <w:bottom w:val="single" w:sz="4" w:space="0" w:color="auto"/>
            </w:tcBorders>
          </w:tcPr>
          <w:p w14:paraId="390814B1" w14:textId="77777777" w:rsidR="002F6DC7" w:rsidRPr="00D876CC" w:rsidRDefault="002F6DC7" w:rsidP="002F6DC7">
            <w:pPr>
              <w:jc w:val="center"/>
              <w:rPr>
                <w:sz w:val="22"/>
                <w:szCs w:val="22"/>
                <w:lang w:val="en-CA"/>
              </w:rPr>
            </w:pPr>
            <w:r w:rsidRPr="00D876CC">
              <w:rPr>
                <w:sz w:val="22"/>
                <w:szCs w:val="22"/>
                <w:lang w:val="en-CA"/>
              </w:rPr>
              <w:t>Top 51-100 universities</w:t>
            </w:r>
          </w:p>
          <w:p w14:paraId="3CF4507A" w14:textId="060EAC29" w:rsidR="00754F2B" w:rsidRPr="00D876CC" w:rsidRDefault="00754F2B" w:rsidP="002F6DC7">
            <w:pPr>
              <w:jc w:val="center"/>
              <w:rPr>
                <w:sz w:val="22"/>
                <w:szCs w:val="22"/>
                <w:lang w:val="en-CA"/>
              </w:rPr>
            </w:pPr>
            <w:r w:rsidRPr="00D876CC">
              <w:rPr>
                <w:sz w:val="22"/>
                <w:szCs w:val="22"/>
                <w:lang w:val="en-CA"/>
              </w:rPr>
              <w:t>(% of authors)</w:t>
            </w:r>
          </w:p>
        </w:tc>
        <w:tc>
          <w:tcPr>
            <w:tcW w:w="1434" w:type="dxa"/>
            <w:tcBorders>
              <w:top w:val="single" w:sz="4" w:space="0" w:color="auto"/>
              <w:bottom w:val="single" w:sz="4" w:space="0" w:color="auto"/>
            </w:tcBorders>
          </w:tcPr>
          <w:p w14:paraId="03C02F04" w14:textId="3B6380AD" w:rsidR="002F6DC7" w:rsidRPr="00D876CC" w:rsidRDefault="002F6DC7" w:rsidP="002F6DC7">
            <w:pPr>
              <w:jc w:val="center"/>
              <w:rPr>
                <w:sz w:val="22"/>
                <w:szCs w:val="22"/>
                <w:lang w:val="en-CA"/>
              </w:rPr>
            </w:pPr>
            <w:r w:rsidRPr="00D876CC">
              <w:rPr>
                <w:sz w:val="22"/>
                <w:szCs w:val="22"/>
                <w:lang w:val="en-CA"/>
              </w:rPr>
              <w:t>Difference</w:t>
            </w:r>
          </w:p>
        </w:tc>
      </w:tr>
      <w:tr w:rsidR="00C66740" w14:paraId="7347CB56" w14:textId="77777777" w:rsidTr="00D876CC">
        <w:tc>
          <w:tcPr>
            <w:tcW w:w="1433" w:type="dxa"/>
            <w:tcBorders>
              <w:top w:val="single" w:sz="4" w:space="0" w:color="auto"/>
            </w:tcBorders>
          </w:tcPr>
          <w:p w14:paraId="6A3DCAD5" w14:textId="752EC280" w:rsidR="00983696" w:rsidRPr="00D876CC" w:rsidRDefault="00983696" w:rsidP="00983696">
            <w:pPr>
              <w:jc w:val="center"/>
              <w:rPr>
                <w:sz w:val="22"/>
                <w:szCs w:val="22"/>
                <w:lang w:val="en-CA"/>
              </w:rPr>
            </w:pPr>
            <w:r w:rsidRPr="00D876CC">
              <w:rPr>
                <w:sz w:val="22"/>
                <w:szCs w:val="22"/>
                <w:lang w:val="en-CA"/>
              </w:rPr>
              <w:t>10+</w:t>
            </w:r>
          </w:p>
        </w:tc>
        <w:tc>
          <w:tcPr>
            <w:tcW w:w="1433" w:type="dxa"/>
            <w:tcBorders>
              <w:top w:val="single" w:sz="4" w:space="0" w:color="auto"/>
            </w:tcBorders>
            <w:vAlign w:val="bottom"/>
          </w:tcPr>
          <w:p w14:paraId="5F9B488F" w14:textId="14DD5103" w:rsidR="00983696" w:rsidRPr="00D876CC" w:rsidRDefault="00983696" w:rsidP="00983696">
            <w:pPr>
              <w:jc w:val="center"/>
              <w:rPr>
                <w:sz w:val="22"/>
                <w:szCs w:val="22"/>
                <w:lang w:val="en-CA"/>
              </w:rPr>
            </w:pPr>
            <w:r w:rsidRPr="00D876CC">
              <w:rPr>
                <w:sz w:val="22"/>
                <w:szCs w:val="22"/>
                <w:lang w:val="en-CA"/>
              </w:rPr>
              <w:t>0.0</w:t>
            </w:r>
          </w:p>
        </w:tc>
        <w:tc>
          <w:tcPr>
            <w:tcW w:w="1433" w:type="dxa"/>
            <w:tcBorders>
              <w:top w:val="single" w:sz="4" w:space="0" w:color="auto"/>
            </w:tcBorders>
            <w:vAlign w:val="bottom"/>
          </w:tcPr>
          <w:p w14:paraId="633B8777" w14:textId="3EC28BFE" w:rsidR="00983696" w:rsidRPr="00D876CC" w:rsidRDefault="00983696" w:rsidP="00983696">
            <w:pPr>
              <w:jc w:val="center"/>
              <w:rPr>
                <w:sz w:val="22"/>
                <w:szCs w:val="22"/>
                <w:lang w:val="en-CA"/>
              </w:rPr>
            </w:pPr>
            <w:r w:rsidRPr="00D876CC">
              <w:rPr>
                <w:sz w:val="22"/>
                <w:szCs w:val="22"/>
                <w:lang w:val="en-CA"/>
              </w:rPr>
              <w:t>0.0</w:t>
            </w:r>
          </w:p>
        </w:tc>
        <w:tc>
          <w:tcPr>
            <w:tcW w:w="1433" w:type="dxa"/>
            <w:tcBorders>
              <w:top w:val="single" w:sz="4" w:space="0" w:color="auto"/>
            </w:tcBorders>
            <w:vAlign w:val="bottom"/>
          </w:tcPr>
          <w:p w14:paraId="7DC8C12F" w14:textId="3ACC58C4" w:rsidR="00983696" w:rsidRPr="00D876CC" w:rsidRDefault="00983696" w:rsidP="00983696">
            <w:pPr>
              <w:jc w:val="center"/>
              <w:rPr>
                <w:sz w:val="22"/>
                <w:szCs w:val="22"/>
                <w:lang w:val="en-CA"/>
              </w:rPr>
            </w:pPr>
            <w:r w:rsidRPr="00D876CC">
              <w:rPr>
                <w:sz w:val="22"/>
                <w:szCs w:val="22"/>
                <w:lang w:val="en-CA"/>
              </w:rPr>
              <w:t>0.0</w:t>
            </w:r>
          </w:p>
        </w:tc>
        <w:tc>
          <w:tcPr>
            <w:tcW w:w="1433" w:type="dxa"/>
            <w:tcBorders>
              <w:top w:val="single" w:sz="4" w:space="0" w:color="auto"/>
            </w:tcBorders>
            <w:vAlign w:val="bottom"/>
          </w:tcPr>
          <w:p w14:paraId="19A829ED" w14:textId="357CF522" w:rsidR="00983696" w:rsidRPr="00D876CC" w:rsidRDefault="00983696" w:rsidP="00983696">
            <w:pPr>
              <w:jc w:val="center"/>
              <w:rPr>
                <w:sz w:val="22"/>
                <w:szCs w:val="22"/>
                <w:lang w:val="en-CA"/>
              </w:rPr>
            </w:pPr>
            <w:r w:rsidRPr="00D876CC">
              <w:rPr>
                <w:sz w:val="22"/>
                <w:szCs w:val="22"/>
                <w:lang w:val="en-CA"/>
              </w:rPr>
              <w:t>2.3</w:t>
            </w:r>
          </w:p>
        </w:tc>
        <w:tc>
          <w:tcPr>
            <w:tcW w:w="1433" w:type="dxa"/>
            <w:tcBorders>
              <w:top w:val="single" w:sz="4" w:space="0" w:color="auto"/>
            </w:tcBorders>
            <w:vAlign w:val="bottom"/>
          </w:tcPr>
          <w:p w14:paraId="635D3AB1" w14:textId="7AC988ED" w:rsidR="00983696" w:rsidRPr="00D876CC" w:rsidRDefault="00983696" w:rsidP="00983696">
            <w:pPr>
              <w:jc w:val="center"/>
              <w:rPr>
                <w:sz w:val="22"/>
                <w:szCs w:val="22"/>
                <w:lang w:val="en-CA"/>
              </w:rPr>
            </w:pPr>
            <w:r w:rsidRPr="00D876CC">
              <w:rPr>
                <w:sz w:val="22"/>
                <w:szCs w:val="22"/>
                <w:lang w:val="en-CA"/>
              </w:rPr>
              <w:t>0.3</w:t>
            </w:r>
          </w:p>
        </w:tc>
        <w:tc>
          <w:tcPr>
            <w:tcW w:w="1434" w:type="dxa"/>
            <w:tcBorders>
              <w:top w:val="single" w:sz="4" w:space="0" w:color="auto"/>
            </w:tcBorders>
            <w:vAlign w:val="bottom"/>
          </w:tcPr>
          <w:p w14:paraId="0AA19117" w14:textId="0741FCDA" w:rsidR="00983696" w:rsidRPr="00D876CC" w:rsidRDefault="00983696" w:rsidP="00983696">
            <w:pPr>
              <w:jc w:val="center"/>
              <w:rPr>
                <w:sz w:val="22"/>
                <w:szCs w:val="22"/>
                <w:lang w:val="en-CA"/>
              </w:rPr>
            </w:pPr>
            <w:r w:rsidRPr="00D876CC">
              <w:rPr>
                <w:sz w:val="22"/>
                <w:szCs w:val="22"/>
                <w:lang w:val="en-CA"/>
              </w:rPr>
              <w:t>2.0</w:t>
            </w:r>
            <w:r w:rsidRPr="00D876CC">
              <w:rPr>
                <w:sz w:val="22"/>
                <w:szCs w:val="22"/>
                <w:vertAlign w:val="superscript"/>
                <w:lang w:val="en-CA"/>
              </w:rPr>
              <w:t>**</w:t>
            </w:r>
          </w:p>
        </w:tc>
      </w:tr>
      <w:tr w:rsidR="00C66740" w14:paraId="7C65A8EB" w14:textId="77777777" w:rsidTr="00D876CC">
        <w:tc>
          <w:tcPr>
            <w:tcW w:w="1433" w:type="dxa"/>
          </w:tcPr>
          <w:p w14:paraId="67B9CC04" w14:textId="37F883F9" w:rsidR="00983696" w:rsidRPr="00D876CC" w:rsidRDefault="00983696" w:rsidP="00983696">
            <w:pPr>
              <w:jc w:val="center"/>
              <w:rPr>
                <w:sz w:val="22"/>
                <w:szCs w:val="22"/>
                <w:lang w:val="en-CA"/>
              </w:rPr>
            </w:pPr>
            <w:r w:rsidRPr="00D876CC">
              <w:rPr>
                <w:sz w:val="22"/>
                <w:szCs w:val="22"/>
                <w:lang w:val="en-CA"/>
              </w:rPr>
              <w:t>9</w:t>
            </w:r>
          </w:p>
        </w:tc>
        <w:tc>
          <w:tcPr>
            <w:tcW w:w="1433" w:type="dxa"/>
            <w:vAlign w:val="bottom"/>
          </w:tcPr>
          <w:p w14:paraId="5DD4A7B8" w14:textId="32799C74" w:rsidR="00983696" w:rsidRPr="00D876CC" w:rsidRDefault="00983696" w:rsidP="00983696">
            <w:pPr>
              <w:jc w:val="center"/>
              <w:rPr>
                <w:sz w:val="22"/>
                <w:szCs w:val="22"/>
                <w:lang w:val="en-CA"/>
              </w:rPr>
            </w:pPr>
            <w:r w:rsidRPr="00D876CC">
              <w:rPr>
                <w:sz w:val="22"/>
                <w:szCs w:val="22"/>
                <w:lang w:val="en-CA"/>
              </w:rPr>
              <w:t>0.3</w:t>
            </w:r>
          </w:p>
        </w:tc>
        <w:tc>
          <w:tcPr>
            <w:tcW w:w="1433" w:type="dxa"/>
            <w:vAlign w:val="bottom"/>
          </w:tcPr>
          <w:p w14:paraId="423317C2" w14:textId="47B94812" w:rsidR="00983696" w:rsidRPr="00D876CC" w:rsidRDefault="00983696" w:rsidP="00983696">
            <w:pPr>
              <w:jc w:val="center"/>
              <w:rPr>
                <w:sz w:val="22"/>
                <w:szCs w:val="22"/>
                <w:lang w:val="en-CA"/>
              </w:rPr>
            </w:pPr>
            <w:r w:rsidRPr="00D876CC">
              <w:rPr>
                <w:sz w:val="22"/>
                <w:szCs w:val="22"/>
                <w:lang w:val="en-CA"/>
              </w:rPr>
              <w:t>0.0</w:t>
            </w:r>
          </w:p>
        </w:tc>
        <w:tc>
          <w:tcPr>
            <w:tcW w:w="1433" w:type="dxa"/>
            <w:vAlign w:val="bottom"/>
          </w:tcPr>
          <w:p w14:paraId="3D23461E" w14:textId="0FEF6964" w:rsidR="00983696" w:rsidRPr="00D876CC" w:rsidRDefault="00983696" w:rsidP="00983696">
            <w:pPr>
              <w:jc w:val="center"/>
              <w:rPr>
                <w:sz w:val="22"/>
                <w:szCs w:val="22"/>
                <w:lang w:val="en-CA"/>
              </w:rPr>
            </w:pPr>
            <w:r w:rsidRPr="00D876CC">
              <w:rPr>
                <w:sz w:val="22"/>
                <w:szCs w:val="22"/>
                <w:lang w:val="en-CA"/>
              </w:rPr>
              <w:t>0.3</w:t>
            </w:r>
          </w:p>
        </w:tc>
        <w:tc>
          <w:tcPr>
            <w:tcW w:w="1433" w:type="dxa"/>
            <w:vAlign w:val="bottom"/>
          </w:tcPr>
          <w:p w14:paraId="0D45C22C" w14:textId="1C1089F7" w:rsidR="00983696" w:rsidRPr="00D876CC" w:rsidRDefault="00983696" w:rsidP="00983696">
            <w:pPr>
              <w:jc w:val="center"/>
              <w:rPr>
                <w:sz w:val="22"/>
                <w:szCs w:val="22"/>
                <w:lang w:val="en-CA"/>
              </w:rPr>
            </w:pPr>
            <w:r w:rsidRPr="00D876CC">
              <w:rPr>
                <w:sz w:val="22"/>
                <w:szCs w:val="22"/>
                <w:lang w:val="en-CA"/>
              </w:rPr>
              <w:t>2.3</w:t>
            </w:r>
          </w:p>
        </w:tc>
        <w:tc>
          <w:tcPr>
            <w:tcW w:w="1433" w:type="dxa"/>
            <w:vAlign w:val="bottom"/>
          </w:tcPr>
          <w:p w14:paraId="4836BA38" w14:textId="4844A4D5" w:rsidR="00983696" w:rsidRPr="00D876CC" w:rsidRDefault="00983696" w:rsidP="00983696">
            <w:pPr>
              <w:jc w:val="center"/>
              <w:rPr>
                <w:sz w:val="22"/>
                <w:szCs w:val="22"/>
                <w:lang w:val="en-CA"/>
              </w:rPr>
            </w:pPr>
            <w:r w:rsidRPr="00D876CC">
              <w:rPr>
                <w:sz w:val="22"/>
                <w:szCs w:val="22"/>
                <w:lang w:val="en-CA"/>
              </w:rPr>
              <w:t>0.0</w:t>
            </w:r>
          </w:p>
        </w:tc>
        <w:tc>
          <w:tcPr>
            <w:tcW w:w="1434" w:type="dxa"/>
            <w:vAlign w:val="bottom"/>
          </w:tcPr>
          <w:p w14:paraId="7692E4EF" w14:textId="31D310F1" w:rsidR="00983696" w:rsidRPr="00D876CC" w:rsidRDefault="00983696" w:rsidP="00983696">
            <w:pPr>
              <w:jc w:val="center"/>
              <w:rPr>
                <w:sz w:val="22"/>
                <w:szCs w:val="22"/>
                <w:lang w:val="en-CA"/>
              </w:rPr>
            </w:pPr>
            <w:r w:rsidRPr="00D876CC">
              <w:rPr>
                <w:sz w:val="22"/>
                <w:szCs w:val="22"/>
                <w:lang w:val="en-CA"/>
              </w:rPr>
              <w:t>2.3</w:t>
            </w:r>
            <w:r w:rsidRPr="00D876CC">
              <w:rPr>
                <w:sz w:val="22"/>
                <w:szCs w:val="22"/>
                <w:vertAlign w:val="superscript"/>
                <w:lang w:val="en-CA"/>
              </w:rPr>
              <w:t>***</w:t>
            </w:r>
          </w:p>
        </w:tc>
      </w:tr>
      <w:tr w:rsidR="00C66740" w14:paraId="2E2802F8" w14:textId="77777777" w:rsidTr="00D876CC">
        <w:tc>
          <w:tcPr>
            <w:tcW w:w="1433" w:type="dxa"/>
          </w:tcPr>
          <w:p w14:paraId="7C6DC319" w14:textId="7C829484" w:rsidR="00983696" w:rsidRPr="00D876CC" w:rsidRDefault="00983696" w:rsidP="00983696">
            <w:pPr>
              <w:jc w:val="center"/>
              <w:rPr>
                <w:sz w:val="22"/>
                <w:szCs w:val="22"/>
                <w:lang w:val="en-CA"/>
              </w:rPr>
            </w:pPr>
            <w:r w:rsidRPr="00D876CC">
              <w:rPr>
                <w:sz w:val="22"/>
                <w:szCs w:val="22"/>
                <w:lang w:val="en-CA"/>
              </w:rPr>
              <w:t>8</w:t>
            </w:r>
          </w:p>
        </w:tc>
        <w:tc>
          <w:tcPr>
            <w:tcW w:w="1433" w:type="dxa"/>
            <w:vAlign w:val="bottom"/>
          </w:tcPr>
          <w:p w14:paraId="19E2941D" w14:textId="22759361" w:rsidR="00983696" w:rsidRPr="00D876CC" w:rsidRDefault="00983696" w:rsidP="00983696">
            <w:pPr>
              <w:jc w:val="center"/>
              <w:rPr>
                <w:sz w:val="22"/>
                <w:szCs w:val="22"/>
                <w:lang w:val="en-CA"/>
              </w:rPr>
            </w:pPr>
            <w:r w:rsidRPr="00D876CC">
              <w:rPr>
                <w:sz w:val="22"/>
                <w:szCs w:val="22"/>
                <w:lang w:val="en-CA"/>
              </w:rPr>
              <w:t>0.7</w:t>
            </w:r>
          </w:p>
        </w:tc>
        <w:tc>
          <w:tcPr>
            <w:tcW w:w="1433" w:type="dxa"/>
            <w:vAlign w:val="bottom"/>
          </w:tcPr>
          <w:p w14:paraId="2458E418" w14:textId="4EDAB351" w:rsidR="00983696" w:rsidRPr="00D876CC" w:rsidRDefault="00983696" w:rsidP="00983696">
            <w:pPr>
              <w:jc w:val="center"/>
              <w:rPr>
                <w:sz w:val="22"/>
                <w:szCs w:val="22"/>
                <w:lang w:val="en-CA"/>
              </w:rPr>
            </w:pPr>
            <w:r w:rsidRPr="00D876CC">
              <w:rPr>
                <w:sz w:val="22"/>
                <w:szCs w:val="22"/>
                <w:lang w:val="en-CA"/>
              </w:rPr>
              <w:t>0.0</w:t>
            </w:r>
          </w:p>
        </w:tc>
        <w:tc>
          <w:tcPr>
            <w:tcW w:w="1433" w:type="dxa"/>
            <w:vAlign w:val="bottom"/>
          </w:tcPr>
          <w:p w14:paraId="0133321B" w14:textId="13F38184" w:rsidR="00983696" w:rsidRPr="00D876CC" w:rsidRDefault="00983696" w:rsidP="00983696">
            <w:pPr>
              <w:jc w:val="center"/>
              <w:rPr>
                <w:sz w:val="22"/>
                <w:szCs w:val="22"/>
                <w:lang w:val="en-CA"/>
              </w:rPr>
            </w:pPr>
            <w:r w:rsidRPr="00D876CC">
              <w:rPr>
                <w:sz w:val="22"/>
                <w:szCs w:val="22"/>
                <w:lang w:val="en-CA"/>
              </w:rPr>
              <w:t>0.7</w:t>
            </w:r>
            <w:r w:rsidRPr="00D876CC">
              <w:rPr>
                <w:sz w:val="22"/>
                <w:szCs w:val="22"/>
                <w:vertAlign w:val="superscript"/>
                <w:lang w:val="en-CA"/>
              </w:rPr>
              <w:t>**</w:t>
            </w:r>
          </w:p>
        </w:tc>
        <w:tc>
          <w:tcPr>
            <w:tcW w:w="1433" w:type="dxa"/>
            <w:vAlign w:val="bottom"/>
          </w:tcPr>
          <w:p w14:paraId="2415F0EE" w14:textId="50779CC7" w:rsidR="00983696" w:rsidRPr="00D876CC" w:rsidRDefault="00983696" w:rsidP="00983696">
            <w:pPr>
              <w:jc w:val="center"/>
              <w:rPr>
                <w:sz w:val="22"/>
                <w:szCs w:val="22"/>
                <w:lang w:val="en-CA"/>
              </w:rPr>
            </w:pPr>
            <w:r w:rsidRPr="00D876CC">
              <w:rPr>
                <w:sz w:val="22"/>
                <w:szCs w:val="22"/>
                <w:lang w:val="en-CA"/>
              </w:rPr>
              <w:t>2.0</w:t>
            </w:r>
          </w:p>
        </w:tc>
        <w:tc>
          <w:tcPr>
            <w:tcW w:w="1433" w:type="dxa"/>
            <w:vAlign w:val="bottom"/>
          </w:tcPr>
          <w:p w14:paraId="78C89A00" w14:textId="1FCC0B71" w:rsidR="00983696" w:rsidRPr="00D876CC" w:rsidRDefault="00983696" w:rsidP="00983696">
            <w:pPr>
              <w:jc w:val="center"/>
              <w:rPr>
                <w:sz w:val="22"/>
                <w:szCs w:val="22"/>
                <w:lang w:val="en-CA"/>
              </w:rPr>
            </w:pPr>
            <w:r w:rsidRPr="00D876CC">
              <w:rPr>
                <w:sz w:val="22"/>
                <w:szCs w:val="22"/>
                <w:lang w:val="en-CA"/>
              </w:rPr>
              <w:t>0.3</w:t>
            </w:r>
          </w:p>
        </w:tc>
        <w:tc>
          <w:tcPr>
            <w:tcW w:w="1434" w:type="dxa"/>
            <w:vAlign w:val="bottom"/>
          </w:tcPr>
          <w:p w14:paraId="42C8D88A" w14:textId="6BF59FE1" w:rsidR="00983696" w:rsidRPr="00D876CC" w:rsidRDefault="00983696" w:rsidP="00983696">
            <w:pPr>
              <w:jc w:val="center"/>
              <w:rPr>
                <w:sz w:val="22"/>
                <w:szCs w:val="22"/>
                <w:lang w:val="en-CA"/>
              </w:rPr>
            </w:pPr>
            <w:r w:rsidRPr="00D876CC">
              <w:rPr>
                <w:sz w:val="22"/>
                <w:szCs w:val="22"/>
                <w:lang w:val="en-CA"/>
              </w:rPr>
              <w:t>1.6</w:t>
            </w:r>
            <w:r w:rsidRPr="00D876CC">
              <w:rPr>
                <w:sz w:val="22"/>
                <w:szCs w:val="22"/>
                <w:vertAlign w:val="superscript"/>
                <w:lang w:val="en-CA"/>
              </w:rPr>
              <w:t>*</w:t>
            </w:r>
          </w:p>
        </w:tc>
      </w:tr>
      <w:tr w:rsidR="00C66740" w14:paraId="59C46EFF" w14:textId="77777777" w:rsidTr="00D876CC">
        <w:tc>
          <w:tcPr>
            <w:tcW w:w="1433" w:type="dxa"/>
          </w:tcPr>
          <w:p w14:paraId="79A5F576" w14:textId="76168793" w:rsidR="00983696" w:rsidRPr="00D876CC" w:rsidRDefault="00983696" w:rsidP="00983696">
            <w:pPr>
              <w:jc w:val="center"/>
              <w:rPr>
                <w:sz w:val="22"/>
                <w:szCs w:val="22"/>
                <w:lang w:val="en-CA"/>
              </w:rPr>
            </w:pPr>
            <w:r w:rsidRPr="00D876CC">
              <w:rPr>
                <w:sz w:val="22"/>
                <w:szCs w:val="22"/>
                <w:lang w:val="en-CA"/>
              </w:rPr>
              <w:t>7</w:t>
            </w:r>
          </w:p>
        </w:tc>
        <w:tc>
          <w:tcPr>
            <w:tcW w:w="1433" w:type="dxa"/>
            <w:vAlign w:val="bottom"/>
          </w:tcPr>
          <w:p w14:paraId="6EC6AC19" w14:textId="53F3DE92" w:rsidR="00983696" w:rsidRPr="00D876CC" w:rsidRDefault="00983696" w:rsidP="00983696">
            <w:pPr>
              <w:jc w:val="center"/>
              <w:rPr>
                <w:sz w:val="22"/>
                <w:szCs w:val="22"/>
                <w:lang w:val="en-CA"/>
              </w:rPr>
            </w:pPr>
            <w:r w:rsidRPr="00D876CC">
              <w:rPr>
                <w:sz w:val="22"/>
                <w:szCs w:val="22"/>
                <w:lang w:val="en-CA"/>
              </w:rPr>
              <w:t>1.5</w:t>
            </w:r>
          </w:p>
        </w:tc>
        <w:tc>
          <w:tcPr>
            <w:tcW w:w="1433" w:type="dxa"/>
            <w:vAlign w:val="bottom"/>
          </w:tcPr>
          <w:p w14:paraId="56C51B37" w14:textId="27ABA93B" w:rsidR="00983696" w:rsidRPr="00D876CC" w:rsidRDefault="00983696" w:rsidP="00983696">
            <w:pPr>
              <w:jc w:val="center"/>
              <w:rPr>
                <w:sz w:val="22"/>
                <w:szCs w:val="22"/>
                <w:lang w:val="en-CA"/>
              </w:rPr>
            </w:pPr>
            <w:r w:rsidRPr="00D876CC">
              <w:rPr>
                <w:sz w:val="22"/>
                <w:szCs w:val="22"/>
                <w:lang w:val="en-CA"/>
              </w:rPr>
              <w:t>0.3</w:t>
            </w:r>
          </w:p>
        </w:tc>
        <w:tc>
          <w:tcPr>
            <w:tcW w:w="1433" w:type="dxa"/>
            <w:vAlign w:val="bottom"/>
          </w:tcPr>
          <w:p w14:paraId="62B1E89E" w14:textId="260414FA" w:rsidR="00983696" w:rsidRPr="00D876CC" w:rsidRDefault="00983696" w:rsidP="00983696">
            <w:pPr>
              <w:jc w:val="center"/>
              <w:rPr>
                <w:sz w:val="22"/>
                <w:szCs w:val="22"/>
                <w:lang w:val="en-CA"/>
              </w:rPr>
            </w:pPr>
            <w:r w:rsidRPr="00D876CC">
              <w:rPr>
                <w:sz w:val="22"/>
                <w:szCs w:val="22"/>
                <w:lang w:val="en-CA"/>
              </w:rPr>
              <w:t>1.2</w:t>
            </w:r>
            <w:r w:rsidRPr="00D876CC">
              <w:rPr>
                <w:sz w:val="22"/>
                <w:szCs w:val="22"/>
                <w:vertAlign w:val="superscript"/>
                <w:lang w:val="en-CA"/>
              </w:rPr>
              <w:t>**</w:t>
            </w:r>
          </w:p>
        </w:tc>
        <w:tc>
          <w:tcPr>
            <w:tcW w:w="1433" w:type="dxa"/>
            <w:vAlign w:val="bottom"/>
          </w:tcPr>
          <w:p w14:paraId="5E35D4DB" w14:textId="65A3D7D6" w:rsidR="00983696" w:rsidRPr="00D876CC" w:rsidRDefault="00983696" w:rsidP="00983696">
            <w:pPr>
              <w:jc w:val="center"/>
              <w:rPr>
                <w:sz w:val="22"/>
                <w:szCs w:val="22"/>
                <w:lang w:val="en-CA"/>
              </w:rPr>
            </w:pPr>
            <w:r w:rsidRPr="00D876CC">
              <w:rPr>
                <w:sz w:val="22"/>
                <w:szCs w:val="22"/>
                <w:lang w:val="en-CA"/>
              </w:rPr>
              <w:t>3.9</w:t>
            </w:r>
          </w:p>
        </w:tc>
        <w:tc>
          <w:tcPr>
            <w:tcW w:w="1433" w:type="dxa"/>
            <w:vAlign w:val="bottom"/>
          </w:tcPr>
          <w:p w14:paraId="5233BF22" w14:textId="6091F736" w:rsidR="00983696" w:rsidRPr="00D876CC" w:rsidRDefault="00983696" w:rsidP="00983696">
            <w:pPr>
              <w:jc w:val="center"/>
              <w:rPr>
                <w:sz w:val="22"/>
                <w:szCs w:val="22"/>
                <w:lang w:val="en-CA"/>
              </w:rPr>
            </w:pPr>
            <w:r w:rsidRPr="00D876CC">
              <w:rPr>
                <w:sz w:val="22"/>
                <w:szCs w:val="22"/>
                <w:lang w:val="en-CA"/>
              </w:rPr>
              <w:t>0.0</w:t>
            </w:r>
          </w:p>
        </w:tc>
        <w:tc>
          <w:tcPr>
            <w:tcW w:w="1434" w:type="dxa"/>
            <w:vAlign w:val="bottom"/>
          </w:tcPr>
          <w:p w14:paraId="26385292" w14:textId="01200474" w:rsidR="00983696" w:rsidRPr="00D876CC" w:rsidRDefault="00983696" w:rsidP="00983696">
            <w:pPr>
              <w:jc w:val="center"/>
              <w:rPr>
                <w:sz w:val="22"/>
                <w:szCs w:val="22"/>
                <w:lang w:val="en-CA"/>
              </w:rPr>
            </w:pPr>
            <w:r w:rsidRPr="00D876CC">
              <w:rPr>
                <w:sz w:val="22"/>
                <w:szCs w:val="22"/>
                <w:lang w:val="en-CA"/>
              </w:rPr>
              <w:t>3.9</w:t>
            </w:r>
            <w:r w:rsidRPr="00D876CC">
              <w:rPr>
                <w:sz w:val="22"/>
                <w:szCs w:val="22"/>
                <w:vertAlign w:val="superscript"/>
                <w:lang w:val="en-CA"/>
              </w:rPr>
              <w:t>***</w:t>
            </w:r>
          </w:p>
        </w:tc>
      </w:tr>
      <w:tr w:rsidR="00C66740" w14:paraId="3CD62461" w14:textId="77777777" w:rsidTr="00D876CC">
        <w:tc>
          <w:tcPr>
            <w:tcW w:w="1433" w:type="dxa"/>
          </w:tcPr>
          <w:p w14:paraId="661FB34E" w14:textId="76DD8708" w:rsidR="00983696" w:rsidRPr="00D876CC" w:rsidRDefault="00983696" w:rsidP="00983696">
            <w:pPr>
              <w:jc w:val="center"/>
              <w:rPr>
                <w:sz w:val="22"/>
                <w:szCs w:val="22"/>
                <w:lang w:val="en-CA"/>
              </w:rPr>
            </w:pPr>
            <w:r w:rsidRPr="00D876CC">
              <w:rPr>
                <w:sz w:val="22"/>
                <w:szCs w:val="22"/>
                <w:lang w:val="en-CA"/>
              </w:rPr>
              <w:t>6</w:t>
            </w:r>
          </w:p>
        </w:tc>
        <w:tc>
          <w:tcPr>
            <w:tcW w:w="1433" w:type="dxa"/>
            <w:vAlign w:val="bottom"/>
          </w:tcPr>
          <w:p w14:paraId="692EA015" w14:textId="4E821A98" w:rsidR="00983696" w:rsidRPr="00D876CC" w:rsidRDefault="00983696" w:rsidP="00983696">
            <w:pPr>
              <w:jc w:val="center"/>
              <w:rPr>
                <w:sz w:val="22"/>
                <w:szCs w:val="22"/>
                <w:lang w:val="en-CA"/>
              </w:rPr>
            </w:pPr>
            <w:r w:rsidRPr="00D876CC">
              <w:rPr>
                <w:sz w:val="22"/>
                <w:szCs w:val="22"/>
                <w:lang w:val="en-CA"/>
              </w:rPr>
              <w:t>2.4</w:t>
            </w:r>
          </w:p>
        </w:tc>
        <w:tc>
          <w:tcPr>
            <w:tcW w:w="1433" w:type="dxa"/>
            <w:vAlign w:val="bottom"/>
          </w:tcPr>
          <w:p w14:paraId="3CC04349" w14:textId="68B82E32" w:rsidR="00983696" w:rsidRPr="00D876CC" w:rsidRDefault="00983696" w:rsidP="00983696">
            <w:pPr>
              <w:jc w:val="center"/>
              <w:rPr>
                <w:sz w:val="22"/>
                <w:szCs w:val="22"/>
                <w:lang w:val="en-CA"/>
              </w:rPr>
            </w:pPr>
            <w:r w:rsidRPr="00D876CC">
              <w:rPr>
                <w:sz w:val="22"/>
                <w:szCs w:val="22"/>
                <w:lang w:val="en-CA"/>
              </w:rPr>
              <w:t>0.6</w:t>
            </w:r>
          </w:p>
        </w:tc>
        <w:tc>
          <w:tcPr>
            <w:tcW w:w="1433" w:type="dxa"/>
            <w:vAlign w:val="bottom"/>
          </w:tcPr>
          <w:p w14:paraId="36E21273" w14:textId="272BF098" w:rsidR="00983696" w:rsidRPr="00D876CC" w:rsidRDefault="00983696" w:rsidP="00983696">
            <w:pPr>
              <w:jc w:val="center"/>
              <w:rPr>
                <w:sz w:val="22"/>
                <w:szCs w:val="22"/>
                <w:lang w:val="en-CA"/>
              </w:rPr>
            </w:pPr>
            <w:r w:rsidRPr="00D876CC">
              <w:rPr>
                <w:sz w:val="22"/>
                <w:szCs w:val="22"/>
                <w:lang w:val="en-CA"/>
              </w:rPr>
              <w:t>1.8</w:t>
            </w:r>
            <w:r w:rsidRPr="00D876CC">
              <w:rPr>
                <w:sz w:val="22"/>
                <w:szCs w:val="22"/>
                <w:vertAlign w:val="superscript"/>
                <w:lang w:val="en-CA"/>
              </w:rPr>
              <w:t>***</w:t>
            </w:r>
          </w:p>
        </w:tc>
        <w:tc>
          <w:tcPr>
            <w:tcW w:w="1433" w:type="dxa"/>
            <w:vAlign w:val="bottom"/>
          </w:tcPr>
          <w:p w14:paraId="19EA91D5" w14:textId="3816C6C1" w:rsidR="00983696" w:rsidRPr="00D876CC" w:rsidRDefault="00983696" w:rsidP="00983696">
            <w:pPr>
              <w:jc w:val="center"/>
              <w:rPr>
                <w:sz w:val="22"/>
                <w:szCs w:val="22"/>
                <w:lang w:val="en-CA"/>
              </w:rPr>
            </w:pPr>
            <w:r w:rsidRPr="00D876CC">
              <w:rPr>
                <w:sz w:val="22"/>
                <w:szCs w:val="22"/>
                <w:lang w:val="en-CA"/>
              </w:rPr>
              <w:t>3.4</w:t>
            </w:r>
          </w:p>
        </w:tc>
        <w:tc>
          <w:tcPr>
            <w:tcW w:w="1433" w:type="dxa"/>
            <w:vAlign w:val="bottom"/>
          </w:tcPr>
          <w:p w14:paraId="56E959DD" w14:textId="35F645EB" w:rsidR="00983696" w:rsidRPr="00D876CC" w:rsidRDefault="00983696" w:rsidP="00983696">
            <w:pPr>
              <w:jc w:val="center"/>
              <w:rPr>
                <w:sz w:val="22"/>
                <w:szCs w:val="22"/>
                <w:lang w:val="en-CA"/>
              </w:rPr>
            </w:pPr>
            <w:r w:rsidRPr="00D876CC">
              <w:rPr>
                <w:sz w:val="22"/>
                <w:szCs w:val="22"/>
                <w:lang w:val="en-CA"/>
              </w:rPr>
              <w:t>1.0</w:t>
            </w:r>
          </w:p>
        </w:tc>
        <w:tc>
          <w:tcPr>
            <w:tcW w:w="1434" w:type="dxa"/>
            <w:vAlign w:val="bottom"/>
          </w:tcPr>
          <w:p w14:paraId="51296A0C" w14:textId="12D6A8DD" w:rsidR="00983696" w:rsidRPr="00D876CC" w:rsidRDefault="00983696" w:rsidP="00983696">
            <w:pPr>
              <w:jc w:val="center"/>
              <w:rPr>
                <w:sz w:val="22"/>
                <w:szCs w:val="22"/>
                <w:lang w:val="en-CA"/>
              </w:rPr>
            </w:pPr>
            <w:r w:rsidRPr="00D876CC">
              <w:rPr>
                <w:sz w:val="22"/>
                <w:szCs w:val="22"/>
                <w:lang w:val="en-CA"/>
              </w:rPr>
              <w:t>2.4</w:t>
            </w:r>
            <w:r w:rsidRPr="00D876CC">
              <w:rPr>
                <w:sz w:val="22"/>
                <w:szCs w:val="22"/>
                <w:vertAlign w:val="superscript"/>
                <w:lang w:val="en-CA"/>
              </w:rPr>
              <w:t>**</w:t>
            </w:r>
          </w:p>
        </w:tc>
      </w:tr>
      <w:tr w:rsidR="00C66740" w14:paraId="70E13558" w14:textId="77777777" w:rsidTr="00D876CC">
        <w:tc>
          <w:tcPr>
            <w:tcW w:w="1433" w:type="dxa"/>
          </w:tcPr>
          <w:p w14:paraId="16C8822D" w14:textId="1A7B2211" w:rsidR="00983696" w:rsidRPr="00D876CC" w:rsidRDefault="00983696" w:rsidP="00983696">
            <w:pPr>
              <w:jc w:val="center"/>
              <w:rPr>
                <w:sz w:val="22"/>
                <w:szCs w:val="22"/>
                <w:lang w:val="en-CA"/>
              </w:rPr>
            </w:pPr>
            <w:r w:rsidRPr="00D876CC">
              <w:rPr>
                <w:sz w:val="22"/>
                <w:szCs w:val="22"/>
                <w:lang w:val="en-CA"/>
              </w:rPr>
              <w:t>5</w:t>
            </w:r>
          </w:p>
        </w:tc>
        <w:tc>
          <w:tcPr>
            <w:tcW w:w="1433" w:type="dxa"/>
            <w:vAlign w:val="bottom"/>
          </w:tcPr>
          <w:p w14:paraId="2536A6BB" w14:textId="58A15CAD" w:rsidR="00983696" w:rsidRPr="00D876CC" w:rsidRDefault="00983696" w:rsidP="00983696">
            <w:pPr>
              <w:jc w:val="center"/>
              <w:rPr>
                <w:sz w:val="22"/>
                <w:szCs w:val="22"/>
                <w:lang w:val="en-CA"/>
              </w:rPr>
            </w:pPr>
            <w:r w:rsidRPr="00D876CC">
              <w:rPr>
                <w:sz w:val="22"/>
                <w:szCs w:val="22"/>
                <w:lang w:val="en-CA"/>
              </w:rPr>
              <w:t>4.9</w:t>
            </w:r>
          </w:p>
        </w:tc>
        <w:tc>
          <w:tcPr>
            <w:tcW w:w="1433" w:type="dxa"/>
            <w:vAlign w:val="bottom"/>
          </w:tcPr>
          <w:p w14:paraId="3CA7181E" w14:textId="138F2CEC" w:rsidR="00983696" w:rsidRPr="00D876CC" w:rsidRDefault="00983696" w:rsidP="00983696">
            <w:pPr>
              <w:jc w:val="center"/>
              <w:rPr>
                <w:sz w:val="22"/>
                <w:szCs w:val="22"/>
                <w:lang w:val="en-CA"/>
              </w:rPr>
            </w:pPr>
            <w:r w:rsidRPr="00D876CC">
              <w:rPr>
                <w:sz w:val="22"/>
                <w:szCs w:val="22"/>
                <w:lang w:val="en-CA"/>
              </w:rPr>
              <w:t>1.2</w:t>
            </w:r>
          </w:p>
        </w:tc>
        <w:tc>
          <w:tcPr>
            <w:tcW w:w="1433" w:type="dxa"/>
            <w:vAlign w:val="bottom"/>
          </w:tcPr>
          <w:p w14:paraId="71551BF9" w14:textId="56D607B5" w:rsidR="00983696" w:rsidRPr="00D876CC" w:rsidRDefault="00983696" w:rsidP="00983696">
            <w:pPr>
              <w:jc w:val="center"/>
              <w:rPr>
                <w:sz w:val="22"/>
                <w:szCs w:val="22"/>
                <w:lang w:val="en-CA"/>
              </w:rPr>
            </w:pPr>
            <w:r w:rsidRPr="00D876CC">
              <w:rPr>
                <w:sz w:val="22"/>
                <w:szCs w:val="22"/>
                <w:lang w:val="en-CA"/>
              </w:rPr>
              <w:t>3.7</w:t>
            </w:r>
            <w:r w:rsidRPr="00D876CC">
              <w:rPr>
                <w:sz w:val="22"/>
                <w:szCs w:val="22"/>
                <w:vertAlign w:val="superscript"/>
                <w:lang w:val="en-CA"/>
              </w:rPr>
              <w:t>***</w:t>
            </w:r>
          </w:p>
        </w:tc>
        <w:tc>
          <w:tcPr>
            <w:tcW w:w="1433" w:type="dxa"/>
            <w:vAlign w:val="bottom"/>
          </w:tcPr>
          <w:p w14:paraId="691F20EE" w14:textId="71314FDC" w:rsidR="00983696" w:rsidRPr="00D876CC" w:rsidRDefault="00983696" w:rsidP="00983696">
            <w:pPr>
              <w:jc w:val="center"/>
              <w:rPr>
                <w:sz w:val="22"/>
                <w:szCs w:val="22"/>
                <w:lang w:val="en-CA"/>
              </w:rPr>
            </w:pPr>
            <w:r w:rsidRPr="00D876CC">
              <w:rPr>
                <w:sz w:val="22"/>
                <w:szCs w:val="22"/>
                <w:lang w:val="en-CA"/>
              </w:rPr>
              <w:t>8.2</w:t>
            </w:r>
          </w:p>
        </w:tc>
        <w:tc>
          <w:tcPr>
            <w:tcW w:w="1433" w:type="dxa"/>
            <w:vAlign w:val="bottom"/>
          </w:tcPr>
          <w:p w14:paraId="6A3F45DE" w14:textId="32373A51" w:rsidR="00983696" w:rsidRPr="00D876CC" w:rsidRDefault="00983696" w:rsidP="00983696">
            <w:pPr>
              <w:jc w:val="center"/>
              <w:rPr>
                <w:sz w:val="22"/>
                <w:szCs w:val="22"/>
                <w:lang w:val="en-CA"/>
              </w:rPr>
            </w:pPr>
            <w:r w:rsidRPr="00D876CC">
              <w:rPr>
                <w:sz w:val="22"/>
                <w:szCs w:val="22"/>
                <w:lang w:val="en-CA"/>
              </w:rPr>
              <w:t>2.4</w:t>
            </w:r>
          </w:p>
        </w:tc>
        <w:tc>
          <w:tcPr>
            <w:tcW w:w="1434" w:type="dxa"/>
            <w:vAlign w:val="bottom"/>
          </w:tcPr>
          <w:p w14:paraId="186835B6" w14:textId="5CD42586" w:rsidR="00983696" w:rsidRPr="00D876CC" w:rsidRDefault="00983696" w:rsidP="00983696">
            <w:pPr>
              <w:jc w:val="center"/>
              <w:rPr>
                <w:sz w:val="22"/>
                <w:szCs w:val="22"/>
                <w:lang w:val="en-CA"/>
              </w:rPr>
            </w:pPr>
            <w:r w:rsidRPr="00D876CC">
              <w:rPr>
                <w:sz w:val="22"/>
                <w:szCs w:val="22"/>
                <w:lang w:val="en-CA"/>
              </w:rPr>
              <w:t>5.8</w:t>
            </w:r>
            <w:r w:rsidRPr="00D876CC">
              <w:rPr>
                <w:sz w:val="22"/>
                <w:szCs w:val="22"/>
                <w:vertAlign w:val="superscript"/>
                <w:lang w:val="en-CA"/>
              </w:rPr>
              <w:t>***</w:t>
            </w:r>
          </w:p>
        </w:tc>
      </w:tr>
      <w:tr w:rsidR="00C66740" w14:paraId="5EF1ED47" w14:textId="77777777" w:rsidTr="00D876CC">
        <w:tc>
          <w:tcPr>
            <w:tcW w:w="1433" w:type="dxa"/>
          </w:tcPr>
          <w:p w14:paraId="404EB566" w14:textId="43C8293C" w:rsidR="00983696" w:rsidRPr="00D876CC" w:rsidRDefault="00983696" w:rsidP="00983696">
            <w:pPr>
              <w:jc w:val="center"/>
              <w:rPr>
                <w:sz w:val="22"/>
                <w:szCs w:val="22"/>
                <w:lang w:val="en-CA"/>
              </w:rPr>
            </w:pPr>
            <w:r w:rsidRPr="00D876CC">
              <w:rPr>
                <w:sz w:val="22"/>
                <w:szCs w:val="22"/>
                <w:lang w:val="en-CA"/>
              </w:rPr>
              <w:t>4</w:t>
            </w:r>
          </w:p>
        </w:tc>
        <w:tc>
          <w:tcPr>
            <w:tcW w:w="1433" w:type="dxa"/>
            <w:vAlign w:val="bottom"/>
          </w:tcPr>
          <w:p w14:paraId="2691CE64" w14:textId="4F5613B0" w:rsidR="00983696" w:rsidRPr="00D876CC" w:rsidRDefault="00983696" w:rsidP="00983696">
            <w:pPr>
              <w:jc w:val="center"/>
              <w:rPr>
                <w:sz w:val="22"/>
                <w:szCs w:val="22"/>
                <w:lang w:val="en-CA"/>
              </w:rPr>
            </w:pPr>
            <w:r w:rsidRPr="00D876CC">
              <w:rPr>
                <w:sz w:val="22"/>
                <w:szCs w:val="22"/>
                <w:lang w:val="en-CA"/>
              </w:rPr>
              <w:t>7.5</w:t>
            </w:r>
          </w:p>
        </w:tc>
        <w:tc>
          <w:tcPr>
            <w:tcW w:w="1433" w:type="dxa"/>
            <w:vAlign w:val="bottom"/>
          </w:tcPr>
          <w:p w14:paraId="42A79EFB" w14:textId="5CDE93D5" w:rsidR="00983696" w:rsidRPr="00D876CC" w:rsidRDefault="00983696" w:rsidP="00983696">
            <w:pPr>
              <w:jc w:val="center"/>
              <w:rPr>
                <w:sz w:val="22"/>
                <w:szCs w:val="22"/>
                <w:lang w:val="en-CA"/>
              </w:rPr>
            </w:pPr>
            <w:r w:rsidRPr="00D876CC">
              <w:rPr>
                <w:sz w:val="22"/>
                <w:szCs w:val="22"/>
                <w:lang w:val="en-CA"/>
              </w:rPr>
              <w:t>2.6</w:t>
            </w:r>
          </w:p>
        </w:tc>
        <w:tc>
          <w:tcPr>
            <w:tcW w:w="1433" w:type="dxa"/>
            <w:vAlign w:val="bottom"/>
          </w:tcPr>
          <w:p w14:paraId="338AD60E" w14:textId="6DDC178B" w:rsidR="00983696" w:rsidRPr="00D876CC" w:rsidRDefault="00983696" w:rsidP="00983696">
            <w:pPr>
              <w:jc w:val="center"/>
              <w:rPr>
                <w:sz w:val="22"/>
                <w:szCs w:val="22"/>
                <w:lang w:val="en-CA"/>
              </w:rPr>
            </w:pPr>
            <w:r w:rsidRPr="00D876CC">
              <w:rPr>
                <w:sz w:val="22"/>
                <w:szCs w:val="22"/>
                <w:lang w:val="en-CA"/>
              </w:rPr>
              <w:t>4.9</w:t>
            </w:r>
            <w:r w:rsidRPr="00D876CC">
              <w:rPr>
                <w:sz w:val="22"/>
                <w:szCs w:val="22"/>
                <w:vertAlign w:val="superscript"/>
                <w:lang w:val="en-CA"/>
              </w:rPr>
              <w:t>***</w:t>
            </w:r>
          </w:p>
        </w:tc>
        <w:tc>
          <w:tcPr>
            <w:tcW w:w="1433" w:type="dxa"/>
            <w:vAlign w:val="bottom"/>
          </w:tcPr>
          <w:p w14:paraId="7042ACE0" w14:textId="74ECC87D" w:rsidR="00983696" w:rsidRPr="00D876CC" w:rsidRDefault="00983696" w:rsidP="00983696">
            <w:pPr>
              <w:jc w:val="center"/>
              <w:rPr>
                <w:sz w:val="22"/>
                <w:szCs w:val="22"/>
                <w:lang w:val="en-CA"/>
              </w:rPr>
            </w:pPr>
            <w:r w:rsidRPr="00D876CC">
              <w:rPr>
                <w:sz w:val="22"/>
                <w:szCs w:val="22"/>
                <w:lang w:val="en-CA"/>
              </w:rPr>
              <w:t>8.7</w:t>
            </w:r>
          </w:p>
        </w:tc>
        <w:tc>
          <w:tcPr>
            <w:tcW w:w="1433" w:type="dxa"/>
            <w:vAlign w:val="bottom"/>
          </w:tcPr>
          <w:p w14:paraId="48EF0CC1" w14:textId="24BE3304" w:rsidR="00983696" w:rsidRPr="00D876CC" w:rsidRDefault="00983696" w:rsidP="00983696">
            <w:pPr>
              <w:jc w:val="center"/>
              <w:rPr>
                <w:sz w:val="22"/>
                <w:szCs w:val="22"/>
                <w:lang w:val="en-CA"/>
              </w:rPr>
            </w:pPr>
            <w:r w:rsidRPr="00D876CC">
              <w:rPr>
                <w:sz w:val="22"/>
                <w:szCs w:val="22"/>
                <w:lang w:val="en-CA"/>
              </w:rPr>
              <w:t>5.8</w:t>
            </w:r>
          </w:p>
        </w:tc>
        <w:tc>
          <w:tcPr>
            <w:tcW w:w="1434" w:type="dxa"/>
            <w:vAlign w:val="bottom"/>
          </w:tcPr>
          <w:p w14:paraId="15C919DD" w14:textId="56632E15" w:rsidR="00983696" w:rsidRPr="00D876CC" w:rsidRDefault="00983696" w:rsidP="00983696">
            <w:pPr>
              <w:jc w:val="center"/>
              <w:rPr>
                <w:sz w:val="22"/>
                <w:szCs w:val="22"/>
                <w:lang w:val="en-CA"/>
              </w:rPr>
            </w:pPr>
            <w:r w:rsidRPr="00D876CC">
              <w:rPr>
                <w:sz w:val="22"/>
                <w:szCs w:val="22"/>
                <w:lang w:val="en-CA"/>
              </w:rPr>
              <w:t>2.9</w:t>
            </w:r>
          </w:p>
        </w:tc>
      </w:tr>
      <w:tr w:rsidR="00C66740" w14:paraId="321145A3" w14:textId="77777777" w:rsidTr="00D876CC">
        <w:tc>
          <w:tcPr>
            <w:tcW w:w="1433" w:type="dxa"/>
          </w:tcPr>
          <w:p w14:paraId="07574432" w14:textId="747BF239" w:rsidR="00983696" w:rsidRPr="00D876CC" w:rsidRDefault="00983696" w:rsidP="00983696">
            <w:pPr>
              <w:jc w:val="center"/>
              <w:rPr>
                <w:sz w:val="22"/>
                <w:szCs w:val="22"/>
                <w:lang w:val="en-CA"/>
              </w:rPr>
            </w:pPr>
            <w:r w:rsidRPr="00D876CC">
              <w:rPr>
                <w:sz w:val="22"/>
                <w:szCs w:val="22"/>
                <w:lang w:val="en-CA"/>
              </w:rPr>
              <w:t>3</w:t>
            </w:r>
          </w:p>
        </w:tc>
        <w:tc>
          <w:tcPr>
            <w:tcW w:w="1433" w:type="dxa"/>
            <w:vAlign w:val="bottom"/>
          </w:tcPr>
          <w:p w14:paraId="39DFED95" w14:textId="12BDC345" w:rsidR="00983696" w:rsidRPr="00D876CC" w:rsidRDefault="00983696" w:rsidP="00983696">
            <w:pPr>
              <w:jc w:val="center"/>
              <w:rPr>
                <w:sz w:val="22"/>
                <w:szCs w:val="22"/>
                <w:lang w:val="en-CA"/>
              </w:rPr>
            </w:pPr>
            <w:r w:rsidRPr="00D876CC">
              <w:rPr>
                <w:sz w:val="22"/>
                <w:szCs w:val="22"/>
                <w:lang w:val="en-CA"/>
              </w:rPr>
              <w:t>14.4</w:t>
            </w:r>
          </w:p>
        </w:tc>
        <w:tc>
          <w:tcPr>
            <w:tcW w:w="1433" w:type="dxa"/>
            <w:vAlign w:val="bottom"/>
          </w:tcPr>
          <w:p w14:paraId="5EAA488A" w14:textId="228F0ACD" w:rsidR="00983696" w:rsidRPr="00D876CC" w:rsidRDefault="00983696" w:rsidP="00983696">
            <w:pPr>
              <w:jc w:val="center"/>
              <w:rPr>
                <w:sz w:val="22"/>
                <w:szCs w:val="22"/>
                <w:lang w:val="en-CA"/>
              </w:rPr>
            </w:pPr>
            <w:r w:rsidRPr="00D876CC">
              <w:rPr>
                <w:sz w:val="22"/>
                <w:szCs w:val="22"/>
                <w:lang w:val="en-CA"/>
              </w:rPr>
              <w:t>7.1</w:t>
            </w:r>
          </w:p>
        </w:tc>
        <w:tc>
          <w:tcPr>
            <w:tcW w:w="1433" w:type="dxa"/>
            <w:vAlign w:val="bottom"/>
          </w:tcPr>
          <w:p w14:paraId="45ADC70D" w14:textId="1B853272" w:rsidR="00983696" w:rsidRPr="00D876CC" w:rsidRDefault="00983696" w:rsidP="00983696">
            <w:pPr>
              <w:jc w:val="center"/>
              <w:rPr>
                <w:sz w:val="22"/>
                <w:szCs w:val="22"/>
                <w:lang w:val="en-CA"/>
              </w:rPr>
            </w:pPr>
            <w:r w:rsidRPr="00D876CC">
              <w:rPr>
                <w:sz w:val="22"/>
                <w:szCs w:val="22"/>
                <w:lang w:val="en-CA"/>
              </w:rPr>
              <w:t>7.4</w:t>
            </w:r>
            <w:r w:rsidRPr="00D876CC">
              <w:rPr>
                <w:sz w:val="22"/>
                <w:szCs w:val="22"/>
                <w:vertAlign w:val="superscript"/>
                <w:lang w:val="en-CA"/>
              </w:rPr>
              <w:t>***</w:t>
            </w:r>
          </w:p>
        </w:tc>
        <w:tc>
          <w:tcPr>
            <w:tcW w:w="1433" w:type="dxa"/>
            <w:vAlign w:val="bottom"/>
          </w:tcPr>
          <w:p w14:paraId="36BA0D4C" w14:textId="6F20E5BA" w:rsidR="00983696" w:rsidRPr="00D876CC" w:rsidRDefault="00983696" w:rsidP="00983696">
            <w:pPr>
              <w:jc w:val="center"/>
              <w:rPr>
                <w:sz w:val="22"/>
                <w:szCs w:val="22"/>
                <w:lang w:val="en-CA"/>
              </w:rPr>
            </w:pPr>
            <w:r w:rsidRPr="00D876CC">
              <w:rPr>
                <w:sz w:val="22"/>
                <w:szCs w:val="22"/>
                <w:lang w:val="en-CA"/>
              </w:rPr>
              <w:t>11.4</w:t>
            </w:r>
          </w:p>
        </w:tc>
        <w:tc>
          <w:tcPr>
            <w:tcW w:w="1433" w:type="dxa"/>
            <w:vAlign w:val="bottom"/>
          </w:tcPr>
          <w:p w14:paraId="1A9CF2B4" w14:textId="3E8B4BCC" w:rsidR="00983696" w:rsidRPr="00D876CC" w:rsidRDefault="00983696" w:rsidP="00983696">
            <w:pPr>
              <w:jc w:val="center"/>
              <w:rPr>
                <w:sz w:val="22"/>
                <w:szCs w:val="22"/>
                <w:lang w:val="en-CA"/>
              </w:rPr>
            </w:pPr>
            <w:r w:rsidRPr="00D876CC">
              <w:rPr>
                <w:sz w:val="22"/>
                <w:szCs w:val="22"/>
                <w:lang w:val="en-CA"/>
              </w:rPr>
              <w:t>9.2</w:t>
            </w:r>
          </w:p>
        </w:tc>
        <w:tc>
          <w:tcPr>
            <w:tcW w:w="1434" w:type="dxa"/>
            <w:vAlign w:val="bottom"/>
          </w:tcPr>
          <w:p w14:paraId="1217B1EB" w14:textId="6A443269" w:rsidR="00983696" w:rsidRPr="00D876CC" w:rsidRDefault="00983696" w:rsidP="00983696">
            <w:pPr>
              <w:jc w:val="center"/>
              <w:rPr>
                <w:sz w:val="22"/>
                <w:szCs w:val="22"/>
                <w:lang w:val="en-CA"/>
              </w:rPr>
            </w:pPr>
            <w:r w:rsidRPr="00D876CC">
              <w:rPr>
                <w:sz w:val="22"/>
                <w:szCs w:val="22"/>
                <w:lang w:val="en-CA"/>
              </w:rPr>
              <w:t>2.2</w:t>
            </w:r>
          </w:p>
        </w:tc>
      </w:tr>
      <w:tr w:rsidR="00C66740" w14:paraId="5A8B2F17" w14:textId="77777777" w:rsidTr="00D876CC">
        <w:tc>
          <w:tcPr>
            <w:tcW w:w="1433" w:type="dxa"/>
          </w:tcPr>
          <w:p w14:paraId="0672F2F8" w14:textId="7B3E812F" w:rsidR="00983696" w:rsidRPr="00D876CC" w:rsidRDefault="00983696" w:rsidP="00983696">
            <w:pPr>
              <w:jc w:val="center"/>
              <w:rPr>
                <w:sz w:val="22"/>
                <w:szCs w:val="22"/>
                <w:lang w:val="en-CA"/>
              </w:rPr>
            </w:pPr>
            <w:r w:rsidRPr="00D876CC">
              <w:rPr>
                <w:sz w:val="22"/>
                <w:szCs w:val="22"/>
                <w:lang w:val="en-CA"/>
              </w:rPr>
              <w:t>2</w:t>
            </w:r>
          </w:p>
        </w:tc>
        <w:tc>
          <w:tcPr>
            <w:tcW w:w="1433" w:type="dxa"/>
            <w:vAlign w:val="bottom"/>
          </w:tcPr>
          <w:p w14:paraId="02DFD4D6" w14:textId="5EE4FFBA" w:rsidR="00983696" w:rsidRPr="00D876CC" w:rsidRDefault="00983696" w:rsidP="00983696">
            <w:pPr>
              <w:jc w:val="center"/>
              <w:rPr>
                <w:sz w:val="22"/>
                <w:szCs w:val="22"/>
                <w:lang w:val="en-CA"/>
              </w:rPr>
            </w:pPr>
            <w:r w:rsidRPr="00D876CC">
              <w:rPr>
                <w:sz w:val="22"/>
                <w:szCs w:val="22"/>
                <w:lang w:val="en-CA"/>
              </w:rPr>
              <w:t>19.5</w:t>
            </w:r>
          </w:p>
        </w:tc>
        <w:tc>
          <w:tcPr>
            <w:tcW w:w="1433" w:type="dxa"/>
            <w:vAlign w:val="bottom"/>
          </w:tcPr>
          <w:p w14:paraId="5FF4C6D2" w14:textId="0CD34F20" w:rsidR="00983696" w:rsidRPr="00D876CC" w:rsidRDefault="00983696" w:rsidP="00983696">
            <w:pPr>
              <w:jc w:val="center"/>
              <w:rPr>
                <w:sz w:val="22"/>
                <w:szCs w:val="22"/>
                <w:lang w:val="en-CA"/>
              </w:rPr>
            </w:pPr>
            <w:r w:rsidRPr="00D876CC">
              <w:rPr>
                <w:sz w:val="22"/>
                <w:szCs w:val="22"/>
                <w:lang w:val="en-CA"/>
              </w:rPr>
              <w:t>16.1</w:t>
            </w:r>
          </w:p>
        </w:tc>
        <w:tc>
          <w:tcPr>
            <w:tcW w:w="1433" w:type="dxa"/>
            <w:vAlign w:val="bottom"/>
          </w:tcPr>
          <w:p w14:paraId="4C7C3F28" w14:textId="222A1ED9" w:rsidR="00983696" w:rsidRPr="00D876CC" w:rsidRDefault="00983696" w:rsidP="00983696">
            <w:pPr>
              <w:jc w:val="center"/>
              <w:rPr>
                <w:sz w:val="22"/>
                <w:szCs w:val="22"/>
                <w:lang w:val="en-CA"/>
              </w:rPr>
            </w:pPr>
            <w:r w:rsidRPr="00D876CC">
              <w:rPr>
                <w:sz w:val="22"/>
                <w:szCs w:val="22"/>
                <w:lang w:val="en-CA"/>
              </w:rPr>
              <w:t>3.4</w:t>
            </w:r>
            <w:r w:rsidRPr="00D876CC">
              <w:rPr>
                <w:sz w:val="22"/>
                <w:szCs w:val="22"/>
                <w:vertAlign w:val="superscript"/>
                <w:lang w:val="en-CA"/>
              </w:rPr>
              <w:t>*</w:t>
            </w:r>
          </w:p>
        </w:tc>
        <w:tc>
          <w:tcPr>
            <w:tcW w:w="1433" w:type="dxa"/>
            <w:vAlign w:val="bottom"/>
          </w:tcPr>
          <w:p w14:paraId="558FBC58" w14:textId="0AB81698" w:rsidR="00983696" w:rsidRPr="00D876CC" w:rsidRDefault="00983696" w:rsidP="00983696">
            <w:pPr>
              <w:jc w:val="center"/>
              <w:rPr>
                <w:sz w:val="22"/>
                <w:szCs w:val="22"/>
                <w:lang w:val="en-CA"/>
              </w:rPr>
            </w:pPr>
            <w:r w:rsidRPr="00D876CC">
              <w:rPr>
                <w:sz w:val="22"/>
                <w:szCs w:val="22"/>
                <w:lang w:val="en-CA"/>
              </w:rPr>
              <w:t>16.9</w:t>
            </w:r>
          </w:p>
        </w:tc>
        <w:tc>
          <w:tcPr>
            <w:tcW w:w="1433" w:type="dxa"/>
            <w:vAlign w:val="bottom"/>
          </w:tcPr>
          <w:p w14:paraId="06395B82" w14:textId="2E57A9F8" w:rsidR="00983696" w:rsidRPr="00D876CC" w:rsidRDefault="00983696" w:rsidP="00983696">
            <w:pPr>
              <w:jc w:val="center"/>
              <w:rPr>
                <w:sz w:val="22"/>
                <w:szCs w:val="22"/>
                <w:lang w:val="en-CA"/>
              </w:rPr>
            </w:pPr>
            <w:r w:rsidRPr="00D876CC">
              <w:rPr>
                <w:sz w:val="22"/>
                <w:szCs w:val="22"/>
                <w:lang w:val="en-CA"/>
              </w:rPr>
              <w:t>12.6</w:t>
            </w:r>
          </w:p>
        </w:tc>
        <w:tc>
          <w:tcPr>
            <w:tcW w:w="1434" w:type="dxa"/>
            <w:vAlign w:val="bottom"/>
          </w:tcPr>
          <w:p w14:paraId="61782E0A" w14:textId="16354C11" w:rsidR="00983696" w:rsidRPr="00D876CC" w:rsidRDefault="00983696" w:rsidP="00983696">
            <w:pPr>
              <w:jc w:val="center"/>
              <w:rPr>
                <w:sz w:val="22"/>
                <w:szCs w:val="22"/>
                <w:lang w:val="en-CA"/>
              </w:rPr>
            </w:pPr>
            <w:r w:rsidRPr="00D876CC">
              <w:rPr>
                <w:sz w:val="22"/>
                <w:szCs w:val="22"/>
                <w:lang w:val="en-CA"/>
              </w:rPr>
              <w:t>4.3</w:t>
            </w:r>
            <w:r w:rsidRPr="00D876CC">
              <w:rPr>
                <w:sz w:val="22"/>
                <w:szCs w:val="22"/>
                <w:vertAlign w:val="superscript"/>
                <w:lang w:val="en-CA"/>
              </w:rPr>
              <w:t>*</w:t>
            </w:r>
          </w:p>
        </w:tc>
      </w:tr>
      <w:tr w:rsidR="00C66740" w14:paraId="205CC48B" w14:textId="77777777" w:rsidTr="00D876CC">
        <w:tc>
          <w:tcPr>
            <w:tcW w:w="1433" w:type="dxa"/>
          </w:tcPr>
          <w:p w14:paraId="529B69E4" w14:textId="5EA8F638" w:rsidR="00983696" w:rsidRPr="00D876CC" w:rsidRDefault="00983696" w:rsidP="00983696">
            <w:pPr>
              <w:jc w:val="center"/>
              <w:rPr>
                <w:sz w:val="22"/>
                <w:szCs w:val="22"/>
                <w:lang w:val="en-CA"/>
              </w:rPr>
            </w:pPr>
            <w:r w:rsidRPr="00D876CC">
              <w:rPr>
                <w:sz w:val="22"/>
                <w:szCs w:val="22"/>
                <w:lang w:val="en-CA"/>
              </w:rPr>
              <w:t>1</w:t>
            </w:r>
          </w:p>
        </w:tc>
        <w:tc>
          <w:tcPr>
            <w:tcW w:w="1433" w:type="dxa"/>
            <w:vAlign w:val="bottom"/>
          </w:tcPr>
          <w:p w14:paraId="2F3A270C" w14:textId="142F89AB" w:rsidR="00983696" w:rsidRPr="00D876CC" w:rsidRDefault="00983696" w:rsidP="00983696">
            <w:pPr>
              <w:jc w:val="center"/>
              <w:rPr>
                <w:sz w:val="22"/>
                <w:szCs w:val="22"/>
                <w:lang w:val="en-CA"/>
              </w:rPr>
            </w:pPr>
            <w:r w:rsidRPr="00D876CC">
              <w:rPr>
                <w:sz w:val="22"/>
                <w:szCs w:val="22"/>
                <w:lang w:val="en-CA"/>
              </w:rPr>
              <w:t>24.1</w:t>
            </w:r>
          </w:p>
        </w:tc>
        <w:tc>
          <w:tcPr>
            <w:tcW w:w="1433" w:type="dxa"/>
            <w:vAlign w:val="bottom"/>
          </w:tcPr>
          <w:p w14:paraId="64F8BB51" w14:textId="74F43814" w:rsidR="00983696" w:rsidRPr="00D876CC" w:rsidRDefault="00983696" w:rsidP="00983696">
            <w:pPr>
              <w:jc w:val="center"/>
              <w:rPr>
                <w:sz w:val="22"/>
                <w:szCs w:val="22"/>
                <w:lang w:val="en-CA"/>
              </w:rPr>
            </w:pPr>
            <w:r w:rsidRPr="00D876CC">
              <w:rPr>
                <w:sz w:val="22"/>
                <w:szCs w:val="22"/>
                <w:lang w:val="en-CA"/>
              </w:rPr>
              <w:t>23.8</w:t>
            </w:r>
          </w:p>
        </w:tc>
        <w:tc>
          <w:tcPr>
            <w:tcW w:w="1433" w:type="dxa"/>
            <w:vAlign w:val="bottom"/>
          </w:tcPr>
          <w:p w14:paraId="353708F7" w14:textId="69ED2063" w:rsidR="00983696" w:rsidRPr="00D876CC" w:rsidRDefault="00983696" w:rsidP="00983696">
            <w:pPr>
              <w:jc w:val="center"/>
              <w:rPr>
                <w:sz w:val="22"/>
                <w:szCs w:val="22"/>
                <w:lang w:val="en-CA"/>
              </w:rPr>
            </w:pPr>
            <w:r w:rsidRPr="00D876CC">
              <w:rPr>
                <w:sz w:val="22"/>
                <w:szCs w:val="22"/>
                <w:lang w:val="en-CA"/>
              </w:rPr>
              <w:t>0.3</w:t>
            </w:r>
          </w:p>
        </w:tc>
        <w:tc>
          <w:tcPr>
            <w:tcW w:w="1433" w:type="dxa"/>
            <w:vAlign w:val="bottom"/>
          </w:tcPr>
          <w:p w14:paraId="1B5FACD9" w14:textId="25B86B56" w:rsidR="00983696" w:rsidRPr="00D876CC" w:rsidRDefault="00983696" w:rsidP="00983696">
            <w:pPr>
              <w:jc w:val="center"/>
              <w:rPr>
                <w:sz w:val="22"/>
                <w:szCs w:val="22"/>
                <w:lang w:val="en-CA"/>
              </w:rPr>
            </w:pPr>
            <w:r w:rsidRPr="00D876CC">
              <w:rPr>
                <w:sz w:val="22"/>
                <w:szCs w:val="22"/>
                <w:lang w:val="en-CA"/>
              </w:rPr>
              <w:t>20.9</w:t>
            </w:r>
          </w:p>
        </w:tc>
        <w:tc>
          <w:tcPr>
            <w:tcW w:w="1433" w:type="dxa"/>
            <w:vAlign w:val="bottom"/>
          </w:tcPr>
          <w:p w14:paraId="4076AE64" w14:textId="2714862C" w:rsidR="00983696" w:rsidRPr="00D876CC" w:rsidRDefault="00983696" w:rsidP="00983696">
            <w:pPr>
              <w:jc w:val="center"/>
              <w:rPr>
                <w:sz w:val="22"/>
                <w:szCs w:val="22"/>
                <w:lang w:val="en-CA"/>
              </w:rPr>
            </w:pPr>
            <w:r w:rsidRPr="00D876CC">
              <w:rPr>
                <w:sz w:val="22"/>
                <w:szCs w:val="22"/>
                <w:lang w:val="en-CA"/>
              </w:rPr>
              <w:t>21.8</w:t>
            </w:r>
          </w:p>
        </w:tc>
        <w:tc>
          <w:tcPr>
            <w:tcW w:w="1434" w:type="dxa"/>
            <w:vAlign w:val="bottom"/>
          </w:tcPr>
          <w:p w14:paraId="240CF697" w14:textId="05CC981A" w:rsidR="00983696" w:rsidRPr="00D876CC" w:rsidRDefault="00983696" w:rsidP="00983696">
            <w:pPr>
              <w:jc w:val="center"/>
              <w:rPr>
                <w:sz w:val="22"/>
                <w:szCs w:val="22"/>
                <w:lang w:val="en-CA"/>
              </w:rPr>
            </w:pPr>
            <w:r w:rsidRPr="00D876CC">
              <w:rPr>
                <w:sz w:val="22"/>
                <w:szCs w:val="22"/>
                <w:lang w:val="en-CA"/>
              </w:rPr>
              <w:t>-1.0</w:t>
            </w:r>
          </w:p>
        </w:tc>
      </w:tr>
      <w:tr w:rsidR="00C66740" w14:paraId="33394DD1" w14:textId="77777777" w:rsidTr="00D876CC">
        <w:tc>
          <w:tcPr>
            <w:tcW w:w="1433" w:type="dxa"/>
          </w:tcPr>
          <w:p w14:paraId="069DFBA6" w14:textId="194F90CC" w:rsidR="00983696" w:rsidRPr="00D876CC" w:rsidRDefault="00983696" w:rsidP="00983696">
            <w:pPr>
              <w:jc w:val="center"/>
              <w:rPr>
                <w:sz w:val="22"/>
                <w:szCs w:val="22"/>
                <w:lang w:val="en-CA"/>
              </w:rPr>
            </w:pPr>
            <w:r w:rsidRPr="00D876CC">
              <w:rPr>
                <w:sz w:val="22"/>
                <w:szCs w:val="22"/>
                <w:lang w:val="en-CA"/>
              </w:rPr>
              <w:t>0</w:t>
            </w:r>
          </w:p>
        </w:tc>
        <w:tc>
          <w:tcPr>
            <w:tcW w:w="1433" w:type="dxa"/>
            <w:vAlign w:val="bottom"/>
          </w:tcPr>
          <w:p w14:paraId="75CBCB2B" w14:textId="08644A49" w:rsidR="00983696" w:rsidRPr="00D876CC" w:rsidRDefault="00983696" w:rsidP="00983696">
            <w:pPr>
              <w:jc w:val="center"/>
              <w:rPr>
                <w:sz w:val="22"/>
                <w:szCs w:val="22"/>
                <w:lang w:val="en-CA"/>
              </w:rPr>
            </w:pPr>
            <w:r w:rsidRPr="00D876CC">
              <w:rPr>
                <w:sz w:val="22"/>
                <w:szCs w:val="22"/>
                <w:lang w:val="en-CA"/>
              </w:rPr>
              <w:t>24.6</w:t>
            </w:r>
          </w:p>
        </w:tc>
        <w:tc>
          <w:tcPr>
            <w:tcW w:w="1433" w:type="dxa"/>
            <w:vAlign w:val="bottom"/>
          </w:tcPr>
          <w:p w14:paraId="263E35D8" w14:textId="52DC124A" w:rsidR="00983696" w:rsidRPr="00D876CC" w:rsidRDefault="00983696" w:rsidP="00983696">
            <w:pPr>
              <w:jc w:val="center"/>
              <w:rPr>
                <w:sz w:val="22"/>
                <w:szCs w:val="22"/>
                <w:lang w:val="en-CA"/>
              </w:rPr>
            </w:pPr>
            <w:r w:rsidRPr="00D876CC">
              <w:rPr>
                <w:sz w:val="22"/>
                <w:szCs w:val="22"/>
                <w:lang w:val="en-CA"/>
              </w:rPr>
              <w:t>48.2</w:t>
            </w:r>
          </w:p>
        </w:tc>
        <w:tc>
          <w:tcPr>
            <w:tcW w:w="1433" w:type="dxa"/>
            <w:vAlign w:val="bottom"/>
          </w:tcPr>
          <w:p w14:paraId="3BA477CF" w14:textId="655D95D6" w:rsidR="00983696" w:rsidRPr="00D876CC" w:rsidRDefault="00983696" w:rsidP="00983696">
            <w:pPr>
              <w:jc w:val="center"/>
              <w:rPr>
                <w:sz w:val="22"/>
                <w:szCs w:val="22"/>
                <w:lang w:val="en-CA"/>
              </w:rPr>
            </w:pPr>
            <w:r w:rsidRPr="00D876CC">
              <w:rPr>
                <w:sz w:val="22"/>
                <w:szCs w:val="22"/>
                <w:lang w:val="en-CA"/>
              </w:rPr>
              <w:t>-23.6</w:t>
            </w:r>
            <w:r w:rsidRPr="00D876CC">
              <w:rPr>
                <w:sz w:val="22"/>
                <w:szCs w:val="22"/>
                <w:vertAlign w:val="superscript"/>
                <w:lang w:val="en-CA"/>
              </w:rPr>
              <w:t>***</w:t>
            </w:r>
          </w:p>
        </w:tc>
        <w:tc>
          <w:tcPr>
            <w:tcW w:w="1433" w:type="dxa"/>
            <w:vAlign w:val="bottom"/>
          </w:tcPr>
          <w:p w14:paraId="2F951FF5" w14:textId="7FB067DF" w:rsidR="00983696" w:rsidRPr="00D876CC" w:rsidRDefault="00983696" w:rsidP="00983696">
            <w:pPr>
              <w:jc w:val="center"/>
              <w:rPr>
                <w:sz w:val="22"/>
                <w:szCs w:val="22"/>
                <w:lang w:val="en-CA"/>
              </w:rPr>
            </w:pPr>
            <w:r w:rsidRPr="00D876CC">
              <w:rPr>
                <w:sz w:val="22"/>
                <w:szCs w:val="22"/>
                <w:lang w:val="en-CA"/>
              </w:rPr>
              <w:t>20.0</w:t>
            </w:r>
          </w:p>
        </w:tc>
        <w:tc>
          <w:tcPr>
            <w:tcW w:w="1433" w:type="dxa"/>
            <w:vAlign w:val="bottom"/>
          </w:tcPr>
          <w:p w14:paraId="06F7D917" w14:textId="24165B75" w:rsidR="00983696" w:rsidRPr="00D876CC" w:rsidRDefault="00983696" w:rsidP="00983696">
            <w:pPr>
              <w:jc w:val="center"/>
              <w:rPr>
                <w:sz w:val="22"/>
                <w:szCs w:val="22"/>
                <w:lang w:val="en-CA"/>
              </w:rPr>
            </w:pPr>
            <w:r w:rsidRPr="00D876CC">
              <w:rPr>
                <w:sz w:val="22"/>
                <w:szCs w:val="22"/>
                <w:lang w:val="en-CA"/>
              </w:rPr>
              <w:t>46.4</w:t>
            </w:r>
          </w:p>
        </w:tc>
        <w:tc>
          <w:tcPr>
            <w:tcW w:w="1434" w:type="dxa"/>
            <w:vAlign w:val="bottom"/>
          </w:tcPr>
          <w:p w14:paraId="6D500E16" w14:textId="787B3386" w:rsidR="00983696" w:rsidRPr="00D876CC" w:rsidRDefault="00983696" w:rsidP="00983696">
            <w:pPr>
              <w:jc w:val="center"/>
              <w:rPr>
                <w:sz w:val="22"/>
                <w:szCs w:val="22"/>
                <w:lang w:val="en-CA"/>
              </w:rPr>
            </w:pPr>
            <w:r w:rsidRPr="00D876CC">
              <w:rPr>
                <w:sz w:val="22"/>
                <w:szCs w:val="22"/>
                <w:lang w:val="en-CA"/>
              </w:rPr>
              <w:t>-26.5</w:t>
            </w:r>
            <w:r w:rsidRPr="00D876CC">
              <w:rPr>
                <w:sz w:val="22"/>
                <w:szCs w:val="22"/>
                <w:vertAlign w:val="superscript"/>
                <w:lang w:val="en-CA"/>
              </w:rPr>
              <w:t>***</w:t>
            </w:r>
          </w:p>
        </w:tc>
      </w:tr>
      <w:tr w:rsidR="00C66740" w14:paraId="3F881E80" w14:textId="77777777" w:rsidTr="00D876CC">
        <w:tc>
          <w:tcPr>
            <w:tcW w:w="1433" w:type="dxa"/>
          </w:tcPr>
          <w:p w14:paraId="78C2D0F9" w14:textId="77777777" w:rsidR="00983696" w:rsidRPr="00D876CC" w:rsidRDefault="00983696" w:rsidP="00983696">
            <w:pPr>
              <w:jc w:val="center"/>
              <w:rPr>
                <w:sz w:val="22"/>
                <w:szCs w:val="22"/>
                <w:lang w:val="en-CA"/>
              </w:rPr>
            </w:pPr>
          </w:p>
        </w:tc>
        <w:tc>
          <w:tcPr>
            <w:tcW w:w="1433" w:type="dxa"/>
            <w:vAlign w:val="bottom"/>
          </w:tcPr>
          <w:p w14:paraId="64D7E9CC" w14:textId="77777777" w:rsidR="00983696" w:rsidRPr="00D876CC" w:rsidRDefault="00983696" w:rsidP="00983696">
            <w:pPr>
              <w:jc w:val="center"/>
              <w:rPr>
                <w:sz w:val="22"/>
                <w:szCs w:val="22"/>
                <w:lang w:val="en-CA"/>
              </w:rPr>
            </w:pPr>
          </w:p>
        </w:tc>
        <w:tc>
          <w:tcPr>
            <w:tcW w:w="1433" w:type="dxa"/>
            <w:vAlign w:val="bottom"/>
          </w:tcPr>
          <w:p w14:paraId="4A31355D" w14:textId="77777777" w:rsidR="00983696" w:rsidRPr="00D876CC" w:rsidRDefault="00983696" w:rsidP="00983696">
            <w:pPr>
              <w:jc w:val="center"/>
              <w:rPr>
                <w:sz w:val="22"/>
                <w:szCs w:val="22"/>
                <w:lang w:val="en-CA"/>
              </w:rPr>
            </w:pPr>
          </w:p>
        </w:tc>
        <w:tc>
          <w:tcPr>
            <w:tcW w:w="1433" w:type="dxa"/>
            <w:vAlign w:val="bottom"/>
          </w:tcPr>
          <w:p w14:paraId="5CD90D18" w14:textId="77777777" w:rsidR="00983696" w:rsidRPr="00D876CC" w:rsidRDefault="00983696" w:rsidP="00983696">
            <w:pPr>
              <w:jc w:val="center"/>
              <w:rPr>
                <w:sz w:val="22"/>
                <w:szCs w:val="22"/>
                <w:lang w:val="en-CA"/>
              </w:rPr>
            </w:pPr>
          </w:p>
        </w:tc>
        <w:tc>
          <w:tcPr>
            <w:tcW w:w="1433" w:type="dxa"/>
            <w:vAlign w:val="bottom"/>
          </w:tcPr>
          <w:p w14:paraId="0DD84988" w14:textId="77777777" w:rsidR="00983696" w:rsidRPr="00D876CC" w:rsidRDefault="00983696" w:rsidP="00983696">
            <w:pPr>
              <w:jc w:val="center"/>
              <w:rPr>
                <w:sz w:val="22"/>
                <w:szCs w:val="22"/>
                <w:lang w:val="en-CA"/>
              </w:rPr>
            </w:pPr>
          </w:p>
        </w:tc>
        <w:tc>
          <w:tcPr>
            <w:tcW w:w="1433" w:type="dxa"/>
            <w:vAlign w:val="bottom"/>
          </w:tcPr>
          <w:p w14:paraId="3D89AAE4" w14:textId="77777777" w:rsidR="00983696" w:rsidRPr="00D876CC" w:rsidRDefault="00983696" w:rsidP="00983696">
            <w:pPr>
              <w:jc w:val="center"/>
              <w:rPr>
                <w:sz w:val="22"/>
                <w:szCs w:val="22"/>
                <w:lang w:val="en-CA"/>
              </w:rPr>
            </w:pPr>
          </w:p>
        </w:tc>
        <w:tc>
          <w:tcPr>
            <w:tcW w:w="1434" w:type="dxa"/>
            <w:vAlign w:val="bottom"/>
          </w:tcPr>
          <w:p w14:paraId="656DC76A" w14:textId="77777777" w:rsidR="00983696" w:rsidRPr="00D876CC" w:rsidRDefault="00983696" w:rsidP="00983696">
            <w:pPr>
              <w:jc w:val="center"/>
              <w:rPr>
                <w:sz w:val="22"/>
                <w:szCs w:val="22"/>
                <w:lang w:val="en-CA"/>
              </w:rPr>
            </w:pPr>
          </w:p>
        </w:tc>
      </w:tr>
      <w:tr w:rsidR="00BA7FD8" w14:paraId="1E1466B1" w14:textId="77777777" w:rsidTr="00D876CC">
        <w:tc>
          <w:tcPr>
            <w:tcW w:w="1433" w:type="dxa"/>
          </w:tcPr>
          <w:p w14:paraId="410E738F" w14:textId="69302CC7" w:rsidR="00BA7FD8" w:rsidRPr="00D876CC" w:rsidRDefault="00BA7FD8" w:rsidP="00BA7FD8">
            <w:pPr>
              <w:jc w:val="center"/>
              <w:rPr>
                <w:sz w:val="22"/>
                <w:szCs w:val="22"/>
                <w:lang w:val="en-CA"/>
              </w:rPr>
            </w:pPr>
            <w:r w:rsidRPr="00D876CC">
              <w:rPr>
                <w:sz w:val="22"/>
                <w:szCs w:val="22"/>
                <w:lang w:val="en-CA"/>
              </w:rPr>
              <w:t>Total number of authors</w:t>
            </w:r>
          </w:p>
        </w:tc>
        <w:tc>
          <w:tcPr>
            <w:tcW w:w="1433" w:type="dxa"/>
            <w:vAlign w:val="bottom"/>
          </w:tcPr>
          <w:p w14:paraId="6274057F" w14:textId="30BAC3C6" w:rsidR="00BA7FD8" w:rsidRPr="00D876CC" w:rsidRDefault="00BA7FD8" w:rsidP="00BA7FD8">
            <w:pPr>
              <w:jc w:val="center"/>
              <w:rPr>
                <w:sz w:val="22"/>
                <w:szCs w:val="22"/>
                <w:lang w:val="en-CA"/>
              </w:rPr>
            </w:pPr>
            <w:r w:rsidRPr="00D876CC">
              <w:rPr>
                <w:sz w:val="22"/>
                <w:szCs w:val="22"/>
                <w:lang w:val="en-CA"/>
              </w:rPr>
              <w:t>921</w:t>
            </w:r>
          </w:p>
        </w:tc>
        <w:tc>
          <w:tcPr>
            <w:tcW w:w="1433" w:type="dxa"/>
            <w:vAlign w:val="bottom"/>
          </w:tcPr>
          <w:p w14:paraId="1803BD18" w14:textId="07F558A7" w:rsidR="00BA7FD8" w:rsidRPr="00D876CC" w:rsidRDefault="00BA7FD8" w:rsidP="00BA7FD8">
            <w:pPr>
              <w:jc w:val="center"/>
              <w:rPr>
                <w:sz w:val="22"/>
                <w:szCs w:val="22"/>
                <w:lang w:val="en-CA"/>
              </w:rPr>
            </w:pPr>
            <w:r w:rsidRPr="00D876CC">
              <w:rPr>
                <w:sz w:val="22"/>
                <w:szCs w:val="22"/>
                <w:lang w:val="en-CA"/>
              </w:rPr>
              <w:t>651</w:t>
            </w:r>
          </w:p>
        </w:tc>
        <w:tc>
          <w:tcPr>
            <w:tcW w:w="1433" w:type="dxa"/>
            <w:vAlign w:val="bottom"/>
          </w:tcPr>
          <w:p w14:paraId="627A0108" w14:textId="783CC05E" w:rsidR="00BA7FD8" w:rsidRPr="00D876CC" w:rsidRDefault="00BA7FD8" w:rsidP="00BA7FD8">
            <w:pPr>
              <w:jc w:val="center"/>
              <w:rPr>
                <w:sz w:val="22"/>
                <w:szCs w:val="22"/>
                <w:lang w:val="en-CA"/>
              </w:rPr>
            </w:pPr>
          </w:p>
        </w:tc>
        <w:tc>
          <w:tcPr>
            <w:tcW w:w="1433" w:type="dxa"/>
            <w:vAlign w:val="bottom"/>
          </w:tcPr>
          <w:p w14:paraId="7D867C66" w14:textId="2B6BB84C" w:rsidR="00BA7FD8" w:rsidRPr="00D876CC" w:rsidRDefault="00BA7FD8" w:rsidP="00BA7FD8">
            <w:pPr>
              <w:jc w:val="center"/>
              <w:rPr>
                <w:sz w:val="22"/>
                <w:szCs w:val="22"/>
                <w:lang w:val="en-CA"/>
              </w:rPr>
            </w:pPr>
            <w:r w:rsidRPr="00D876CC">
              <w:rPr>
                <w:sz w:val="22"/>
                <w:szCs w:val="22"/>
                <w:lang w:val="en-CA"/>
              </w:rPr>
              <w:t>561</w:t>
            </w:r>
          </w:p>
        </w:tc>
        <w:tc>
          <w:tcPr>
            <w:tcW w:w="1433" w:type="dxa"/>
            <w:vAlign w:val="bottom"/>
          </w:tcPr>
          <w:p w14:paraId="2B5F55DC" w14:textId="0B0CDEFE" w:rsidR="00BA7FD8" w:rsidRPr="00D876CC" w:rsidRDefault="00BA7FD8" w:rsidP="00BA7FD8">
            <w:pPr>
              <w:jc w:val="center"/>
              <w:rPr>
                <w:sz w:val="22"/>
                <w:szCs w:val="22"/>
                <w:lang w:val="en-CA"/>
              </w:rPr>
            </w:pPr>
            <w:r w:rsidRPr="00D876CC">
              <w:rPr>
                <w:sz w:val="22"/>
                <w:szCs w:val="22"/>
                <w:lang w:val="en-CA"/>
              </w:rPr>
              <w:t>293</w:t>
            </w:r>
          </w:p>
        </w:tc>
        <w:tc>
          <w:tcPr>
            <w:tcW w:w="1434" w:type="dxa"/>
            <w:vAlign w:val="bottom"/>
          </w:tcPr>
          <w:p w14:paraId="036D95B1" w14:textId="77777777" w:rsidR="00BA7FD8" w:rsidRPr="00D876CC" w:rsidRDefault="00BA7FD8" w:rsidP="00BA7FD8">
            <w:pPr>
              <w:jc w:val="center"/>
              <w:rPr>
                <w:sz w:val="22"/>
                <w:szCs w:val="22"/>
                <w:lang w:val="en-CA"/>
              </w:rPr>
            </w:pPr>
          </w:p>
        </w:tc>
      </w:tr>
    </w:tbl>
    <w:p w14:paraId="374A0B31" w14:textId="0086C40F" w:rsidR="00A54EE3" w:rsidRDefault="00A54EE3"/>
    <w:p w14:paraId="4D1C1BE9" w14:textId="77777777" w:rsidR="00A54EE3" w:rsidRDefault="00A54EE3" w:rsidP="00D876CC">
      <w:pPr>
        <w:jc w:val="center"/>
      </w:pPr>
      <w:r>
        <w:br w:type="page"/>
      </w:r>
    </w:p>
    <w:p w14:paraId="53FBDE2A" w14:textId="77777777" w:rsidR="00985D26" w:rsidRDefault="00985D26"/>
    <w:tbl>
      <w:tblPr>
        <w:tblStyle w:val="TableGrid"/>
        <w:tblW w:w="10604" w:type="dxa"/>
        <w:tblInd w:w="-572" w:type="dxa"/>
        <w:tblLayout w:type="fixed"/>
        <w:tblLook w:val="04A0" w:firstRow="1" w:lastRow="0" w:firstColumn="1" w:lastColumn="0" w:noHBand="0" w:noVBand="1"/>
      </w:tblPr>
      <w:tblGrid>
        <w:gridCol w:w="1134"/>
        <w:gridCol w:w="1575"/>
        <w:gridCol w:w="1581"/>
        <w:gridCol w:w="1597"/>
        <w:gridCol w:w="1553"/>
        <w:gridCol w:w="7"/>
        <w:gridCol w:w="1578"/>
        <w:gridCol w:w="1579"/>
      </w:tblGrid>
      <w:tr w:rsidR="00BA3629" w14:paraId="78DB2821" w14:textId="77777777" w:rsidTr="00F03D9A">
        <w:tc>
          <w:tcPr>
            <w:tcW w:w="10604" w:type="dxa"/>
            <w:gridSpan w:val="8"/>
            <w:tcBorders>
              <w:top w:val="nil"/>
              <w:left w:val="nil"/>
              <w:bottom w:val="nil"/>
              <w:right w:val="nil"/>
            </w:tcBorders>
          </w:tcPr>
          <w:p w14:paraId="715B0270" w14:textId="6FD274A6" w:rsidR="00BA3629" w:rsidRPr="00D876CC" w:rsidRDefault="00BA3629" w:rsidP="00C66740">
            <w:pPr>
              <w:jc w:val="center"/>
              <w:rPr>
                <w:b/>
                <w:bCs/>
                <w:sz w:val="20"/>
                <w:szCs w:val="20"/>
                <w:lang w:val="en-CA"/>
              </w:rPr>
            </w:pPr>
            <w:r w:rsidRPr="00D876CC">
              <w:rPr>
                <w:b/>
                <w:bCs/>
                <w:sz w:val="20"/>
                <w:szCs w:val="20"/>
                <w:lang w:val="en-CA"/>
              </w:rPr>
              <w:t>Table 3: Misplace</w:t>
            </w:r>
            <w:r w:rsidR="00A54EE3" w:rsidRPr="00D876CC">
              <w:rPr>
                <w:b/>
                <w:bCs/>
                <w:sz w:val="20"/>
                <w:szCs w:val="20"/>
                <w:lang w:val="en-CA"/>
              </w:rPr>
              <w:t>d</w:t>
            </w:r>
            <w:r w:rsidRPr="00D876CC">
              <w:rPr>
                <w:b/>
                <w:bCs/>
                <w:sz w:val="20"/>
                <w:szCs w:val="20"/>
                <w:lang w:val="en-CA"/>
              </w:rPr>
              <w:t xml:space="preserve"> authors</w:t>
            </w:r>
            <w:r w:rsidR="00A54EE3" w:rsidRPr="00D876CC">
              <w:rPr>
                <w:b/>
                <w:bCs/>
                <w:sz w:val="20"/>
                <w:szCs w:val="20"/>
                <w:lang w:val="en-CA"/>
              </w:rPr>
              <w:t xml:space="preserve"> </w:t>
            </w:r>
            <w:r w:rsidR="00B60657">
              <w:rPr>
                <w:b/>
                <w:bCs/>
                <w:sz w:val="20"/>
                <w:szCs w:val="20"/>
                <w:lang w:val="en-CA"/>
              </w:rPr>
              <w:t xml:space="preserve">in their </w:t>
            </w:r>
            <w:r w:rsidR="00A54EE3" w:rsidRPr="00D876CC">
              <w:rPr>
                <w:b/>
                <w:bCs/>
                <w:sz w:val="20"/>
                <w:szCs w:val="20"/>
                <w:lang w:val="en-CA"/>
              </w:rPr>
              <w:t xml:space="preserve">first </w:t>
            </w:r>
            <w:r w:rsidR="00B60657">
              <w:rPr>
                <w:b/>
                <w:bCs/>
                <w:sz w:val="20"/>
                <w:szCs w:val="20"/>
                <w:lang w:val="en-CA"/>
              </w:rPr>
              <w:t>appointment</w:t>
            </w:r>
          </w:p>
          <w:p w14:paraId="36A52723" w14:textId="3A59F0C4" w:rsidR="00A54EE3" w:rsidRDefault="00BA3629" w:rsidP="0094206D">
            <w:pPr>
              <w:jc w:val="both"/>
              <w:rPr>
                <w:sz w:val="20"/>
                <w:szCs w:val="20"/>
                <w:lang w:val="en-CA"/>
              </w:rPr>
            </w:pPr>
            <w:r>
              <w:rPr>
                <w:sz w:val="20"/>
                <w:szCs w:val="20"/>
                <w:lang w:val="en-CA"/>
              </w:rPr>
              <w:t xml:space="preserve">The table provides the number and percentage of misplaced authors defined as productive authors whose first affiliation is the top 51-100 universities </w:t>
            </w:r>
            <w:r w:rsidR="00F03D9A">
              <w:rPr>
                <w:sz w:val="20"/>
                <w:szCs w:val="20"/>
                <w:lang w:val="en-CA"/>
              </w:rPr>
              <w:t xml:space="preserve">(type 1 error) </w:t>
            </w:r>
            <w:r>
              <w:rPr>
                <w:sz w:val="20"/>
                <w:szCs w:val="20"/>
                <w:lang w:val="en-CA"/>
              </w:rPr>
              <w:t>and unproductive authors whose first affiliation is in the top 20 universities</w:t>
            </w:r>
            <w:r w:rsidR="00F03D9A">
              <w:rPr>
                <w:sz w:val="20"/>
                <w:szCs w:val="20"/>
                <w:lang w:val="en-CA"/>
              </w:rPr>
              <w:t xml:space="preserve"> (type 2 error)</w:t>
            </w:r>
            <w:r>
              <w:rPr>
                <w:sz w:val="20"/>
                <w:szCs w:val="20"/>
                <w:lang w:val="en-CA"/>
              </w:rPr>
              <w:t xml:space="preserve">. Productive (unproductive) authors are based on the accumulated productivity of the authors at tenure=5 in Panel A, and </w:t>
            </w:r>
            <w:r w:rsidR="00A54EE3">
              <w:rPr>
                <w:sz w:val="20"/>
                <w:szCs w:val="20"/>
                <w:lang w:val="en-CA"/>
              </w:rPr>
              <w:t>at tenure=10 in Panel B. An author of a top 51-100 university is considered productive if his/her productivity is equal or above the accumulated productivity of the top 921 authors in Panel A (561 authors in Panel B), which corresponds to the number of top 20 authors in the respective sample. A top 20 university author is considered unproductive if his/her productivity is equal or below the accumulated productivity of the bottom 651 authors in Panel A (293 authors in Panel B), which corresponds to the number of top 51-100 authors in the respective sample.</w:t>
            </w:r>
          </w:p>
        </w:tc>
      </w:tr>
      <w:tr w:rsidR="00985D26" w14:paraId="7C715A9F" w14:textId="77777777" w:rsidTr="00F03D9A">
        <w:tc>
          <w:tcPr>
            <w:tcW w:w="10604" w:type="dxa"/>
            <w:gridSpan w:val="8"/>
            <w:tcBorders>
              <w:top w:val="nil"/>
              <w:left w:val="nil"/>
              <w:bottom w:val="single" w:sz="4" w:space="0" w:color="auto"/>
              <w:right w:val="nil"/>
            </w:tcBorders>
          </w:tcPr>
          <w:p w14:paraId="67E94E65" w14:textId="2B4A9CFD" w:rsidR="00985D26" w:rsidRPr="00BA7FD8" w:rsidRDefault="00BA3629" w:rsidP="00DB07EA">
            <w:pPr>
              <w:jc w:val="center"/>
              <w:rPr>
                <w:b/>
                <w:bCs/>
                <w:sz w:val="20"/>
                <w:szCs w:val="20"/>
                <w:lang w:val="en-CA"/>
              </w:rPr>
            </w:pPr>
            <w:r w:rsidRPr="00BA7FD8">
              <w:rPr>
                <w:b/>
                <w:bCs/>
                <w:sz w:val="20"/>
                <w:szCs w:val="20"/>
                <w:lang w:val="en-CA"/>
              </w:rPr>
              <w:t xml:space="preserve">Panel A: </w:t>
            </w:r>
            <w:r w:rsidR="00DB07EA">
              <w:rPr>
                <w:b/>
                <w:bCs/>
                <w:sz w:val="20"/>
                <w:szCs w:val="20"/>
                <w:lang w:val="en-CA"/>
              </w:rPr>
              <w:t>Productivity at tenure=</w:t>
            </w:r>
            <w:r w:rsidR="00985D26" w:rsidRPr="00BA7FD8">
              <w:rPr>
                <w:b/>
                <w:bCs/>
                <w:sz w:val="20"/>
                <w:szCs w:val="20"/>
                <w:lang w:val="en-CA"/>
              </w:rPr>
              <w:t xml:space="preserve"> 5 (Sample 1)</w:t>
            </w:r>
          </w:p>
        </w:tc>
      </w:tr>
      <w:tr w:rsidR="00985D26" w14:paraId="199F9383" w14:textId="77777777" w:rsidTr="00F03D9A">
        <w:tc>
          <w:tcPr>
            <w:tcW w:w="1134" w:type="dxa"/>
            <w:tcBorders>
              <w:top w:val="single" w:sz="4" w:space="0" w:color="auto"/>
              <w:left w:val="nil"/>
              <w:bottom w:val="nil"/>
              <w:right w:val="nil"/>
            </w:tcBorders>
          </w:tcPr>
          <w:p w14:paraId="72617008" w14:textId="3A6B9D9A" w:rsidR="00985D26" w:rsidRDefault="00E37E77" w:rsidP="00985D26">
            <w:pPr>
              <w:jc w:val="center"/>
              <w:rPr>
                <w:sz w:val="20"/>
                <w:szCs w:val="20"/>
                <w:lang w:val="en-CA"/>
              </w:rPr>
            </w:pPr>
            <w:r>
              <w:rPr>
                <w:sz w:val="20"/>
                <w:szCs w:val="20"/>
                <w:lang w:val="en-CA"/>
              </w:rPr>
              <w:t>(0)</w:t>
            </w:r>
          </w:p>
        </w:tc>
        <w:tc>
          <w:tcPr>
            <w:tcW w:w="1575" w:type="dxa"/>
            <w:tcBorders>
              <w:top w:val="single" w:sz="4" w:space="0" w:color="auto"/>
              <w:left w:val="nil"/>
              <w:bottom w:val="nil"/>
              <w:right w:val="nil"/>
            </w:tcBorders>
            <w:vAlign w:val="bottom"/>
          </w:tcPr>
          <w:p w14:paraId="1F13D0FA" w14:textId="14661654" w:rsidR="00985D26" w:rsidRDefault="00985D26" w:rsidP="00985D26">
            <w:pPr>
              <w:jc w:val="center"/>
              <w:rPr>
                <w:sz w:val="20"/>
                <w:szCs w:val="20"/>
                <w:lang w:val="en-CA"/>
              </w:rPr>
            </w:pPr>
            <w:r>
              <w:rPr>
                <w:sz w:val="20"/>
                <w:szCs w:val="20"/>
                <w:lang w:val="en-CA"/>
              </w:rPr>
              <w:t>(1)</w:t>
            </w:r>
          </w:p>
        </w:tc>
        <w:tc>
          <w:tcPr>
            <w:tcW w:w="1581" w:type="dxa"/>
            <w:tcBorders>
              <w:top w:val="single" w:sz="4" w:space="0" w:color="auto"/>
              <w:left w:val="nil"/>
              <w:bottom w:val="nil"/>
              <w:right w:val="nil"/>
            </w:tcBorders>
            <w:vAlign w:val="bottom"/>
          </w:tcPr>
          <w:p w14:paraId="5644DA37" w14:textId="35CF590E" w:rsidR="00985D26" w:rsidRDefault="00985D26" w:rsidP="00985D26">
            <w:pPr>
              <w:jc w:val="center"/>
              <w:rPr>
                <w:sz w:val="20"/>
                <w:szCs w:val="20"/>
                <w:lang w:val="en-CA"/>
              </w:rPr>
            </w:pPr>
            <w:r>
              <w:rPr>
                <w:sz w:val="20"/>
                <w:szCs w:val="20"/>
                <w:lang w:val="en-CA"/>
              </w:rPr>
              <w:t>(2)</w:t>
            </w:r>
          </w:p>
        </w:tc>
        <w:tc>
          <w:tcPr>
            <w:tcW w:w="1597" w:type="dxa"/>
            <w:tcBorders>
              <w:top w:val="single" w:sz="4" w:space="0" w:color="auto"/>
              <w:left w:val="nil"/>
              <w:bottom w:val="nil"/>
              <w:right w:val="nil"/>
            </w:tcBorders>
            <w:vAlign w:val="bottom"/>
          </w:tcPr>
          <w:p w14:paraId="2A745031" w14:textId="6A81CE13" w:rsidR="00985D26" w:rsidRDefault="00985D26" w:rsidP="00985D26">
            <w:pPr>
              <w:jc w:val="center"/>
              <w:rPr>
                <w:sz w:val="20"/>
                <w:szCs w:val="20"/>
                <w:lang w:val="en-CA"/>
              </w:rPr>
            </w:pPr>
            <w:r>
              <w:rPr>
                <w:sz w:val="20"/>
                <w:szCs w:val="20"/>
                <w:lang w:val="en-CA"/>
              </w:rPr>
              <w:t>(3)</w:t>
            </w:r>
          </w:p>
        </w:tc>
        <w:tc>
          <w:tcPr>
            <w:tcW w:w="1560" w:type="dxa"/>
            <w:gridSpan w:val="2"/>
            <w:tcBorders>
              <w:top w:val="single" w:sz="4" w:space="0" w:color="auto"/>
              <w:left w:val="nil"/>
              <w:bottom w:val="nil"/>
              <w:right w:val="nil"/>
            </w:tcBorders>
            <w:vAlign w:val="bottom"/>
          </w:tcPr>
          <w:p w14:paraId="4B3523F8" w14:textId="4BA5FE72" w:rsidR="00985D26" w:rsidRPr="00983696" w:rsidRDefault="00985D26" w:rsidP="00985D26">
            <w:pPr>
              <w:jc w:val="center"/>
              <w:rPr>
                <w:sz w:val="20"/>
                <w:szCs w:val="20"/>
                <w:lang w:val="en-CA"/>
              </w:rPr>
            </w:pPr>
            <w:r>
              <w:rPr>
                <w:sz w:val="20"/>
                <w:szCs w:val="20"/>
                <w:lang w:val="en-CA"/>
              </w:rPr>
              <w:t>(4)</w:t>
            </w:r>
          </w:p>
        </w:tc>
        <w:tc>
          <w:tcPr>
            <w:tcW w:w="1578" w:type="dxa"/>
            <w:tcBorders>
              <w:top w:val="single" w:sz="4" w:space="0" w:color="auto"/>
              <w:left w:val="nil"/>
              <w:bottom w:val="nil"/>
              <w:right w:val="nil"/>
            </w:tcBorders>
            <w:vAlign w:val="bottom"/>
          </w:tcPr>
          <w:p w14:paraId="50B1B576" w14:textId="265A4BEA" w:rsidR="00985D26" w:rsidRPr="00983696" w:rsidRDefault="00985D26" w:rsidP="00985D26">
            <w:pPr>
              <w:jc w:val="center"/>
              <w:rPr>
                <w:sz w:val="20"/>
                <w:szCs w:val="20"/>
                <w:lang w:val="en-CA"/>
              </w:rPr>
            </w:pPr>
            <w:r>
              <w:rPr>
                <w:sz w:val="20"/>
                <w:szCs w:val="20"/>
                <w:lang w:val="en-CA"/>
              </w:rPr>
              <w:t>(5)</w:t>
            </w:r>
          </w:p>
        </w:tc>
        <w:tc>
          <w:tcPr>
            <w:tcW w:w="1579" w:type="dxa"/>
            <w:tcBorders>
              <w:top w:val="single" w:sz="4" w:space="0" w:color="auto"/>
              <w:left w:val="nil"/>
              <w:bottom w:val="nil"/>
              <w:right w:val="nil"/>
            </w:tcBorders>
            <w:vAlign w:val="bottom"/>
          </w:tcPr>
          <w:p w14:paraId="4C8B5DF0" w14:textId="3F8B7AF0" w:rsidR="00985D26" w:rsidRPr="00983696" w:rsidRDefault="00985D26" w:rsidP="00985D26">
            <w:pPr>
              <w:jc w:val="center"/>
              <w:rPr>
                <w:sz w:val="20"/>
                <w:szCs w:val="20"/>
                <w:lang w:val="en-CA"/>
              </w:rPr>
            </w:pPr>
            <w:r>
              <w:rPr>
                <w:sz w:val="20"/>
                <w:szCs w:val="20"/>
                <w:lang w:val="en-CA"/>
              </w:rPr>
              <w:t>(6)</w:t>
            </w:r>
          </w:p>
        </w:tc>
      </w:tr>
      <w:tr w:rsidR="00985D26" w14:paraId="352BD870" w14:textId="77777777" w:rsidTr="00F03D9A">
        <w:tc>
          <w:tcPr>
            <w:tcW w:w="1134" w:type="dxa"/>
            <w:tcBorders>
              <w:top w:val="nil"/>
              <w:left w:val="nil"/>
              <w:bottom w:val="single" w:sz="4" w:space="0" w:color="auto"/>
              <w:right w:val="nil"/>
            </w:tcBorders>
          </w:tcPr>
          <w:p w14:paraId="4183DC4E" w14:textId="20E73FFA" w:rsidR="00985D26" w:rsidRPr="00A11B3A" w:rsidRDefault="00FB5F14" w:rsidP="00985D26">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Number of A articles</w:t>
            </w:r>
          </w:p>
        </w:tc>
        <w:tc>
          <w:tcPr>
            <w:tcW w:w="1575" w:type="dxa"/>
            <w:tcBorders>
              <w:top w:val="nil"/>
              <w:left w:val="nil"/>
              <w:bottom w:val="single" w:sz="4" w:space="0" w:color="auto"/>
              <w:right w:val="nil"/>
            </w:tcBorders>
            <w:vAlign w:val="bottom"/>
          </w:tcPr>
          <w:p w14:paraId="2F63E662" w14:textId="1096754C" w:rsidR="00985D26" w:rsidRPr="00A11B3A" w:rsidRDefault="00985D26"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 of authors having &gt;= </w:t>
            </w:r>
          </w:p>
          <w:p w14:paraId="7AA784EF" w14:textId="77777777" w:rsidR="00985D26" w:rsidRPr="00A11B3A" w:rsidRDefault="00985D26" w:rsidP="00985D26">
            <w:pPr>
              <w:jc w:val="center"/>
              <w:rPr>
                <w:rFonts w:asciiTheme="majorBidi" w:hAnsiTheme="majorBidi" w:cstheme="majorBidi"/>
                <w:sz w:val="20"/>
                <w:szCs w:val="20"/>
                <w:lang w:val="en-CA"/>
              </w:rPr>
            </w:pPr>
          </w:p>
        </w:tc>
        <w:tc>
          <w:tcPr>
            <w:tcW w:w="1581" w:type="dxa"/>
            <w:tcBorders>
              <w:top w:val="nil"/>
              <w:left w:val="nil"/>
              <w:bottom w:val="single" w:sz="4" w:space="0" w:color="auto"/>
              <w:right w:val="nil"/>
            </w:tcBorders>
            <w:vAlign w:val="bottom"/>
          </w:tcPr>
          <w:p w14:paraId="07A3B48C" w14:textId="5B03CE17" w:rsidR="00FB5F14" w:rsidRPr="00A11B3A" w:rsidRDefault="00985D26"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numbers of authors in top 51-100 universities &gt;= </w:t>
            </w:r>
          </w:p>
        </w:tc>
        <w:tc>
          <w:tcPr>
            <w:tcW w:w="1597" w:type="dxa"/>
            <w:tcBorders>
              <w:top w:val="nil"/>
              <w:left w:val="nil"/>
              <w:bottom w:val="single" w:sz="4" w:space="0" w:color="auto"/>
              <w:right w:val="nil"/>
            </w:tcBorders>
            <w:vAlign w:val="bottom"/>
          </w:tcPr>
          <w:p w14:paraId="2F62984D" w14:textId="77777777" w:rsidR="00985D26" w:rsidRPr="00A11B3A" w:rsidRDefault="00985D26" w:rsidP="00985D26">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Misplaced authors (%)</w:t>
            </w:r>
          </w:p>
          <w:p w14:paraId="07E2E550" w14:textId="3C44DF45" w:rsidR="00985D26" w:rsidRPr="00A11B3A" w:rsidRDefault="00985D26"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(2)</w:t>
            </w:r>
            <w:proofErr w:type="gramStart"/>
            <w:r w:rsidRPr="00A11B3A">
              <w:rPr>
                <w:rFonts w:asciiTheme="majorBidi" w:hAnsiTheme="majorBidi" w:cstheme="majorBidi"/>
                <w:sz w:val="20"/>
                <w:szCs w:val="20"/>
                <w:lang w:val="en-CA"/>
              </w:rPr>
              <w:t>/(</w:t>
            </w:r>
            <w:proofErr w:type="gramEnd"/>
            <w:r w:rsidRPr="00A11B3A">
              <w:rPr>
                <w:rFonts w:asciiTheme="majorBidi" w:hAnsiTheme="majorBidi" w:cstheme="majorBidi"/>
                <w:sz w:val="20"/>
                <w:szCs w:val="20"/>
                <w:lang w:val="en-CA"/>
              </w:rPr>
              <w:t>1)</w:t>
            </w:r>
          </w:p>
          <w:p w14:paraId="2C987AFF" w14:textId="77777777" w:rsidR="00985D26" w:rsidRPr="00A11B3A" w:rsidRDefault="00985D26" w:rsidP="00985D26">
            <w:pPr>
              <w:jc w:val="center"/>
              <w:rPr>
                <w:rFonts w:asciiTheme="majorBidi" w:hAnsiTheme="majorBidi" w:cstheme="majorBidi"/>
                <w:sz w:val="20"/>
                <w:szCs w:val="20"/>
                <w:lang w:val="en-CA"/>
              </w:rPr>
            </w:pPr>
          </w:p>
          <w:p w14:paraId="2E520BBE" w14:textId="2683E297" w:rsidR="00985D26" w:rsidRPr="00A11B3A" w:rsidRDefault="00985D26" w:rsidP="00985D26">
            <w:pPr>
              <w:jc w:val="center"/>
              <w:rPr>
                <w:rFonts w:asciiTheme="majorBidi" w:hAnsiTheme="majorBidi" w:cstheme="majorBidi"/>
                <w:sz w:val="20"/>
                <w:szCs w:val="20"/>
                <w:lang w:val="en-CA"/>
              </w:rPr>
            </w:pPr>
          </w:p>
        </w:tc>
        <w:tc>
          <w:tcPr>
            <w:tcW w:w="1560" w:type="dxa"/>
            <w:gridSpan w:val="2"/>
            <w:tcBorders>
              <w:top w:val="nil"/>
              <w:left w:val="nil"/>
              <w:bottom w:val="single" w:sz="4" w:space="0" w:color="auto"/>
              <w:right w:val="nil"/>
            </w:tcBorders>
            <w:vAlign w:val="bottom"/>
          </w:tcPr>
          <w:p w14:paraId="1B6A89F3" w14:textId="155C0CB2" w:rsidR="00985D26" w:rsidRPr="00A11B3A" w:rsidRDefault="00985D26"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 of authors having &lt;= </w:t>
            </w:r>
          </w:p>
          <w:p w14:paraId="1C994A4C" w14:textId="77777777" w:rsidR="00985D26" w:rsidRPr="00A11B3A" w:rsidRDefault="00985D26" w:rsidP="00985D26">
            <w:pPr>
              <w:jc w:val="center"/>
              <w:rPr>
                <w:rFonts w:asciiTheme="majorBidi" w:hAnsiTheme="majorBidi" w:cstheme="majorBidi"/>
                <w:sz w:val="20"/>
                <w:szCs w:val="20"/>
                <w:lang w:val="en-CA"/>
              </w:rPr>
            </w:pPr>
          </w:p>
        </w:tc>
        <w:tc>
          <w:tcPr>
            <w:tcW w:w="1578" w:type="dxa"/>
            <w:tcBorders>
              <w:top w:val="nil"/>
              <w:left w:val="nil"/>
              <w:bottom w:val="single" w:sz="4" w:space="0" w:color="auto"/>
              <w:right w:val="nil"/>
            </w:tcBorders>
            <w:vAlign w:val="bottom"/>
          </w:tcPr>
          <w:p w14:paraId="3B1872C8" w14:textId="415AAF43" w:rsidR="00985D26" w:rsidRPr="00A11B3A" w:rsidRDefault="00985D26"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numbers of authors in top 20 universities &lt;= </w:t>
            </w:r>
          </w:p>
          <w:p w14:paraId="3FC40A05" w14:textId="77777777" w:rsidR="00985D26" w:rsidRPr="00A11B3A" w:rsidRDefault="00985D26" w:rsidP="00985D26">
            <w:pPr>
              <w:jc w:val="center"/>
              <w:rPr>
                <w:rFonts w:asciiTheme="majorBidi" w:hAnsiTheme="majorBidi" w:cstheme="majorBidi"/>
                <w:sz w:val="20"/>
                <w:szCs w:val="20"/>
                <w:lang w:val="en-CA"/>
              </w:rPr>
            </w:pPr>
          </w:p>
        </w:tc>
        <w:tc>
          <w:tcPr>
            <w:tcW w:w="1579" w:type="dxa"/>
            <w:tcBorders>
              <w:top w:val="nil"/>
              <w:left w:val="nil"/>
              <w:bottom w:val="single" w:sz="4" w:space="0" w:color="auto"/>
              <w:right w:val="nil"/>
            </w:tcBorders>
          </w:tcPr>
          <w:p w14:paraId="5BE0C91C" w14:textId="77777777" w:rsidR="00BA3629" w:rsidRPr="00A11B3A" w:rsidRDefault="00BA3629" w:rsidP="00BA3629">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Misplaced authors (%)</w:t>
            </w:r>
          </w:p>
          <w:p w14:paraId="5EC1356F" w14:textId="1B875977" w:rsidR="00985D26" w:rsidRPr="00A11B3A" w:rsidRDefault="00BA3629"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(6)</w:t>
            </w:r>
            <w:proofErr w:type="gramStart"/>
            <w:r w:rsidRPr="00A11B3A">
              <w:rPr>
                <w:rFonts w:asciiTheme="majorBidi" w:hAnsiTheme="majorBidi" w:cstheme="majorBidi"/>
                <w:sz w:val="20"/>
                <w:szCs w:val="20"/>
                <w:lang w:val="en-CA"/>
              </w:rPr>
              <w:t>/(</w:t>
            </w:r>
            <w:proofErr w:type="gramEnd"/>
            <w:r w:rsidRPr="00A11B3A">
              <w:rPr>
                <w:rFonts w:asciiTheme="majorBidi" w:hAnsiTheme="majorBidi" w:cstheme="majorBidi"/>
                <w:sz w:val="20"/>
                <w:szCs w:val="20"/>
                <w:lang w:val="en-CA"/>
              </w:rPr>
              <w:t>5)</w:t>
            </w:r>
          </w:p>
        </w:tc>
      </w:tr>
      <w:tr w:rsidR="00FB5F14" w:rsidRPr="00985D26" w14:paraId="3942D1D0" w14:textId="77777777" w:rsidTr="00F03D9A">
        <w:trPr>
          <w:trHeight w:val="290"/>
        </w:trPr>
        <w:tc>
          <w:tcPr>
            <w:tcW w:w="1134" w:type="dxa"/>
            <w:tcBorders>
              <w:top w:val="single" w:sz="4" w:space="0" w:color="auto"/>
              <w:left w:val="nil"/>
              <w:bottom w:val="nil"/>
              <w:right w:val="nil"/>
            </w:tcBorders>
            <w:noWrap/>
            <w:hideMark/>
          </w:tcPr>
          <w:p w14:paraId="648B62A6"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10+</w:t>
            </w:r>
          </w:p>
        </w:tc>
        <w:tc>
          <w:tcPr>
            <w:tcW w:w="1575" w:type="dxa"/>
            <w:tcBorders>
              <w:top w:val="single" w:sz="4" w:space="0" w:color="auto"/>
              <w:left w:val="nil"/>
              <w:bottom w:val="nil"/>
              <w:right w:val="nil"/>
            </w:tcBorders>
            <w:noWrap/>
            <w:hideMark/>
          </w:tcPr>
          <w:p w14:paraId="52547423"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0</w:t>
            </w:r>
          </w:p>
        </w:tc>
        <w:tc>
          <w:tcPr>
            <w:tcW w:w="1581" w:type="dxa"/>
            <w:tcBorders>
              <w:top w:val="single" w:sz="4" w:space="0" w:color="auto"/>
              <w:left w:val="nil"/>
              <w:bottom w:val="nil"/>
              <w:right w:val="nil"/>
            </w:tcBorders>
            <w:noWrap/>
            <w:hideMark/>
          </w:tcPr>
          <w:p w14:paraId="0CF849E5"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0</w:t>
            </w:r>
          </w:p>
        </w:tc>
        <w:tc>
          <w:tcPr>
            <w:tcW w:w="1597" w:type="dxa"/>
            <w:tcBorders>
              <w:top w:val="single" w:sz="4" w:space="0" w:color="auto"/>
              <w:left w:val="nil"/>
              <w:bottom w:val="nil"/>
              <w:right w:val="nil"/>
            </w:tcBorders>
            <w:noWrap/>
            <w:hideMark/>
          </w:tcPr>
          <w:p w14:paraId="2C378E3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val="en-CA" w:bidi="he-IL"/>
              </w:rPr>
              <w:t>NA</w:t>
            </w:r>
          </w:p>
        </w:tc>
        <w:tc>
          <w:tcPr>
            <w:tcW w:w="1560" w:type="dxa"/>
            <w:gridSpan w:val="2"/>
            <w:tcBorders>
              <w:top w:val="single" w:sz="4" w:space="0" w:color="auto"/>
              <w:left w:val="nil"/>
              <w:bottom w:val="nil"/>
              <w:right w:val="nil"/>
            </w:tcBorders>
            <w:noWrap/>
            <w:hideMark/>
          </w:tcPr>
          <w:p w14:paraId="6A588EE7"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val="en-CA" w:bidi="he-IL"/>
              </w:rPr>
              <w:t>1572</w:t>
            </w:r>
          </w:p>
        </w:tc>
        <w:tc>
          <w:tcPr>
            <w:tcW w:w="1578" w:type="dxa"/>
            <w:tcBorders>
              <w:top w:val="single" w:sz="4" w:space="0" w:color="auto"/>
              <w:left w:val="nil"/>
              <w:bottom w:val="nil"/>
              <w:right w:val="nil"/>
            </w:tcBorders>
            <w:noWrap/>
            <w:hideMark/>
          </w:tcPr>
          <w:p w14:paraId="626F1E77"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921</w:t>
            </w:r>
          </w:p>
        </w:tc>
        <w:tc>
          <w:tcPr>
            <w:tcW w:w="1579" w:type="dxa"/>
            <w:tcBorders>
              <w:top w:val="single" w:sz="4" w:space="0" w:color="auto"/>
              <w:left w:val="nil"/>
              <w:bottom w:val="nil"/>
              <w:right w:val="nil"/>
            </w:tcBorders>
            <w:noWrap/>
          </w:tcPr>
          <w:p w14:paraId="5BF0A04F" w14:textId="647879F2"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137007AC" w14:textId="77777777" w:rsidTr="00F03D9A">
        <w:trPr>
          <w:trHeight w:val="290"/>
        </w:trPr>
        <w:tc>
          <w:tcPr>
            <w:tcW w:w="1134" w:type="dxa"/>
            <w:tcBorders>
              <w:top w:val="nil"/>
              <w:left w:val="nil"/>
              <w:bottom w:val="nil"/>
              <w:right w:val="nil"/>
            </w:tcBorders>
            <w:noWrap/>
            <w:hideMark/>
          </w:tcPr>
          <w:p w14:paraId="5377ED9B"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9</w:t>
            </w:r>
          </w:p>
        </w:tc>
        <w:tc>
          <w:tcPr>
            <w:tcW w:w="1575" w:type="dxa"/>
            <w:tcBorders>
              <w:top w:val="nil"/>
              <w:left w:val="nil"/>
              <w:bottom w:val="nil"/>
              <w:right w:val="nil"/>
            </w:tcBorders>
            <w:noWrap/>
            <w:hideMark/>
          </w:tcPr>
          <w:p w14:paraId="3AE3335E"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3</w:t>
            </w:r>
          </w:p>
        </w:tc>
        <w:tc>
          <w:tcPr>
            <w:tcW w:w="1581" w:type="dxa"/>
            <w:tcBorders>
              <w:top w:val="nil"/>
              <w:left w:val="nil"/>
              <w:bottom w:val="nil"/>
              <w:right w:val="nil"/>
            </w:tcBorders>
            <w:noWrap/>
            <w:hideMark/>
          </w:tcPr>
          <w:p w14:paraId="393671BE"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0</w:t>
            </w:r>
          </w:p>
        </w:tc>
        <w:tc>
          <w:tcPr>
            <w:tcW w:w="1597" w:type="dxa"/>
            <w:tcBorders>
              <w:top w:val="nil"/>
              <w:left w:val="nil"/>
              <w:bottom w:val="nil"/>
              <w:right w:val="nil"/>
            </w:tcBorders>
            <w:noWrap/>
            <w:hideMark/>
          </w:tcPr>
          <w:p w14:paraId="78B662A2"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val="en-CA" w:bidi="he-IL"/>
              </w:rPr>
              <w:t>0</w:t>
            </w:r>
          </w:p>
        </w:tc>
        <w:tc>
          <w:tcPr>
            <w:tcW w:w="1560" w:type="dxa"/>
            <w:gridSpan w:val="2"/>
            <w:tcBorders>
              <w:top w:val="nil"/>
              <w:left w:val="nil"/>
              <w:bottom w:val="nil"/>
              <w:right w:val="nil"/>
            </w:tcBorders>
            <w:noWrap/>
            <w:hideMark/>
          </w:tcPr>
          <w:p w14:paraId="07F2CE2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val="en-CA" w:bidi="he-IL"/>
              </w:rPr>
              <w:t>1572</w:t>
            </w:r>
          </w:p>
        </w:tc>
        <w:tc>
          <w:tcPr>
            <w:tcW w:w="1578" w:type="dxa"/>
            <w:tcBorders>
              <w:top w:val="nil"/>
              <w:left w:val="nil"/>
              <w:bottom w:val="nil"/>
              <w:right w:val="nil"/>
            </w:tcBorders>
            <w:noWrap/>
            <w:hideMark/>
          </w:tcPr>
          <w:p w14:paraId="08DC486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921</w:t>
            </w:r>
          </w:p>
        </w:tc>
        <w:tc>
          <w:tcPr>
            <w:tcW w:w="1579" w:type="dxa"/>
            <w:tcBorders>
              <w:top w:val="nil"/>
              <w:left w:val="nil"/>
              <w:bottom w:val="nil"/>
              <w:right w:val="nil"/>
            </w:tcBorders>
            <w:noWrap/>
          </w:tcPr>
          <w:p w14:paraId="05D33A4B" w14:textId="538E191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4E5921A1" w14:textId="77777777" w:rsidTr="00F03D9A">
        <w:trPr>
          <w:trHeight w:val="290"/>
        </w:trPr>
        <w:tc>
          <w:tcPr>
            <w:tcW w:w="1134" w:type="dxa"/>
            <w:tcBorders>
              <w:top w:val="nil"/>
              <w:left w:val="nil"/>
              <w:bottom w:val="nil"/>
              <w:right w:val="nil"/>
            </w:tcBorders>
            <w:noWrap/>
            <w:hideMark/>
          </w:tcPr>
          <w:p w14:paraId="4BE2FC58"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8</w:t>
            </w:r>
          </w:p>
        </w:tc>
        <w:tc>
          <w:tcPr>
            <w:tcW w:w="1575" w:type="dxa"/>
            <w:tcBorders>
              <w:top w:val="nil"/>
              <w:left w:val="nil"/>
              <w:bottom w:val="nil"/>
              <w:right w:val="nil"/>
            </w:tcBorders>
            <w:noWrap/>
            <w:hideMark/>
          </w:tcPr>
          <w:p w14:paraId="5DF791E9"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w:t>
            </w:r>
          </w:p>
        </w:tc>
        <w:tc>
          <w:tcPr>
            <w:tcW w:w="1581" w:type="dxa"/>
            <w:tcBorders>
              <w:top w:val="nil"/>
              <w:left w:val="nil"/>
              <w:bottom w:val="nil"/>
              <w:right w:val="nil"/>
            </w:tcBorders>
            <w:noWrap/>
            <w:hideMark/>
          </w:tcPr>
          <w:p w14:paraId="7DA57E98"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0</w:t>
            </w:r>
          </w:p>
        </w:tc>
        <w:tc>
          <w:tcPr>
            <w:tcW w:w="1597" w:type="dxa"/>
            <w:tcBorders>
              <w:top w:val="nil"/>
              <w:left w:val="nil"/>
              <w:bottom w:val="nil"/>
              <w:right w:val="nil"/>
            </w:tcBorders>
            <w:noWrap/>
            <w:hideMark/>
          </w:tcPr>
          <w:p w14:paraId="50F67D16"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0</w:t>
            </w:r>
          </w:p>
        </w:tc>
        <w:tc>
          <w:tcPr>
            <w:tcW w:w="1560" w:type="dxa"/>
            <w:gridSpan w:val="2"/>
            <w:tcBorders>
              <w:top w:val="nil"/>
              <w:left w:val="nil"/>
              <w:bottom w:val="nil"/>
              <w:right w:val="nil"/>
            </w:tcBorders>
            <w:noWrap/>
            <w:hideMark/>
          </w:tcPr>
          <w:p w14:paraId="1B29962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1569</w:t>
            </w:r>
          </w:p>
        </w:tc>
        <w:tc>
          <w:tcPr>
            <w:tcW w:w="1578" w:type="dxa"/>
            <w:tcBorders>
              <w:top w:val="nil"/>
              <w:left w:val="nil"/>
              <w:bottom w:val="nil"/>
              <w:right w:val="nil"/>
            </w:tcBorders>
            <w:noWrap/>
            <w:hideMark/>
          </w:tcPr>
          <w:p w14:paraId="25730661"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918</w:t>
            </w:r>
          </w:p>
        </w:tc>
        <w:tc>
          <w:tcPr>
            <w:tcW w:w="1579" w:type="dxa"/>
            <w:tcBorders>
              <w:top w:val="nil"/>
              <w:left w:val="nil"/>
              <w:bottom w:val="nil"/>
              <w:right w:val="nil"/>
            </w:tcBorders>
            <w:noWrap/>
          </w:tcPr>
          <w:p w14:paraId="48C87C66" w14:textId="1CD1108B"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2414983B" w14:textId="77777777" w:rsidTr="00F03D9A">
        <w:trPr>
          <w:trHeight w:val="290"/>
        </w:trPr>
        <w:tc>
          <w:tcPr>
            <w:tcW w:w="1134" w:type="dxa"/>
            <w:tcBorders>
              <w:top w:val="nil"/>
              <w:left w:val="nil"/>
              <w:bottom w:val="nil"/>
              <w:right w:val="nil"/>
            </w:tcBorders>
            <w:noWrap/>
            <w:hideMark/>
          </w:tcPr>
          <w:p w14:paraId="4C6C0FC1"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7</w:t>
            </w:r>
          </w:p>
        </w:tc>
        <w:tc>
          <w:tcPr>
            <w:tcW w:w="1575" w:type="dxa"/>
            <w:tcBorders>
              <w:top w:val="nil"/>
              <w:left w:val="nil"/>
              <w:bottom w:val="nil"/>
              <w:right w:val="nil"/>
            </w:tcBorders>
            <w:noWrap/>
            <w:hideMark/>
          </w:tcPr>
          <w:p w14:paraId="68A53906"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25</w:t>
            </w:r>
          </w:p>
        </w:tc>
        <w:tc>
          <w:tcPr>
            <w:tcW w:w="1581" w:type="dxa"/>
            <w:tcBorders>
              <w:top w:val="nil"/>
              <w:left w:val="nil"/>
              <w:bottom w:val="nil"/>
              <w:right w:val="nil"/>
            </w:tcBorders>
            <w:noWrap/>
            <w:hideMark/>
          </w:tcPr>
          <w:p w14:paraId="25899A2F" w14:textId="6D1CD635"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2</w:t>
            </w:r>
          </w:p>
        </w:tc>
        <w:tc>
          <w:tcPr>
            <w:tcW w:w="1597" w:type="dxa"/>
            <w:tcBorders>
              <w:top w:val="nil"/>
              <w:left w:val="nil"/>
              <w:bottom w:val="nil"/>
              <w:right w:val="nil"/>
            </w:tcBorders>
            <w:noWrap/>
            <w:hideMark/>
          </w:tcPr>
          <w:p w14:paraId="2AECD258" w14:textId="69990918"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8.0</w:t>
            </w:r>
          </w:p>
        </w:tc>
        <w:tc>
          <w:tcPr>
            <w:tcW w:w="1560" w:type="dxa"/>
            <w:gridSpan w:val="2"/>
            <w:tcBorders>
              <w:top w:val="nil"/>
              <w:left w:val="nil"/>
              <w:bottom w:val="nil"/>
              <w:right w:val="nil"/>
            </w:tcBorders>
            <w:noWrap/>
            <w:hideMark/>
          </w:tcPr>
          <w:p w14:paraId="5A4E4891"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1563</w:t>
            </w:r>
          </w:p>
        </w:tc>
        <w:tc>
          <w:tcPr>
            <w:tcW w:w="1578" w:type="dxa"/>
            <w:tcBorders>
              <w:top w:val="nil"/>
              <w:left w:val="nil"/>
              <w:bottom w:val="nil"/>
              <w:right w:val="nil"/>
            </w:tcBorders>
            <w:noWrap/>
            <w:hideMark/>
          </w:tcPr>
          <w:p w14:paraId="0842D146"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912</w:t>
            </w:r>
          </w:p>
        </w:tc>
        <w:tc>
          <w:tcPr>
            <w:tcW w:w="1579" w:type="dxa"/>
            <w:tcBorders>
              <w:top w:val="nil"/>
              <w:left w:val="nil"/>
              <w:bottom w:val="nil"/>
              <w:right w:val="nil"/>
            </w:tcBorders>
            <w:noWrap/>
          </w:tcPr>
          <w:p w14:paraId="066321CE" w14:textId="2329310F"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03B7774F" w14:textId="77777777" w:rsidTr="00F03D9A">
        <w:trPr>
          <w:trHeight w:val="290"/>
        </w:trPr>
        <w:tc>
          <w:tcPr>
            <w:tcW w:w="1134" w:type="dxa"/>
            <w:tcBorders>
              <w:top w:val="nil"/>
              <w:left w:val="nil"/>
              <w:bottom w:val="nil"/>
              <w:right w:val="nil"/>
            </w:tcBorders>
            <w:noWrap/>
            <w:hideMark/>
          </w:tcPr>
          <w:p w14:paraId="4520D258"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6</w:t>
            </w:r>
          </w:p>
        </w:tc>
        <w:tc>
          <w:tcPr>
            <w:tcW w:w="1575" w:type="dxa"/>
            <w:tcBorders>
              <w:top w:val="nil"/>
              <w:left w:val="nil"/>
              <w:bottom w:val="nil"/>
              <w:right w:val="nil"/>
            </w:tcBorders>
            <w:noWrap/>
            <w:hideMark/>
          </w:tcPr>
          <w:p w14:paraId="17325BAE"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51</w:t>
            </w:r>
          </w:p>
        </w:tc>
        <w:tc>
          <w:tcPr>
            <w:tcW w:w="1581" w:type="dxa"/>
            <w:tcBorders>
              <w:top w:val="nil"/>
              <w:left w:val="nil"/>
              <w:bottom w:val="nil"/>
              <w:right w:val="nil"/>
            </w:tcBorders>
            <w:noWrap/>
            <w:hideMark/>
          </w:tcPr>
          <w:p w14:paraId="01F3D04C" w14:textId="2947F989"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6</w:t>
            </w:r>
          </w:p>
        </w:tc>
        <w:tc>
          <w:tcPr>
            <w:tcW w:w="1597" w:type="dxa"/>
            <w:tcBorders>
              <w:top w:val="nil"/>
              <w:left w:val="nil"/>
              <w:bottom w:val="nil"/>
              <w:right w:val="nil"/>
            </w:tcBorders>
            <w:noWrap/>
            <w:hideMark/>
          </w:tcPr>
          <w:p w14:paraId="018A9BED" w14:textId="5011C01E"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11.8</w:t>
            </w:r>
          </w:p>
        </w:tc>
        <w:tc>
          <w:tcPr>
            <w:tcW w:w="1560" w:type="dxa"/>
            <w:gridSpan w:val="2"/>
            <w:tcBorders>
              <w:top w:val="nil"/>
              <w:left w:val="nil"/>
              <w:bottom w:val="nil"/>
              <w:right w:val="nil"/>
            </w:tcBorders>
            <w:noWrap/>
            <w:hideMark/>
          </w:tcPr>
          <w:p w14:paraId="3D8C7BF0"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1547</w:t>
            </w:r>
          </w:p>
        </w:tc>
        <w:tc>
          <w:tcPr>
            <w:tcW w:w="1578" w:type="dxa"/>
            <w:tcBorders>
              <w:top w:val="nil"/>
              <w:left w:val="nil"/>
              <w:bottom w:val="nil"/>
              <w:right w:val="nil"/>
            </w:tcBorders>
            <w:noWrap/>
            <w:hideMark/>
          </w:tcPr>
          <w:p w14:paraId="517B706F"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898</w:t>
            </w:r>
          </w:p>
        </w:tc>
        <w:tc>
          <w:tcPr>
            <w:tcW w:w="1579" w:type="dxa"/>
            <w:tcBorders>
              <w:top w:val="nil"/>
              <w:left w:val="nil"/>
              <w:bottom w:val="nil"/>
              <w:right w:val="nil"/>
            </w:tcBorders>
            <w:noWrap/>
          </w:tcPr>
          <w:p w14:paraId="07953FA6" w14:textId="62C13B36"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3EB780CA" w14:textId="77777777" w:rsidTr="00F03D9A">
        <w:trPr>
          <w:trHeight w:val="290"/>
        </w:trPr>
        <w:tc>
          <w:tcPr>
            <w:tcW w:w="1134" w:type="dxa"/>
            <w:tcBorders>
              <w:top w:val="nil"/>
              <w:left w:val="nil"/>
              <w:bottom w:val="nil"/>
              <w:right w:val="nil"/>
            </w:tcBorders>
            <w:noWrap/>
            <w:hideMark/>
          </w:tcPr>
          <w:p w14:paraId="3068C76D"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5</w:t>
            </w:r>
          </w:p>
        </w:tc>
        <w:tc>
          <w:tcPr>
            <w:tcW w:w="1575" w:type="dxa"/>
            <w:tcBorders>
              <w:top w:val="nil"/>
              <w:left w:val="nil"/>
              <w:bottom w:val="nil"/>
              <w:right w:val="nil"/>
            </w:tcBorders>
            <w:noWrap/>
            <w:hideMark/>
          </w:tcPr>
          <w:p w14:paraId="3EB75D24"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104</w:t>
            </w:r>
          </w:p>
        </w:tc>
        <w:tc>
          <w:tcPr>
            <w:tcW w:w="1581" w:type="dxa"/>
            <w:tcBorders>
              <w:top w:val="nil"/>
              <w:left w:val="nil"/>
              <w:bottom w:val="nil"/>
              <w:right w:val="nil"/>
            </w:tcBorders>
            <w:noWrap/>
            <w:hideMark/>
          </w:tcPr>
          <w:p w14:paraId="1B7CFEEE" w14:textId="3D0D9B56"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14</w:t>
            </w:r>
          </w:p>
        </w:tc>
        <w:tc>
          <w:tcPr>
            <w:tcW w:w="1597" w:type="dxa"/>
            <w:tcBorders>
              <w:top w:val="nil"/>
              <w:left w:val="nil"/>
              <w:bottom w:val="nil"/>
              <w:right w:val="nil"/>
            </w:tcBorders>
            <w:noWrap/>
            <w:hideMark/>
          </w:tcPr>
          <w:p w14:paraId="254CA390" w14:textId="54042FBD"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13.5</w:t>
            </w:r>
          </w:p>
        </w:tc>
        <w:tc>
          <w:tcPr>
            <w:tcW w:w="1560" w:type="dxa"/>
            <w:gridSpan w:val="2"/>
            <w:tcBorders>
              <w:top w:val="nil"/>
              <w:left w:val="nil"/>
              <w:bottom w:val="nil"/>
              <w:right w:val="nil"/>
            </w:tcBorders>
            <w:noWrap/>
            <w:hideMark/>
          </w:tcPr>
          <w:p w14:paraId="082BA082"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1521</w:t>
            </w:r>
          </w:p>
        </w:tc>
        <w:tc>
          <w:tcPr>
            <w:tcW w:w="1578" w:type="dxa"/>
            <w:tcBorders>
              <w:top w:val="nil"/>
              <w:left w:val="nil"/>
              <w:bottom w:val="nil"/>
              <w:right w:val="nil"/>
            </w:tcBorders>
            <w:noWrap/>
            <w:hideMark/>
          </w:tcPr>
          <w:p w14:paraId="0CB962D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876</w:t>
            </w:r>
          </w:p>
        </w:tc>
        <w:tc>
          <w:tcPr>
            <w:tcW w:w="1579" w:type="dxa"/>
            <w:tcBorders>
              <w:top w:val="nil"/>
              <w:left w:val="nil"/>
              <w:bottom w:val="nil"/>
              <w:right w:val="nil"/>
            </w:tcBorders>
            <w:noWrap/>
          </w:tcPr>
          <w:p w14:paraId="3F125E46" w14:textId="713FD1AE"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31667389" w14:textId="77777777" w:rsidTr="00F03D9A">
        <w:trPr>
          <w:trHeight w:val="290"/>
        </w:trPr>
        <w:tc>
          <w:tcPr>
            <w:tcW w:w="1134" w:type="dxa"/>
            <w:tcBorders>
              <w:top w:val="nil"/>
              <w:left w:val="nil"/>
              <w:bottom w:val="nil"/>
              <w:right w:val="nil"/>
            </w:tcBorders>
            <w:noWrap/>
            <w:hideMark/>
          </w:tcPr>
          <w:p w14:paraId="20D4ABAA"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4</w:t>
            </w:r>
          </w:p>
        </w:tc>
        <w:tc>
          <w:tcPr>
            <w:tcW w:w="1575" w:type="dxa"/>
            <w:tcBorders>
              <w:top w:val="nil"/>
              <w:left w:val="nil"/>
              <w:bottom w:val="nil"/>
              <w:right w:val="nil"/>
            </w:tcBorders>
            <w:noWrap/>
            <w:hideMark/>
          </w:tcPr>
          <w:p w14:paraId="19CA49EA"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190</w:t>
            </w:r>
          </w:p>
        </w:tc>
        <w:tc>
          <w:tcPr>
            <w:tcW w:w="1581" w:type="dxa"/>
            <w:tcBorders>
              <w:top w:val="nil"/>
              <w:left w:val="nil"/>
              <w:bottom w:val="nil"/>
              <w:right w:val="nil"/>
            </w:tcBorders>
            <w:noWrap/>
            <w:hideMark/>
          </w:tcPr>
          <w:p w14:paraId="00824F7B" w14:textId="6644AB69"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31</w:t>
            </w:r>
          </w:p>
        </w:tc>
        <w:tc>
          <w:tcPr>
            <w:tcW w:w="1597" w:type="dxa"/>
            <w:tcBorders>
              <w:top w:val="nil"/>
              <w:left w:val="nil"/>
              <w:bottom w:val="nil"/>
              <w:right w:val="nil"/>
            </w:tcBorders>
            <w:noWrap/>
            <w:hideMark/>
          </w:tcPr>
          <w:p w14:paraId="222FE160" w14:textId="3FA854A1"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16.3</w:t>
            </w:r>
          </w:p>
        </w:tc>
        <w:tc>
          <w:tcPr>
            <w:tcW w:w="1560" w:type="dxa"/>
            <w:gridSpan w:val="2"/>
            <w:tcBorders>
              <w:top w:val="nil"/>
              <w:left w:val="nil"/>
              <w:bottom w:val="nil"/>
              <w:right w:val="nil"/>
            </w:tcBorders>
            <w:noWrap/>
            <w:hideMark/>
          </w:tcPr>
          <w:p w14:paraId="21E5E27D"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1468</w:t>
            </w:r>
          </w:p>
        </w:tc>
        <w:tc>
          <w:tcPr>
            <w:tcW w:w="1578" w:type="dxa"/>
            <w:tcBorders>
              <w:top w:val="nil"/>
              <w:left w:val="nil"/>
              <w:bottom w:val="nil"/>
              <w:right w:val="nil"/>
            </w:tcBorders>
            <w:noWrap/>
            <w:hideMark/>
          </w:tcPr>
          <w:p w14:paraId="0B2EA6C0"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831</w:t>
            </w:r>
          </w:p>
        </w:tc>
        <w:tc>
          <w:tcPr>
            <w:tcW w:w="1579" w:type="dxa"/>
            <w:tcBorders>
              <w:top w:val="nil"/>
              <w:left w:val="nil"/>
              <w:bottom w:val="nil"/>
              <w:right w:val="nil"/>
            </w:tcBorders>
            <w:noWrap/>
          </w:tcPr>
          <w:p w14:paraId="17BFBA9A" w14:textId="60660C9D"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0BABD497" w14:textId="77777777" w:rsidTr="00F03D9A">
        <w:trPr>
          <w:trHeight w:val="290"/>
        </w:trPr>
        <w:tc>
          <w:tcPr>
            <w:tcW w:w="1134" w:type="dxa"/>
            <w:tcBorders>
              <w:top w:val="nil"/>
              <w:left w:val="nil"/>
              <w:bottom w:val="nil"/>
              <w:right w:val="nil"/>
            </w:tcBorders>
            <w:noWrap/>
            <w:hideMark/>
          </w:tcPr>
          <w:p w14:paraId="426B18D6"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3</w:t>
            </w:r>
          </w:p>
        </w:tc>
        <w:tc>
          <w:tcPr>
            <w:tcW w:w="1575" w:type="dxa"/>
            <w:tcBorders>
              <w:top w:val="nil"/>
              <w:left w:val="nil"/>
              <w:bottom w:val="nil"/>
              <w:right w:val="nil"/>
            </w:tcBorders>
            <w:noWrap/>
            <w:hideMark/>
          </w:tcPr>
          <w:p w14:paraId="21A4A592"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369</w:t>
            </w:r>
          </w:p>
        </w:tc>
        <w:tc>
          <w:tcPr>
            <w:tcW w:w="1581" w:type="dxa"/>
            <w:tcBorders>
              <w:top w:val="nil"/>
              <w:left w:val="nil"/>
              <w:bottom w:val="nil"/>
              <w:right w:val="nil"/>
            </w:tcBorders>
            <w:noWrap/>
            <w:hideMark/>
          </w:tcPr>
          <w:p w14:paraId="44708956" w14:textId="485CFC61"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77</w:t>
            </w:r>
          </w:p>
        </w:tc>
        <w:tc>
          <w:tcPr>
            <w:tcW w:w="1597" w:type="dxa"/>
            <w:tcBorders>
              <w:top w:val="nil"/>
              <w:left w:val="nil"/>
              <w:bottom w:val="nil"/>
              <w:right w:val="nil"/>
            </w:tcBorders>
            <w:noWrap/>
            <w:hideMark/>
          </w:tcPr>
          <w:p w14:paraId="2C518408" w14:textId="37C37EB4"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20.9</w:t>
            </w:r>
          </w:p>
        </w:tc>
        <w:tc>
          <w:tcPr>
            <w:tcW w:w="1560" w:type="dxa"/>
            <w:gridSpan w:val="2"/>
            <w:tcBorders>
              <w:top w:val="nil"/>
              <w:left w:val="nil"/>
              <w:bottom w:val="nil"/>
              <w:right w:val="nil"/>
            </w:tcBorders>
            <w:noWrap/>
            <w:hideMark/>
          </w:tcPr>
          <w:p w14:paraId="4E42EDF0"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1382</w:t>
            </w:r>
          </w:p>
        </w:tc>
        <w:tc>
          <w:tcPr>
            <w:tcW w:w="1578" w:type="dxa"/>
            <w:tcBorders>
              <w:top w:val="nil"/>
              <w:left w:val="nil"/>
              <w:bottom w:val="nil"/>
              <w:right w:val="nil"/>
            </w:tcBorders>
            <w:noWrap/>
            <w:hideMark/>
          </w:tcPr>
          <w:p w14:paraId="78AEF184"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762</w:t>
            </w:r>
          </w:p>
        </w:tc>
        <w:tc>
          <w:tcPr>
            <w:tcW w:w="1579" w:type="dxa"/>
            <w:tcBorders>
              <w:top w:val="nil"/>
              <w:left w:val="nil"/>
              <w:bottom w:val="nil"/>
              <w:right w:val="nil"/>
            </w:tcBorders>
            <w:noWrap/>
          </w:tcPr>
          <w:p w14:paraId="6A745348" w14:textId="477B5D05"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5A767CEB" w14:textId="77777777" w:rsidTr="00F03D9A">
        <w:trPr>
          <w:trHeight w:val="290"/>
        </w:trPr>
        <w:tc>
          <w:tcPr>
            <w:tcW w:w="1134" w:type="dxa"/>
            <w:tcBorders>
              <w:top w:val="nil"/>
              <w:left w:val="nil"/>
              <w:bottom w:val="nil"/>
              <w:right w:val="nil"/>
            </w:tcBorders>
            <w:noWrap/>
            <w:hideMark/>
          </w:tcPr>
          <w:p w14:paraId="5A0759C1"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2</w:t>
            </w:r>
          </w:p>
        </w:tc>
        <w:tc>
          <w:tcPr>
            <w:tcW w:w="1575" w:type="dxa"/>
            <w:tcBorders>
              <w:top w:val="nil"/>
              <w:left w:val="nil"/>
              <w:bottom w:val="nil"/>
              <w:right w:val="nil"/>
            </w:tcBorders>
            <w:noWrap/>
            <w:hideMark/>
          </w:tcPr>
          <w:p w14:paraId="670B2417" w14:textId="77777777" w:rsidR="00BA3629" w:rsidRPr="00A11B3A" w:rsidRDefault="00BA3629" w:rsidP="00BA3629">
            <w:pPr>
              <w:jc w:val="center"/>
              <w:rPr>
                <w:rFonts w:asciiTheme="majorBidi" w:hAnsiTheme="majorBidi" w:cstheme="majorBidi"/>
                <w:b/>
                <w:bCs/>
                <w:color w:val="000000"/>
                <w:sz w:val="20"/>
                <w:szCs w:val="20"/>
                <w:lang w:bidi="he-IL"/>
              </w:rPr>
            </w:pPr>
            <w:r w:rsidRPr="00A11B3A">
              <w:rPr>
                <w:rFonts w:asciiTheme="majorBidi" w:hAnsiTheme="majorBidi" w:cstheme="majorBidi"/>
                <w:b/>
                <w:bCs/>
                <w:color w:val="000000"/>
                <w:sz w:val="20"/>
                <w:szCs w:val="20"/>
                <w:lang w:bidi="he-IL"/>
              </w:rPr>
              <w:t>654</w:t>
            </w:r>
          </w:p>
        </w:tc>
        <w:tc>
          <w:tcPr>
            <w:tcW w:w="1581" w:type="dxa"/>
            <w:tcBorders>
              <w:top w:val="nil"/>
              <w:left w:val="nil"/>
              <w:bottom w:val="nil"/>
              <w:right w:val="nil"/>
            </w:tcBorders>
            <w:noWrap/>
            <w:hideMark/>
          </w:tcPr>
          <w:p w14:paraId="31748489" w14:textId="7FF6619B" w:rsidR="00BA3629" w:rsidRPr="00A11B3A" w:rsidRDefault="00BA3629" w:rsidP="00BA3629">
            <w:pPr>
              <w:jc w:val="center"/>
              <w:rPr>
                <w:rFonts w:asciiTheme="majorBidi" w:hAnsiTheme="majorBidi" w:cstheme="majorBidi"/>
                <w:b/>
                <w:bCs/>
                <w:color w:val="000000"/>
                <w:sz w:val="20"/>
                <w:szCs w:val="20"/>
                <w:lang w:bidi="he-IL"/>
              </w:rPr>
            </w:pPr>
            <w:r w:rsidRPr="00A11B3A">
              <w:rPr>
                <w:rFonts w:asciiTheme="majorBidi" w:hAnsiTheme="majorBidi" w:cstheme="majorBidi"/>
                <w:b/>
                <w:bCs/>
                <w:color w:val="000000"/>
                <w:sz w:val="20"/>
                <w:szCs w:val="20"/>
                <w:lang w:bidi="he-IL"/>
              </w:rPr>
              <w:t>182</w:t>
            </w:r>
          </w:p>
        </w:tc>
        <w:tc>
          <w:tcPr>
            <w:tcW w:w="1597" w:type="dxa"/>
            <w:tcBorders>
              <w:top w:val="nil"/>
              <w:left w:val="nil"/>
              <w:bottom w:val="nil"/>
              <w:right w:val="nil"/>
            </w:tcBorders>
            <w:noWrap/>
            <w:hideMark/>
          </w:tcPr>
          <w:p w14:paraId="5E0D511D" w14:textId="61E08D8A"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27.8</w:t>
            </w:r>
          </w:p>
        </w:tc>
        <w:tc>
          <w:tcPr>
            <w:tcW w:w="1560" w:type="dxa"/>
            <w:gridSpan w:val="2"/>
            <w:tcBorders>
              <w:top w:val="nil"/>
              <w:left w:val="nil"/>
              <w:bottom w:val="nil"/>
              <w:right w:val="nil"/>
            </w:tcBorders>
            <w:noWrap/>
            <w:hideMark/>
          </w:tcPr>
          <w:p w14:paraId="3FED9B1B"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1203</w:t>
            </w:r>
          </w:p>
        </w:tc>
        <w:tc>
          <w:tcPr>
            <w:tcW w:w="1578" w:type="dxa"/>
            <w:tcBorders>
              <w:top w:val="nil"/>
              <w:left w:val="nil"/>
              <w:bottom w:val="nil"/>
              <w:right w:val="nil"/>
            </w:tcBorders>
            <w:noWrap/>
            <w:hideMark/>
          </w:tcPr>
          <w:p w14:paraId="19641EEC"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629</w:t>
            </w:r>
          </w:p>
        </w:tc>
        <w:tc>
          <w:tcPr>
            <w:tcW w:w="1579" w:type="dxa"/>
            <w:tcBorders>
              <w:top w:val="nil"/>
              <w:left w:val="nil"/>
              <w:bottom w:val="nil"/>
              <w:right w:val="nil"/>
            </w:tcBorders>
            <w:noWrap/>
          </w:tcPr>
          <w:p w14:paraId="3102FB7B" w14:textId="62AC55D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691BA124" w14:textId="77777777" w:rsidTr="00F03D9A">
        <w:trPr>
          <w:trHeight w:val="290"/>
        </w:trPr>
        <w:tc>
          <w:tcPr>
            <w:tcW w:w="1134" w:type="dxa"/>
            <w:tcBorders>
              <w:top w:val="nil"/>
              <w:left w:val="nil"/>
              <w:bottom w:val="nil"/>
              <w:right w:val="nil"/>
            </w:tcBorders>
            <w:noWrap/>
            <w:hideMark/>
          </w:tcPr>
          <w:p w14:paraId="0EA3180B"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1</w:t>
            </w:r>
          </w:p>
        </w:tc>
        <w:tc>
          <w:tcPr>
            <w:tcW w:w="1575" w:type="dxa"/>
            <w:tcBorders>
              <w:top w:val="nil"/>
              <w:left w:val="nil"/>
              <w:bottom w:val="nil"/>
              <w:right w:val="nil"/>
            </w:tcBorders>
            <w:noWrap/>
            <w:hideMark/>
          </w:tcPr>
          <w:p w14:paraId="21DE1B37"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1031</w:t>
            </w:r>
          </w:p>
        </w:tc>
        <w:tc>
          <w:tcPr>
            <w:tcW w:w="1581" w:type="dxa"/>
            <w:tcBorders>
              <w:top w:val="nil"/>
              <w:left w:val="nil"/>
              <w:bottom w:val="nil"/>
              <w:right w:val="nil"/>
            </w:tcBorders>
            <w:noWrap/>
            <w:hideMark/>
          </w:tcPr>
          <w:p w14:paraId="60C6CFD1" w14:textId="15452AB8"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337</w:t>
            </w:r>
          </w:p>
        </w:tc>
        <w:tc>
          <w:tcPr>
            <w:tcW w:w="1597" w:type="dxa"/>
            <w:tcBorders>
              <w:top w:val="nil"/>
              <w:left w:val="nil"/>
              <w:bottom w:val="nil"/>
              <w:right w:val="nil"/>
            </w:tcBorders>
            <w:noWrap/>
          </w:tcPr>
          <w:p w14:paraId="461F5FAA" w14:textId="727AFFB6"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c>
          <w:tcPr>
            <w:tcW w:w="1560" w:type="dxa"/>
            <w:gridSpan w:val="2"/>
            <w:tcBorders>
              <w:top w:val="nil"/>
              <w:left w:val="nil"/>
              <w:bottom w:val="nil"/>
              <w:right w:val="nil"/>
            </w:tcBorders>
            <w:noWrap/>
            <w:hideMark/>
          </w:tcPr>
          <w:p w14:paraId="3CA5D553"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918</w:t>
            </w:r>
          </w:p>
        </w:tc>
        <w:tc>
          <w:tcPr>
            <w:tcW w:w="1578" w:type="dxa"/>
            <w:tcBorders>
              <w:top w:val="nil"/>
              <w:left w:val="nil"/>
              <w:bottom w:val="nil"/>
              <w:right w:val="nil"/>
            </w:tcBorders>
            <w:noWrap/>
            <w:hideMark/>
          </w:tcPr>
          <w:p w14:paraId="40F59F74"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449</w:t>
            </w:r>
          </w:p>
        </w:tc>
        <w:tc>
          <w:tcPr>
            <w:tcW w:w="1579" w:type="dxa"/>
            <w:tcBorders>
              <w:top w:val="nil"/>
              <w:left w:val="nil"/>
              <w:bottom w:val="nil"/>
              <w:right w:val="nil"/>
            </w:tcBorders>
            <w:noWrap/>
          </w:tcPr>
          <w:p w14:paraId="29F2F7DD" w14:textId="08660ED2"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FB5F14" w:rsidRPr="00985D26" w14:paraId="36A1FC12" w14:textId="77777777" w:rsidTr="00F03D9A">
        <w:trPr>
          <w:trHeight w:val="290"/>
        </w:trPr>
        <w:tc>
          <w:tcPr>
            <w:tcW w:w="1134" w:type="dxa"/>
            <w:tcBorders>
              <w:top w:val="nil"/>
              <w:left w:val="nil"/>
              <w:bottom w:val="nil"/>
              <w:right w:val="nil"/>
            </w:tcBorders>
            <w:noWrap/>
            <w:hideMark/>
          </w:tcPr>
          <w:p w14:paraId="6401C355" w14:textId="77777777" w:rsidR="00BA3629" w:rsidRPr="00076234" w:rsidRDefault="00BA3629" w:rsidP="00BA3629">
            <w:pPr>
              <w:rPr>
                <w:rFonts w:asciiTheme="majorBidi" w:hAnsiTheme="majorBidi" w:cstheme="majorBidi"/>
                <w:color w:val="000000"/>
                <w:sz w:val="20"/>
                <w:szCs w:val="20"/>
                <w:lang w:bidi="he-IL"/>
              </w:rPr>
            </w:pPr>
            <w:r w:rsidRPr="00076234">
              <w:rPr>
                <w:rFonts w:asciiTheme="majorBidi" w:hAnsiTheme="majorBidi" w:cstheme="majorBidi"/>
                <w:color w:val="000000"/>
                <w:sz w:val="20"/>
                <w:szCs w:val="20"/>
                <w:lang w:bidi="he-IL"/>
              </w:rPr>
              <w:t>0</w:t>
            </w:r>
          </w:p>
        </w:tc>
        <w:tc>
          <w:tcPr>
            <w:tcW w:w="1575" w:type="dxa"/>
            <w:tcBorders>
              <w:top w:val="nil"/>
              <w:left w:val="nil"/>
              <w:bottom w:val="nil"/>
              <w:right w:val="nil"/>
            </w:tcBorders>
            <w:noWrap/>
            <w:hideMark/>
          </w:tcPr>
          <w:p w14:paraId="32AF8B3E" w14:textId="77777777"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1572</w:t>
            </w:r>
          </w:p>
        </w:tc>
        <w:tc>
          <w:tcPr>
            <w:tcW w:w="1581" w:type="dxa"/>
            <w:tcBorders>
              <w:top w:val="nil"/>
              <w:left w:val="nil"/>
              <w:bottom w:val="nil"/>
              <w:right w:val="nil"/>
            </w:tcBorders>
            <w:noWrap/>
            <w:hideMark/>
          </w:tcPr>
          <w:p w14:paraId="137D8A90" w14:textId="0D5D18BB"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651</w:t>
            </w:r>
          </w:p>
        </w:tc>
        <w:tc>
          <w:tcPr>
            <w:tcW w:w="1597" w:type="dxa"/>
            <w:tcBorders>
              <w:top w:val="nil"/>
              <w:left w:val="nil"/>
              <w:bottom w:val="nil"/>
              <w:right w:val="nil"/>
            </w:tcBorders>
            <w:noWrap/>
          </w:tcPr>
          <w:p w14:paraId="52398343" w14:textId="2162EDCE"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c>
          <w:tcPr>
            <w:tcW w:w="1560" w:type="dxa"/>
            <w:gridSpan w:val="2"/>
            <w:tcBorders>
              <w:top w:val="nil"/>
              <w:left w:val="nil"/>
              <w:bottom w:val="nil"/>
              <w:right w:val="nil"/>
            </w:tcBorders>
            <w:noWrap/>
            <w:hideMark/>
          </w:tcPr>
          <w:p w14:paraId="036D9016" w14:textId="77777777" w:rsidR="00BA3629" w:rsidRPr="00A11B3A" w:rsidRDefault="00BA3629" w:rsidP="00BA3629">
            <w:pPr>
              <w:jc w:val="center"/>
              <w:rPr>
                <w:rFonts w:asciiTheme="majorBidi" w:hAnsiTheme="majorBidi" w:cstheme="majorBidi"/>
                <w:b/>
                <w:bCs/>
                <w:color w:val="000000"/>
                <w:sz w:val="20"/>
                <w:szCs w:val="20"/>
                <w:lang w:bidi="he-IL"/>
              </w:rPr>
            </w:pPr>
            <w:r w:rsidRPr="00A11B3A">
              <w:rPr>
                <w:rFonts w:asciiTheme="majorBidi" w:hAnsiTheme="majorBidi" w:cstheme="majorBidi"/>
                <w:b/>
                <w:bCs/>
                <w:color w:val="000000"/>
                <w:sz w:val="20"/>
                <w:szCs w:val="20"/>
                <w:lang w:bidi="he-IL"/>
              </w:rPr>
              <w:t>541</w:t>
            </w:r>
          </w:p>
        </w:tc>
        <w:tc>
          <w:tcPr>
            <w:tcW w:w="1578" w:type="dxa"/>
            <w:tcBorders>
              <w:top w:val="nil"/>
              <w:left w:val="nil"/>
              <w:bottom w:val="nil"/>
              <w:right w:val="nil"/>
            </w:tcBorders>
            <w:noWrap/>
            <w:hideMark/>
          </w:tcPr>
          <w:p w14:paraId="1D3D614E" w14:textId="77777777" w:rsidR="00BA3629" w:rsidRPr="00A11B3A" w:rsidRDefault="00BA3629" w:rsidP="00BA3629">
            <w:pPr>
              <w:jc w:val="center"/>
              <w:rPr>
                <w:rFonts w:asciiTheme="majorBidi" w:hAnsiTheme="majorBidi" w:cstheme="majorBidi"/>
                <w:b/>
                <w:bCs/>
                <w:color w:val="000000"/>
                <w:sz w:val="20"/>
                <w:szCs w:val="20"/>
                <w:lang w:bidi="he-IL"/>
              </w:rPr>
            </w:pPr>
            <w:r w:rsidRPr="00A11B3A">
              <w:rPr>
                <w:rFonts w:asciiTheme="majorBidi" w:hAnsiTheme="majorBidi" w:cstheme="majorBidi"/>
                <w:b/>
                <w:bCs/>
                <w:color w:val="000000"/>
                <w:sz w:val="20"/>
                <w:szCs w:val="20"/>
                <w:lang w:bidi="he-IL"/>
              </w:rPr>
              <w:t>227</w:t>
            </w:r>
          </w:p>
        </w:tc>
        <w:tc>
          <w:tcPr>
            <w:tcW w:w="1579" w:type="dxa"/>
            <w:tcBorders>
              <w:top w:val="nil"/>
              <w:left w:val="nil"/>
              <w:bottom w:val="nil"/>
              <w:right w:val="nil"/>
            </w:tcBorders>
            <w:noWrap/>
            <w:hideMark/>
          </w:tcPr>
          <w:p w14:paraId="56CAA17C" w14:textId="7EA2D247" w:rsidR="00BA3629" w:rsidRPr="00EB20B2" w:rsidRDefault="00BA3629" w:rsidP="00BA3629">
            <w:pPr>
              <w:jc w:val="center"/>
              <w:rPr>
                <w:rFonts w:asciiTheme="majorBidi" w:hAnsiTheme="majorBidi" w:cstheme="majorBidi"/>
                <w:color w:val="000000"/>
                <w:sz w:val="20"/>
                <w:szCs w:val="20"/>
                <w:lang w:bidi="he-IL"/>
              </w:rPr>
            </w:pPr>
            <w:r w:rsidRPr="00EB20B2">
              <w:rPr>
                <w:rFonts w:asciiTheme="majorBidi" w:hAnsiTheme="majorBidi" w:cstheme="majorBidi"/>
                <w:color w:val="000000"/>
                <w:sz w:val="20"/>
                <w:szCs w:val="20"/>
                <w:lang w:bidi="he-IL"/>
              </w:rPr>
              <w:t>42.0</w:t>
            </w:r>
          </w:p>
        </w:tc>
      </w:tr>
      <w:tr w:rsidR="00BA3629" w:rsidRPr="00985D26" w14:paraId="4FAED4F7" w14:textId="77777777" w:rsidTr="00F03D9A">
        <w:trPr>
          <w:trHeight w:val="290"/>
        </w:trPr>
        <w:tc>
          <w:tcPr>
            <w:tcW w:w="2709" w:type="dxa"/>
            <w:gridSpan w:val="2"/>
            <w:tcBorders>
              <w:top w:val="nil"/>
              <w:left w:val="nil"/>
              <w:bottom w:val="single" w:sz="4" w:space="0" w:color="auto"/>
              <w:right w:val="nil"/>
            </w:tcBorders>
            <w:noWrap/>
          </w:tcPr>
          <w:p w14:paraId="5385A8B4" w14:textId="0280B581" w:rsidR="00BA3629" w:rsidRPr="00A11B3A" w:rsidRDefault="00F03D9A" w:rsidP="00DA6131">
            <w:pP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Type 1 error</w:t>
            </w:r>
          </w:p>
        </w:tc>
        <w:tc>
          <w:tcPr>
            <w:tcW w:w="3178" w:type="dxa"/>
            <w:gridSpan w:val="2"/>
            <w:tcBorders>
              <w:top w:val="nil"/>
              <w:left w:val="nil"/>
              <w:bottom w:val="single" w:sz="4" w:space="0" w:color="auto"/>
              <w:right w:val="nil"/>
            </w:tcBorders>
            <w:noWrap/>
          </w:tcPr>
          <w:p w14:paraId="7C5686E7" w14:textId="63A89DFF"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182/651=28%</w:t>
            </w:r>
          </w:p>
        </w:tc>
        <w:tc>
          <w:tcPr>
            <w:tcW w:w="1553" w:type="dxa"/>
            <w:tcBorders>
              <w:top w:val="nil"/>
              <w:left w:val="nil"/>
              <w:bottom w:val="single" w:sz="4" w:space="0" w:color="auto"/>
              <w:right w:val="nil"/>
            </w:tcBorders>
            <w:noWrap/>
          </w:tcPr>
          <w:p w14:paraId="1E8240A9" w14:textId="3C62B9E3" w:rsidR="00BA3629" w:rsidRPr="00A11B3A" w:rsidRDefault="00F03D9A" w:rsidP="00BA3629">
            <w:pPr>
              <w:jc w:val="cente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Type 2 error</w:t>
            </w:r>
          </w:p>
        </w:tc>
        <w:tc>
          <w:tcPr>
            <w:tcW w:w="3164" w:type="dxa"/>
            <w:gridSpan w:val="3"/>
            <w:tcBorders>
              <w:top w:val="nil"/>
              <w:left w:val="nil"/>
              <w:bottom w:val="single" w:sz="4" w:space="0" w:color="auto"/>
              <w:right w:val="nil"/>
            </w:tcBorders>
            <w:noWrap/>
          </w:tcPr>
          <w:p w14:paraId="7A66AAAE" w14:textId="746B7489" w:rsidR="00BA3629" w:rsidRPr="00A11B3A" w:rsidRDefault="00BA3629" w:rsidP="00BA3629">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227/921=24.6%</w:t>
            </w:r>
          </w:p>
        </w:tc>
      </w:tr>
      <w:tr w:rsidR="00FB5F14" w14:paraId="4602E448" w14:textId="77777777" w:rsidTr="00F03D9A">
        <w:tc>
          <w:tcPr>
            <w:tcW w:w="10604" w:type="dxa"/>
            <w:gridSpan w:val="8"/>
            <w:tcBorders>
              <w:top w:val="single" w:sz="4" w:space="0" w:color="auto"/>
              <w:left w:val="nil"/>
              <w:bottom w:val="single" w:sz="4" w:space="0" w:color="auto"/>
              <w:right w:val="nil"/>
            </w:tcBorders>
          </w:tcPr>
          <w:p w14:paraId="70A35BBA" w14:textId="52D90964" w:rsidR="00FB5F14" w:rsidRPr="00A11B3A" w:rsidRDefault="00FB5F14" w:rsidP="00DB07EA">
            <w:pPr>
              <w:jc w:val="center"/>
              <w:rPr>
                <w:rFonts w:asciiTheme="majorBidi" w:hAnsiTheme="majorBidi" w:cstheme="majorBidi"/>
                <w:b/>
                <w:bCs/>
                <w:sz w:val="20"/>
                <w:szCs w:val="20"/>
                <w:lang w:val="en-CA"/>
              </w:rPr>
            </w:pPr>
            <w:r w:rsidRPr="00A11B3A">
              <w:rPr>
                <w:rFonts w:asciiTheme="majorBidi" w:hAnsiTheme="majorBidi" w:cstheme="majorBidi"/>
                <w:b/>
                <w:bCs/>
                <w:sz w:val="20"/>
                <w:szCs w:val="20"/>
                <w:lang w:val="en-CA"/>
              </w:rPr>
              <w:t xml:space="preserve">Panel B: </w:t>
            </w:r>
            <w:r w:rsidR="00DB07EA">
              <w:rPr>
                <w:rFonts w:asciiTheme="majorBidi" w:hAnsiTheme="majorBidi" w:cstheme="majorBidi"/>
                <w:b/>
                <w:bCs/>
                <w:sz w:val="20"/>
                <w:szCs w:val="20"/>
                <w:lang w:val="en-CA"/>
              </w:rPr>
              <w:t>Productivity at tenure</w:t>
            </w:r>
            <w:r w:rsidRPr="00A11B3A">
              <w:rPr>
                <w:rFonts w:asciiTheme="majorBidi" w:hAnsiTheme="majorBidi" w:cstheme="majorBidi"/>
                <w:b/>
                <w:bCs/>
                <w:sz w:val="20"/>
                <w:szCs w:val="20"/>
                <w:lang w:val="en-CA"/>
              </w:rPr>
              <w:t xml:space="preserve"> = 10 (Sample 2)</w:t>
            </w:r>
          </w:p>
        </w:tc>
      </w:tr>
      <w:tr w:rsidR="00FB5F14" w:rsidRPr="00983696" w14:paraId="753E85FC" w14:textId="77777777" w:rsidTr="00F03D9A">
        <w:tc>
          <w:tcPr>
            <w:tcW w:w="1134" w:type="dxa"/>
            <w:tcBorders>
              <w:top w:val="single" w:sz="4" w:space="0" w:color="auto"/>
              <w:left w:val="nil"/>
              <w:bottom w:val="nil"/>
              <w:right w:val="nil"/>
            </w:tcBorders>
          </w:tcPr>
          <w:p w14:paraId="77FC85C7" w14:textId="77777777" w:rsidR="00FB5F14" w:rsidRPr="00A11B3A" w:rsidRDefault="00FB5F14" w:rsidP="00FB5F14">
            <w:pPr>
              <w:jc w:val="center"/>
              <w:rPr>
                <w:rFonts w:asciiTheme="majorBidi" w:hAnsiTheme="majorBidi" w:cstheme="majorBidi"/>
                <w:sz w:val="20"/>
                <w:szCs w:val="20"/>
                <w:lang w:val="en-CA"/>
              </w:rPr>
            </w:pPr>
          </w:p>
        </w:tc>
        <w:tc>
          <w:tcPr>
            <w:tcW w:w="1575" w:type="dxa"/>
            <w:tcBorders>
              <w:top w:val="single" w:sz="4" w:space="0" w:color="auto"/>
              <w:left w:val="nil"/>
              <w:bottom w:val="nil"/>
              <w:right w:val="nil"/>
            </w:tcBorders>
            <w:vAlign w:val="bottom"/>
          </w:tcPr>
          <w:p w14:paraId="2DA52B84"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(1)</w:t>
            </w:r>
          </w:p>
        </w:tc>
        <w:tc>
          <w:tcPr>
            <w:tcW w:w="1581" w:type="dxa"/>
            <w:tcBorders>
              <w:top w:val="single" w:sz="4" w:space="0" w:color="auto"/>
              <w:left w:val="nil"/>
              <w:bottom w:val="nil"/>
              <w:right w:val="nil"/>
            </w:tcBorders>
            <w:vAlign w:val="bottom"/>
          </w:tcPr>
          <w:p w14:paraId="3483231F"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(2)</w:t>
            </w:r>
          </w:p>
        </w:tc>
        <w:tc>
          <w:tcPr>
            <w:tcW w:w="1597" w:type="dxa"/>
            <w:tcBorders>
              <w:top w:val="single" w:sz="4" w:space="0" w:color="auto"/>
              <w:left w:val="nil"/>
              <w:bottom w:val="nil"/>
              <w:right w:val="nil"/>
            </w:tcBorders>
            <w:vAlign w:val="bottom"/>
          </w:tcPr>
          <w:p w14:paraId="25E730A2"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(3)</w:t>
            </w:r>
          </w:p>
        </w:tc>
        <w:tc>
          <w:tcPr>
            <w:tcW w:w="1560" w:type="dxa"/>
            <w:gridSpan w:val="2"/>
            <w:tcBorders>
              <w:top w:val="single" w:sz="4" w:space="0" w:color="auto"/>
              <w:left w:val="nil"/>
              <w:bottom w:val="nil"/>
              <w:right w:val="nil"/>
            </w:tcBorders>
            <w:vAlign w:val="bottom"/>
          </w:tcPr>
          <w:p w14:paraId="31417E8F"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(4)</w:t>
            </w:r>
          </w:p>
        </w:tc>
        <w:tc>
          <w:tcPr>
            <w:tcW w:w="1578" w:type="dxa"/>
            <w:tcBorders>
              <w:top w:val="single" w:sz="4" w:space="0" w:color="auto"/>
              <w:left w:val="nil"/>
              <w:bottom w:val="nil"/>
              <w:right w:val="nil"/>
            </w:tcBorders>
            <w:vAlign w:val="bottom"/>
          </w:tcPr>
          <w:p w14:paraId="38A10745"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(5)</w:t>
            </w:r>
          </w:p>
        </w:tc>
        <w:tc>
          <w:tcPr>
            <w:tcW w:w="1579" w:type="dxa"/>
            <w:tcBorders>
              <w:top w:val="single" w:sz="4" w:space="0" w:color="auto"/>
              <w:left w:val="nil"/>
              <w:bottom w:val="nil"/>
              <w:right w:val="nil"/>
            </w:tcBorders>
            <w:vAlign w:val="bottom"/>
          </w:tcPr>
          <w:p w14:paraId="14A0BB4F"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(6)</w:t>
            </w:r>
          </w:p>
        </w:tc>
      </w:tr>
      <w:tr w:rsidR="00FB5F14" w:rsidRPr="00983696" w14:paraId="675130EE" w14:textId="77777777" w:rsidTr="00F03D9A">
        <w:tc>
          <w:tcPr>
            <w:tcW w:w="1134" w:type="dxa"/>
            <w:tcBorders>
              <w:top w:val="nil"/>
              <w:left w:val="nil"/>
              <w:bottom w:val="single" w:sz="4" w:space="0" w:color="auto"/>
              <w:right w:val="nil"/>
            </w:tcBorders>
          </w:tcPr>
          <w:p w14:paraId="7AA70EE7"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Number of A articles</w:t>
            </w:r>
          </w:p>
        </w:tc>
        <w:tc>
          <w:tcPr>
            <w:tcW w:w="1575" w:type="dxa"/>
            <w:tcBorders>
              <w:top w:val="nil"/>
              <w:left w:val="nil"/>
              <w:bottom w:val="single" w:sz="4" w:space="0" w:color="auto"/>
              <w:right w:val="nil"/>
            </w:tcBorders>
            <w:vAlign w:val="bottom"/>
          </w:tcPr>
          <w:p w14:paraId="75F3A595"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 of authors having &gt;= </w:t>
            </w:r>
          </w:p>
          <w:p w14:paraId="1F24341A" w14:textId="77777777" w:rsidR="00FB5F14" w:rsidRPr="00A11B3A" w:rsidRDefault="00FB5F14" w:rsidP="00FB5F14">
            <w:pPr>
              <w:jc w:val="center"/>
              <w:rPr>
                <w:rFonts w:asciiTheme="majorBidi" w:hAnsiTheme="majorBidi" w:cstheme="majorBidi"/>
                <w:sz w:val="20"/>
                <w:szCs w:val="20"/>
                <w:lang w:val="en-CA"/>
              </w:rPr>
            </w:pPr>
          </w:p>
        </w:tc>
        <w:tc>
          <w:tcPr>
            <w:tcW w:w="1581" w:type="dxa"/>
            <w:tcBorders>
              <w:top w:val="nil"/>
              <w:left w:val="nil"/>
              <w:bottom w:val="single" w:sz="4" w:space="0" w:color="auto"/>
              <w:right w:val="nil"/>
            </w:tcBorders>
            <w:vAlign w:val="bottom"/>
          </w:tcPr>
          <w:p w14:paraId="4AEF7D5F"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numbers of authors in top 51-100 universities &gt;= </w:t>
            </w:r>
          </w:p>
        </w:tc>
        <w:tc>
          <w:tcPr>
            <w:tcW w:w="1597" w:type="dxa"/>
            <w:tcBorders>
              <w:top w:val="nil"/>
              <w:left w:val="nil"/>
              <w:bottom w:val="single" w:sz="4" w:space="0" w:color="auto"/>
              <w:right w:val="nil"/>
            </w:tcBorders>
            <w:vAlign w:val="bottom"/>
          </w:tcPr>
          <w:p w14:paraId="60A97AA1"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Misplaced authors (%)</w:t>
            </w:r>
          </w:p>
          <w:p w14:paraId="60D25983"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(2)</w:t>
            </w:r>
            <w:proofErr w:type="gramStart"/>
            <w:r w:rsidRPr="00A11B3A">
              <w:rPr>
                <w:rFonts w:asciiTheme="majorBidi" w:hAnsiTheme="majorBidi" w:cstheme="majorBidi"/>
                <w:sz w:val="20"/>
                <w:szCs w:val="20"/>
                <w:lang w:val="en-CA"/>
              </w:rPr>
              <w:t>/(</w:t>
            </w:r>
            <w:proofErr w:type="gramEnd"/>
            <w:r w:rsidRPr="00A11B3A">
              <w:rPr>
                <w:rFonts w:asciiTheme="majorBidi" w:hAnsiTheme="majorBidi" w:cstheme="majorBidi"/>
                <w:sz w:val="20"/>
                <w:szCs w:val="20"/>
                <w:lang w:val="en-CA"/>
              </w:rPr>
              <w:t>1)</w:t>
            </w:r>
          </w:p>
          <w:p w14:paraId="00C0ED6E" w14:textId="77777777" w:rsidR="00FB5F14" w:rsidRPr="00A11B3A" w:rsidRDefault="00FB5F14" w:rsidP="00FB5F14">
            <w:pPr>
              <w:jc w:val="center"/>
              <w:rPr>
                <w:rFonts w:asciiTheme="majorBidi" w:hAnsiTheme="majorBidi" w:cstheme="majorBidi"/>
                <w:sz w:val="20"/>
                <w:szCs w:val="20"/>
                <w:lang w:val="en-CA"/>
              </w:rPr>
            </w:pPr>
          </w:p>
          <w:p w14:paraId="04614B96" w14:textId="77777777" w:rsidR="00FB5F14" w:rsidRPr="00A11B3A" w:rsidRDefault="00FB5F14" w:rsidP="00FB5F14">
            <w:pPr>
              <w:jc w:val="center"/>
              <w:rPr>
                <w:rFonts w:asciiTheme="majorBidi" w:hAnsiTheme="majorBidi" w:cstheme="majorBidi"/>
                <w:sz w:val="20"/>
                <w:szCs w:val="20"/>
                <w:lang w:val="en-CA"/>
              </w:rPr>
            </w:pPr>
          </w:p>
        </w:tc>
        <w:tc>
          <w:tcPr>
            <w:tcW w:w="1560" w:type="dxa"/>
            <w:gridSpan w:val="2"/>
            <w:tcBorders>
              <w:top w:val="nil"/>
              <w:left w:val="nil"/>
              <w:bottom w:val="single" w:sz="4" w:space="0" w:color="auto"/>
              <w:right w:val="nil"/>
            </w:tcBorders>
            <w:vAlign w:val="bottom"/>
          </w:tcPr>
          <w:p w14:paraId="239D7CEE"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 of authors having &lt;= </w:t>
            </w:r>
          </w:p>
          <w:p w14:paraId="6BCE87B7" w14:textId="77777777" w:rsidR="00FB5F14" w:rsidRPr="00A11B3A" w:rsidRDefault="00FB5F14" w:rsidP="00FB5F14">
            <w:pPr>
              <w:jc w:val="center"/>
              <w:rPr>
                <w:rFonts w:asciiTheme="majorBidi" w:hAnsiTheme="majorBidi" w:cstheme="majorBidi"/>
                <w:sz w:val="20"/>
                <w:szCs w:val="20"/>
                <w:lang w:val="en-CA"/>
              </w:rPr>
            </w:pPr>
          </w:p>
        </w:tc>
        <w:tc>
          <w:tcPr>
            <w:tcW w:w="1578" w:type="dxa"/>
            <w:tcBorders>
              <w:top w:val="nil"/>
              <w:left w:val="nil"/>
              <w:bottom w:val="single" w:sz="4" w:space="0" w:color="auto"/>
              <w:right w:val="nil"/>
            </w:tcBorders>
            <w:vAlign w:val="bottom"/>
          </w:tcPr>
          <w:p w14:paraId="6D395C72"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 xml:space="preserve">Accumulated numbers of authors in top 20 universities &lt;= </w:t>
            </w:r>
          </w:p>
          <w:p w14:paraId="4C9C654B" w14:textId="77777777" w:rsidR="00FB5F14" w:rsidRPr="00A11B3A" w:rsidRDefault="00FB5F14" w:rsidP="00FB5F14">
            <w:pPr>
              <w:jc w:val="center"/>
              <w:rPr>
                <w:rFonts w:asciiTheme="majorBidi" w:hAnsiTheme="majorBidi" w:cstheme="majorBidi"/>
                <w:sz w:val="20"/>
                <w:szCs w:val="20"/>
                <w:lang w:val="en-CA"/>
              </w:rPr>
            </w:pPr>
          </w:p>
        </w:tc>
        <w:tc>
          <w:tcPr>
            <w:tcW w:w="1579" w:type="dxa"/>
            <w:tcBorders>
              <w:top w:val="nil"/>
              <w:left w:val="nil"/>
              <w:bottom w:val="single" w:sz="4" w:space="0" w:color="auto"/>
              <w:right w:val="nil"/>
            </w:tcBorders>
          </w:tcPr>
          <w:p w14:paraId="26E6CD08"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Misplaced authors (%)</w:t>
            </w:r>
          </w:p>
          <w:p w14:paraId="7F547D20" w14:textId="77777777" w:rsidR="00FB5F14" w:rsidRPr="00A11B3A" w:rsidRDefault="00FB5F14" w:rsidP="00FB5F14">
            <w:pPr>
              <w:jc w:val="center"/>
              <w:rPr>
                <w:rFonts w:asciiTheme="majorBidi" w:hAnsiTheme="majorBidi" w:cstheme="majorBidi"/>
                <w:sz w:val="20"/>
                <w:szCs w:val="20"/>
                <w:lang w:val="en-CA"/>
              </w:rPr>
            </w:pPr>
            <w:r w:rsidRPr="00A11B3A">
              <w:rPr>
                <w:rFonts w:asciiTheme="majorBidi" w:hAnsiTheme="majorBidi" w:cstheme="majorBidi"/>
                <w:sz w:val="20"/>
                <w:szCs w:val="20"/>
                <w:lang w:val="en-CA"/>
              </w:rPr>
              <w:t>(6)</w:t>
            </w:r>
            <w:proofErr w:type="gramStart"/>
            <w:r w:rsidRPr="00A11B3A">
              <w:rPr>
                <w:rFonts w:asciiTheme="majorBidi" w:hAnsiTheme="majorBidi" w:cstheme="majorBidi"/>
                <w:sz w:val="20"/>
                <w:szCs w:val="20"/>
                <w:lang w:val="en-CA"/>
              </w:rPr>
              <w:t>/(</w:t>
            </w:r>
            <w:proofErr w:type="gramEnd"/>
            <w:r w:rsidRPr="00A11B3A">
              <w:rPr>
                <w:rFonts w:asciiTheme="majorBidi" w:hAnsiTheme="majorBidi" w:cstheme="majorBidi"/>
                <w:sz w:val="20"/>
                <w:szCs w:val="20"/>
                <w:lang w:val="en-CA"/>
              </w:rPr>
              <w:t>5)</w:t>
            </w:r>
          </w:p>
        </w:tc>
      </w:tr>
      <w:tr w:rsidR="0094206D" w:rsidRPr="00985D26" w14:paraId="4E94DD30" w14:textId="77777777" w:rsidTr="00F03D9A">
        <w:trPr>
          <w:trHeight w:val="290"/>
        </w:trPr>
        <w:tc>
          <w:tcPr>
            <w:tcW w:w="1134" w:type="dxa"/>
            <w:tcBorders>
              <w:top w:val="single" w:sz="4" w:space="0" w:color="auto"/>
              <w:left w:val="nil"/>
              <w:bottom w:val="nil"/>
              <w:right w:val="nil"/>
            </w:tcBorders>
            <w:noWrap/>
            <w:hideMark/>
          </w:tcPr>
          <w:p w14:paraId="30CF017D"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10+</w:t>
            </w:r>
          </w:p>
        </w:tc>
        <w:tc>
          <w:tcPr>
            <w:tcW w:w="1575" w:type="dxa"/>
            <w:tcBorders>
              <w:top w:val="single" w:sz="4" w:space="0" w:color="auto"/>
              <w:left w:val="nil"/>
              <w:bottom w:val="nil"/>
              <w:right w:val="nil"/>
            </w:tcBorders>
            <w:noWrap/>
            <w:hideMark/>
          </w:tcPr>
          <w:p w14:paraId="1078E8E3" w14:textId="01E3B8D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14</w:t>
            </w:r>
          </w:p>
        </w:tc>
        <w:tc>
          <w:tcPr>
            <w:tcW w:w="1581" w:type="dxa"/>
            <w:tcBorders>
              <w:top w:val="single" w:sz="4" w:space="0" w:color="auto"/>
              <w:left w:val="nil"/>
              <w:bottom w:val="nil"/>
              <w:right w:val="nil"/>
            </w:tcBorders>
            <w:noWrap/>
            <w:hideMark/>
          </w:tcPr>
          <w:p w14:paraId="098B0317" w14:textId="1B66DD12"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1</w:t>
            </w:r>
          </w:p>
        </w:tc>
        <w:tc>
          <w:tcPr>
            <w:tcW w:w="1597" w:type="dxa"/>
            <w:tcBorders>
              <w:top w:val="single" w:sz="4" w:space="0" w:color="auto"/>
              <w:left w:val="nil"/>
              <w:bottom w:val="nil"/>
              <w:right w:val="nil"/>
            </w:tcBorders>
            <w:noWrap/>
            <w:hideMark/>
          </w:tcPr>
          <w:p w14:paraId="35024CCB" w14:textId="22636CB4" w:rsidR="0094206D" w:rsidRPr="00985D26" w:rsidRDefault="00D876CC"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7.1</w:t>
            </w:r>
          </w:p>
        </w:tc>
        <w:tc>
          <w:tcPr>
            <w:tcW w:w="1560" w:type="dxa"/>
            <w:gridSpan w:val="2"/>
            <w:tcBorders>
              <w:top w:val="single" w:sz="4" w:space="0" w:color="auto"/>
              <w:left w:val="nil"/>
              <w:bottom w:val="nil"/>
              <w:right w:val="nil"/>
            </w:tcBorders>
            <w:noWrap/>
            <w:hideMark/>
          </w:tcPr>
          <w:p w14:paraId="3448CD81" w14:textId="7B8AC456"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854</w:t>
            </w:r>
          </w:p>
        </w:tc>
        <w:tc>
          <w:tcPr>
            <w:tcW w:w="1578" w:type="dxa"/>
            <w:tcBorders>
              <w:top w:val="single" w:sz="4" w:space="0" w:color="auto"/>
              <w:left w:val="nil"/>
              <w:bottom w:val="nil"/>
              <w:right w:val="nil"/>
            </w:tcBorders>
            <w:noWrap/>
            <w:hideMark/>
          </w:tcPr>
          <w:p w14:paraId="6800ABD2" w14:textId="76DA0505"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561</w:t>
            </w:r>
          </w:p>
        </w:tc>
        <w:tc>
          <w:tcPr>
            <w:tcW w:w="1579" w:type="dxa"/>
            <w:tcBorders>
              <w:top w:val="single" w:sz="4" w:space="0" w:color="auto"/>
              <w:left w:val="nil"/>
              <w:bottom w:val="nil"/>
              <w:right w:val="nil"/>
            </w:tcBorders>
            <w:noWrap/>
          </w:tcPr>
          <w:p w14:paraId="7CCC8EF2" w14:textId="53E3F30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4F000F00" w14:textId="77777777" w:rsidTr="00F03D9A">
        <w:trPr>
          <w:trHeight w:val="290"/>
        </w:trPr>
        <w:tc>
          <w:tcPr>
            <w:tcW w:w="1134" w:type="dxa"/>
            <w:tcBorders>
              <w:top w:val="nil"/>
              <w:left w:val="nil"/>
              <w:bottom w:val="nil"/>
              <w:right w:val="nil"/>
            </w:tcBorders>
            <w:noWrap/>
            <w:hideMark/>
          </w:tcPr>
          <w:p w14:paraId="3FF65D45"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9</w:t>
            </w:r>
          </w:p>
        </w:tc>
        <w:tc>
          <w:tcPr>
            <w:tcW w:w="1575" w:type="dxa"/>
            <w:tcBorders>
              <w:top w:val="nil"/>
              <w:left w:val="nil"/>
              <w:bottom w:val="nil"/>
              <w:right w:val="nil"/>
            </w:tcBorders>
            <w:noWrap/>
            <w:hideMark/>
          </w:tcPr>
          <w:p w14:paraId="6964E9F2" w14:textId="113D62A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27</w:t>
            </w:r>
          </w:p>
        </w:tc>
        <w:tc>
          <w:tcPr>
            <w:tcW w:w="1581" w:type="dxa"/>
            <w:tcBorders>
              <w:top w:val="nil"/>
              <w:left w:val="nil"/>
              <w:bottom w:val="nil"/>
              <w:right w:val="nil"/>
            </w:tcBorders>
            <w:noWrap/>
            <w:hideMark/>
          </w:tcPr>
          <w:p w14:paraId="5F6FC67F" w14:textId="13DBEECB"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1</w:t>
            </w:r>
          </w:p>
        </w:tc>
        <w:tc>
          <w:tcPr>
            <w:tcW w:w="1597" w:type="dxa"/>
            <w:tcBorders>
              <w:top w:val="nil"/>
              <w:left w:val="nil"/>
              <w:bottom w:val="nil"/>
              <w:right w:val="nil"/>
            </w:tcBorders>
            <w:noWrap/>
            <w:hideMark/>
          </w:tcPr>
          <w:p w14:paraId="5E1EF151" w14:textId="173A0D0D"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3.7</w:t>
            </w:r>
          </w:p>
        </w:tc>
        <w:tc>
          <w:tcPr>
            <w:tcW w:w="1560" w:type="dxa"/>
            <w:gridSpan w:val="2"/>
            <w:tcBorders>
              <w:top w:val="nil"/>
              <w:left w:val="nil"/>
              <w:bottom w:val="nil"/>
              <w:right w:val="nil"/>
            </w:tcBorders>
            <w:noWrap/>
            <w:hideMark/>
          </w:tcPr>
          <w:p w14:paraId="641CA1F1" w14:textId="1E7E70B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840</w:t>
            </w:r>
          </w:p>
        </w:tc>
        <w:tc>
          <w:tcPr>
            <w:tcW w:w="1578" w:type="dxa"/>
            <w:tcBorders>
              <w:top w:val="nil"/>
              <w:left w:val="nil"/>
              <w:bottom w:val="nil"/>
              <w:right w:val="nil"/>
            </w:tcBorders>
            <w:noWrap/>
            <w:hideMark/>
          </w:tcPr>
          <w:p w14:paraId="397D7B82" w14:textId="35CAC5AF"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548</w:t>
            </w:r>
          </w:p>
        </w:tc>
        <w:tc>
          <w:tcPr>
            <w:tcW w:w="1579" w:type="dxa"/>
            <w:tcBorders>
              <w:top w:val="nil"/>
              <w:left w:val="nil"/>
              <w:bottom w:val="nil"/>
              <w:right w:val="nil"/>
            </w:tcBorders>
            <w:noWrap/>
          </w:tcPr>
          <w:p w14:paraId="1DF805B7" w14:textId="6AEFAB2F"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2A00FB70" w14:textId="77777777" w:rsidTr="00F03D9A">
        <w:trPr>
          <w:trHeight w:val="290"/>
        </w:trPr>
        <w:tc>
          <w:tcPr>
            <w:tcW w:w="1134" w:type="dxa"/>
            <w:tcBorders>
              <w:top w:val="nil"/>
              <w:left w:val="nil"/>
              <w:bottom w:val="nil"/>
              <w:right w:val="nil"/>
            </w:tcBorders>
            <w:noWrap/>
            <w:hideMark/>
          </w:tcPr>
          <w:p w14:paraId="504C64D1"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8</w:t>
            </w:r>
          </w:p>
        </w:tc>
        <w:tc>
          <w:tcPr>
            <w:tcW w:w="1575" w:type="dxa"/>
            <w:tcBorders>
              <w:top w:val="nil"/>
              <w:left w:val="nil"/>
              <w:bottom w:val="nil"/>
              <w:right w:val="nil"/>
            </w:tcBorders>
            <w:noWrap/>
            <w:hideMark/>
          </w:tcPr>
          <w:p w14:paraId="1DC47C65" w14:textId="25FD925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39</w:t>
            </w:r>
          </w:p>
        </w:tc>
        <w:tc>
          <w:tcPr>
            <w:tcW w:w="1581" w:type="dxa"/>
            <w:tcBorders>
              <w:top w:val="nil"/>
              <w:left w:val="nil"/>
              <w:bottom w:val="nil"/>
              <w:right w:val="nil"/>
            </w:tcBorders>
            <w:noWrap/>
            <w:hideMark/>
          </w:tcPr>
          <w:p w14:paraId="15E4F9B3" w14:textId="4B50F5E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2</w:t>
            </w:r>
          </w:p>
        </w:tc>
        <w:tc>
          <w:tcPr>
            <w:tcW w:w="1597" w:type="dxa"/>
            <w:tcBorders>
              <w:top w:val="nil"/>
              <w:left w:val="nil"/>
              <w:bottom w:val="nil"/>
              <w:right w:val="nil"/>
            </w:tcBorders>
            <w:noWrap/>
            <w:hideMark/>
          </w:tcPr>
          <w:p w14:paraId="0C4BF4B0" w14:textId="29135888"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5.1</w:t>
            </w:r>
          </w:p>
        </w:tc>
        <w:tc>
          <w:tcPr>
            <w:tcW w:w="1560" w:type="dxa"/>
            <w:gridSpan w:val="2"/>
            <w:tcBorders>
              <w:top w:val="nil"/>
              <w:left w:val="nil"/>
              <w:bottom w:val="nil"/>
              <w:right w:val="nil"/>
            </w:tcBorders>
            <w:noWrap/>
            <w:hideMark/>
          </w:tcPr>
          <w:p w14:paraId="58F6C14D" w14:textId="4731F19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827</w:t>
            </w:r>
          </w:p>
        </w:tc>
        <w:tc>
          <w:tcPr>
            <w:tcW w:w="1578" w:type="dxa"/>
            <w:tcBorders>
              <w:top w:val="nil"/>
              <w:left w:val="nil"/>
              <w:bottom w:val="nil"/>
              <w:right w:val="nil"/>
            </w:tcBorders>
            <w:noWrap/>
            <w:hideMark/>
          </w:tcPr>
          <w:p w14:paraId="0D629E1D" w14:textId="617AB7D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535</w:t>
            </w:r>
          </w:p>
        </w:tc>
        <w:tc>
          <w:tcPr>
            <w:tcW w:w="1579" w:type="dxa"/>
            <w:tcBorders>
              <w:top w:val="nil"/>
              <w:left w:val="nil"/>
              <w:bottom w:val="nil"/>
              <w:right w:val="nil"/>
            </w:tcBorders>
            <w:noWrap/>
          </w:tcPr>
          <w:p w14:paraId="1B586AAC" w14:textId="0787212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581EC7D5" w14:textId="77777777" w:rsidTr="00F03D9A">
        <w:trPr>
          <w:trHeight w:val="290"/>
        </w:trPr>
        <w:tc>
          <w:tcPr>
            <w:tcW w:w="1134" w:type="dxa"/>
            <w:tcBorders>
              <w:top w:val="nil"/>
              <w:left w:val="nil"/>
              <w:bottom w:val="nil"/>
              <w:right w:val="nil"/>
            </w:tcBorders>
            <w:noWrap/>
            <w:hideMark/>
          </w:tcPr>
          <w:p w14:paraId="02BABEF3"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7</w:t>
            </w:r>
          </w:p>
        </w:tc>
        <w:tc>
          <w:tcPr>
            <w:tcW w:w="1575" w:type="dxa"/>
            <w:tcBorders>
              <w:top w:val="nil"/>
              <w:left w:val="nil"/>
              <w:bottom w:val="nil"/>
              <w:right w:val="nil"/>
            </w:tcBorders>
            <w:noWrap/>
            <w:hideMark/>
          </w:tcPr>
          <w:p w14:paraId="513C19C9" w14:textId="43F416CB"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61</w:t>
            </w:r>
          </w:p>
        </w:tc>
        <w:tc>
          <w:tcPr>
            <w:tcW w:w="1581" w:type="dxa"/>
            <w:tcBorders>
              <w:top w:val="nil"/>
              <w:left w:val="nil"/>
              <w:bottom w:val="nil"/>
              <w:right w:val="nil"/>
            </w:tcBorders>
            <w:noWrap/>
            <w:hideMark/>
          </w:tcPr>
          <w:p w14:paraId="09B625FE" w14:textId="5C3C62D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2 </w:t>
            </w:r>
          </w:p>
        </w:tc>
        <w:tc>
          <w:tcPr>
            <w:tcW w:w="1597" w:type="dxa"/>
            <w:tcBorders>
              <w:top w:val="nil"/>
              <w:left w:val="nil"/>
              <w:bottom w:val="nil"/>
              <w:right w:val="nil"/>
            </w:tcBorders>
            <w:noWrap/>
            <w:hideMark/>
          </w:tcPr>
          <w:p w14:paraId="2BDC2FF5" w14:textId="663824B5"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3.3</w:t>
            </w:r>
          </w:p>
        </w:tc>
        <w:tc>
          <w:tcPr>
            <w:tcW w:w="1560" w:type="dxa"/>
            <w:gridSpan w:val="2"/>
            <w:tcBorders>
              <w:top w:val="nil"/>
              <w:left w:val="nil"/>
              <w:bottom w:val="nil"/>
              <w:right w:val="nil"/>
            </w:tcBorders>
            <w:noWrap/>
            <w:hideMark/>
          </w:tcPr>
          <w:p w14:paraId="392883B3" w14:textId="4651A6CB"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815</w:t>
            </w:r>
          </w:p>
        </w:tc>
        <w:tc>
          <w:tcPr>
            <w:tcW w:w="1578" w:type="dxa"/>
            <w:tcBorders>
              <w:top w:val="nil"/>
              <w:left w:val="nil"/>
              <w:bottom w:val="nil"/>
              <w:right w:val="nil"/>
            </w:tcBorders>
            <w:noWrap/>
            <w:hideMark/>
          </w:tcPr>
          <w:p w14:paraId="62513E9F" w14:textId="3F07848D"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524</w:t>
            </w:r>
          </w:p>
        </w:tc>
        <w:tc>
          <w:tcPr>
            <w:tcW w:w="1579" w:type="dxa"/>
            <w:tcBorders>
              <w:top w:val="nil"/>
              <w:left w:val="nil"/>
              <w:bottom w:val="nil"/>
              <w:right w:val="nil"/>
            </w:tcBorders>
            <w:noWrap/>
          </w:tcPr>
          <w:p w14:paraId="61DC365F" w14:textId="660F0751"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0DADB2B7" w14:textId="77777777" w:rsidTr="00F03D9A">
        <w:trPr>
          <w:trHeight w:val="290"/>
        </w:trPr>
        <w:tc>
          <w:tcPr>
            <w:tcW w:w="1134" w:type="dxa"/>
            <w:tcBorders>
              <w:top w:val="nil"/>
              <w:left w:val="nil"/>
              <w:bottom w:val="nil"/>
              <w:right w:val="nil"/>
            </w:tcBorders>
            <w:noWrap/>
            <w:hideMark/>
          </w:tcPr>
          <w:p w14:paraId="2FE510BE"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6</w:t>
            </w:r>
          </w:p>
        </w:tc>
        <w:tc>
          <w:tcPr>
            <w:tcW w:w="1575" w:type="dxa"/>
            <w:tcBorders>
              <w:top w:val="nil"/>
              <w:left w:val="nil"/>
              <w:bottom w:val="nil"/>
              <w:right w:val="nil"/>
            </w:tcBorders>
            <w:noWrap/>
            <w:hideMark/>
          </w:tcPr>
          <w:p w14:paraId="01C0251D" w14:textId="15E536DC"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83</w:t>
            </w:r>
          </w:p>
        </w:tc>
        <w:tc>
          <w:tcPr>
            <w:tcW w:w="1581" w:type="dxa"/>
            <w:tcBorders>
              <w:top w:val="nil"/>
              <w:left w:val="nil"/>
              <w:bottom w:val="nil"/>
              <w:right w:val="nil"/>
            </w:tcBorders>
            <w:noWrap/>
            <w:hideMark/>
          </w:tcPr>
          <w:p w14:paraId="435C8614" w14:textId="759A2358"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5 </w:t>
            </w:r>
          </w:p>
        </w:tc>
        <w:tc>
          <w:tcPr>
            <w:tcW w:w="1597" w:type="dxa"/>
            <w:tcBorders>
              <w:top w:val="nil"/>
              <w:left w:val="nil"/>
              <w:bottom w:val="nil"/>
              <w:right w:val="nil"/>
            </w:tcBorders>
            <w:noWrap/>
            <w:hideMark/>
          </w:tcPr>
          <w:p w14:paraId="4F907E1D" w14:textId="12E522A7"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6.0</w:t>
            </w:r>
          </w:p>
        </w:tc>
        <w:tc>
          <w:tcPr>
            <w:tcW w:w="1560" w:type="dxa"/>
            <w:gridSpan w:val="2"/>
            <w:tcBorders>
              <w:top w:val="nil"/>
              <w:left w:val="nil"/>
              <w:bottom w:val="nil"/>
              <w:right w:val="nil"/>
            </w:tcBorders>
            <w:noWrap/>
            <w:hideMark/>
          </w:tcPr>
          <w:p w14:paraId="75430F00" w14:textId="662FE8F1"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793</w:t>
            </w:r>
          </w:p>
        </w:tc>
        <w:tc>
          <w:tcPr>
            <w:tcW w:w="1578" w:type="dxa"/>
            <w:tcBorders>
              <w:top w:val="nil"/>
              <w:left w:val="nil"/>
              <w:bottom w:val="nil"/>
              <w:right w:val="nil"/>
            </w:tcBorders>
            <w:noWrap/>
            <w:hideMark/>
          </w:tcPr>
          <w:p w14:paraId="28A3657E" w14:textId="77377A2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502</w:t>
            </w:r>
          </w:p>
        </w:tc>
        <w:tc>
          <w:tcPr>
            <w:tcW w:w="1579" w:type="dxa"/>
            <w:tcBorders>
              <w:top w:val="nil"/>
              <w:left w:val="nil"/>
              <w:bottom w:val="nil"/>
              <w:right w:val="nil"/>
            </w:tcBorders>
            <w:noWrap/>
          </w:tcPr>
          <w:p w14:paraId="1F795B3B" w14:textId="699892D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3B33470B" w14:textId="77777777" w:rsidTr="00F03D9A">
        <w:trPr>
          <w:trHeight w:val="290"/>
        </w:trPr>
        <w:tc>
          <w:tcPr>
            <w:tcW w:w="1134" w:type="dxa"/>
            <w:tcBorders>
              <w:top w:val="nil"/>
              <w:left w:val="nil"/>
              <w:bottom w:val="nil"/>
              <w:right w:val="nil"/>
            </w:tcBorders>
            <w:noWrap/>
            <w:hideMark/>
          </w:tcPr>
          <w:p w14:paraId="5BADC682"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5</w:t>
            </w:r>
          </w:p>
        </w:tc>
        <w:tc>
          <w:tcPr>
            <w:tcW w:w="1575" w:type="dxa"/>
            <w:tcBorders>
              <w:top w:val="nil"/>
              <w:left w:val="nil"/>
              <w:bottom w:val="nil"/>
              <w:right w:val="nil"/>
            </w:tcBorders>
            <w:noWrap/>
            <w:hideMark/>
          </w:tcPr>
          <w:p w14:paraId="34A553A0" w14:textId="7878DFA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136</w:t>
            </w:r>
          </w:p>
        </w:tc>
        <w:tc>
          <w:tcPr>
            <w:tcW w:w="1581" w:type="dxa"/>
            <w:tcBorders>
              <w:top w:val="nil"/>
              <w:left w:val="nil"/>
              <w:bottom w:val="nil"/>
              <w:right w:val="nil"/>
            </w:tcBorders>
            <w:noWrap/>
            <w:hideMark/>
          </w:tcPr>
          <w:p w14:paraId="4585F844" w14:textId="5BC10AC7"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12 </w:t>
            </w:r>
          </w:p>
        </w:tc>
        <w:tc>
          <w:tcPr>
            <w:tcW w:w="1597" w:type="dxa"/>
            <w:tcBorders>
              <w:top w:val="nil"/>
              <w:left w:val="nil"/>
              <w:bottom w:val="nil"/>
              <w:right w:val="nil"/>
            </w:tcBorders>
            <w:noWrap/>
            <w:hideMark/>
          </w:tcPr>
          <w:p w14:paraId="3F922C0F" w14:textId="7B6F0D8C"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8.8</w:t>
            </w:r>
          </w:p>
        </w:tc>
        <w:tc>
          <w:tcPr>
            <w:tcW w:w="1560" w:type="dxa"/>
            <w:gridSpan w:val="2"/>
            <w:tcBorders>
              <w:top w:val="nil"/>
              <w:left w:val="nil"/>
              <w:bottom w:val="nil"/>
              <w:right w:val="nil"/>
            </w:tcBorders>
            <w:noWrap/>
            <w:hideMark/>
          </w:tcPr>
          <w:p w14:paraId="65B10FBE" w14:textId="414D25C0"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771</w:t>
            </w:r>
          </w:p>
        </w:tc>
        <w:tc>
          <w:tcPr>
            <w:tcW w:w="1578" w:type="dxa"/>
            <w:tcBorders>
              <w:top w:val="nil"/>
              <w:left w:val="nil"/>
              <w:bottom w:val="nil"/>
              <w:right w:val="nil"/>
            </w:tcBorders>
            <w:noWrap/>
            <w:hideMark/>
          </w:tcPr>
          <w:p w14:paraId="54B5D320" w14:textId="7946DEF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483</w:t>
            </w:r>
          </w:p>
        </w:tc>
        <w:tc>
          <w:tcPr>
            <w:tcW w:w="1579" w:type="dxa"/>
            <w:tcBorders>
              <w:top w:val="nil"/>
              <w:left w:val="nil"/>
              <w:bottom w:val="nil"/>
              <w:right w:val="nil"/>
            </w:tcBorders>
            <w:noWrap/>
          </w:tcPr>
          <w:p w14:paraId="5E714A11" w14:textId="1D45B82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3D53640D" w14:textId="77777777" w:rsidTr="00F03D9A">
        <w:trPr>
          <w:trHeight w:val="290"/>
        </w:trPr>
        <w:tc>
          <w:tcPr>
            <w:tcW w:w="1134" w:type="dxa"/>
            <w:tcBorders>
              <w:top w:val="nil"/>
              <w:left w:val="nil"/>
              <w:bottom w:val="nil"/>
              <w:right w:val="nil"/>
            </w:tcBorders>
            <w:noWrap/>
            <w:hideMark/>
          </w:tcPr>
          <w:p w14:paraId="393934CF"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4</w:t>
            </w:r>
          </w:p>
        </w:tc>
        <w:tc>
          <w:tcPr>
            <w:tcW w:w="1575" w:type="dxa"/>
            <w:tcBorders>
              <w:top w:val="nil"/>
              <w:left w:val="nil"/>
              <w:bottom w:val="nil"/>
              <w:right w:val="nil"/>
            </w:tcBorders>
            <w:noWrap/>
            <w:hideMark/>
          </w:tcPr>
          <w:p w14:paraId="62ABAB6F" w14:textId="024665AC"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202</w:t>
            </w:r>
          </w:p>
        </w:tc>
        <w:tc>
          <w:tcPr>
            <w:tcW w:w="1581" w:type="dxa"/>
            <w:tcBorders>
              <w:top w:val="nil"/>
              <w:left w:val="nil"/>
              <w:bottom w:val="nil"/>
              <w:right w:val="nil"/>
            </w:tcBorders>
            <w:noWrap/>
            <w:hideMark/>
          </w:tcPr>
          <w:p w14:paraId="6EDCB10A" w14:textId="49378537"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29 </w:t>
            </w:r>
          </w:p>
        </w:tc>
        <w:tc>
          <w:tcPr>
            <w:tcW w:w="1597" w:type="dxa"/>
            <w:tcBorders>
              <w:top w:val="nil"/>
              <w:left w:val="nil"/>
              <w:bottom w:val="nil"/>
              <w:right w:val="nil"/>
            </w:tcBorders>
            <w:noWrap/>
            <w:hideMark/>
          </w:tcPr>
          <w:p w14:paraId="2380C62B" w14:textId="6E67AC7E"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14.4</w:t>
            </w:r>
          </w:p>
        </w:tc>
        <w:tc>
          <w:tcPr>
            <w:tcW w:w="1560" w:type="dxa"/>
            <w:gridSpan w:val="2"/>
            <w:tcBorders>
              <w:top w:val="nil"/>
              <w:left w:val="nil"/>
              <w:bottom w:val="nil"/>
              <w:right w:val="nil"/>
            </w:tcBorders>
            <w:noWrap/>
            <w:hideMark/>
          </w:tcPr>
          <w:p w14:paraId="1E3F2B14" w14:textId="56E5AB76"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718</w:t>
            </w:r>
          </w:p>
        </w:tc>
        <w:tc>
          <w:tcPr>
            <w:tcW w:w="1578" w:type="dxa"/>
            <w:tcBorders>
              <w:top w:val="nil"/>
              <w:left w:val="nil"/>
              <w:bottom w:val="nil"/>
              <w:right w:val="nil"/>
            </w:tcBorders>
            <w:noWrap/>
            <w:hideMark/>
          </w:tcPr>
          <w:p w14:paraId="78644E5E" w14:textId="5D99CA0F"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437</w:t>
            </w:r>
          </w:p>
        </w:tc>
        <w:tc>
          <w:tcPr>
            <w:tcW w:w="1579" w:type="dxa"/>
            <w:tcBorders>
              <w:top w:val="nil"/>
              <w:left w:val="nil"/>
              <w:bottom w:val="nil"/>
              <w:right w:val="nil"/>
            </w:tcBorders>
            <w:noWrap/>
          </w:tcPr>
          <w:p w14:paraId="3B1F5D84" w14:textId="16B610D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13C81B07" w14:textId="77777777" w:rsidTr="00F03D9A">
        <w:trPr>
          <w:trHeight w:val="290"/>
        </w:trPr>
        <w:tc>
          <w:tcPr>
            <w:tcW w:w="1134" w:type="dxa"/>
            <w:tcBorders>
              <w:top w:val="nil"/>
              <w:left w:val="nil"/>
              <w:bottom w:val="nil"/>
              <w:right w:val="nil"/>
            </w:tcBorders>
            <w:noWrap/>
            <w:hideMark/>
          </w:tcPr>
          <w:p w14:paraId="43320B0F"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3</w:t>
            </w:r>
          </w:p>
        </w:tc>
        <w:tc>
          <w:tcPr>
            <w:tcW w:w="1575" w:type="dxa"/>
            <w:tcBorders>
              <w:top w:val="nil"/>
              <w:left w:val="nil"/>
              <w:bottom w:val="nil"/>
              <w:right w:val="nil"/>
            </w:tcBorders>
            <w:noWrap/>
            <w:hideMark/>
          </w:tcPr>
          <w:p w14:paraId="71DF0B19" w14:textId="79CD8303"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293</w:t>
            </w:r>
          </w:p>
        </w:tc>
        <w:tc>
          <w:tcPr>
            <w:tcW w:w="1581" w:type="dxa"/>
            <w:tcBorders>
              <w:top w:val="nil"/>
              <w:left w:val="nil"/>
              <w:bottom w:val="nil"/>
              <w:right w:val="nil"/>
            </w:tcBorders>
            <w:noWrap/>
            <w:hideMark/>
          </w:tcPr>
          <w:p w14:paraId="14B9B752" w14:textId="0598C296"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56 </w:t>
            </w:r>
          </w:p>
        </w:tc>
        <w:tc>
          <w:tcPr>
            <w:tcW w:w="1597" w:type="dxa"/>
            <w:tcBorders>
              <w:top w:val="nil"/>
              <w:left w:val="nil"/>
              <w:bottom w:val="nil"/>
              <w:right w:val="nil"/>
            </w:tcBorders>
            <w:noWrap/>
            <w:hideMark/>
          </w:tcPr>
          <w:p w14:paraId="33BA745F" w14:textId="1A5148B3"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19.1</w:t>
            </w:r>
          </w:p>
        </w:tc>
        <w:tc>
          <w:tcPr>
            <w:tcW w:w="1560" w:type="dxa"/>
            <w:gridSpan w:val="2"/>
            <w:tcBorders>
              <w:top w:val="nil"/>
              <w:left w:val="nil"/>
              <w:bottom w:val="nil"/>
              <w:right w:val="nil"/>
            </w:tcBorders>
            <w:noWrap/>
            <w:hideMark/>
          </w:tcPr>
          <w:p w14:paraId="130F211A" w14:textId="3043DC88"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652</w:t>
            </w:r>
          </w:p>
        </w:tc>
        <w:tc>
          <w:tcPr>
            <w:tcW w:w="1578" w:type="dxa"/>
            <w:tcBorders>
              <w:top w:val="nil"/>
              <w:left w:val="nil"/>
              <w:bottom w:val="nil"/>
              <w:right w:val="nil"/>
            </w:tcBorders>
            <w:noWrap/>
            <w:hideMark/>
          </w:tcPr>
          <w:p w14:paraId="4675ABF3" w14:textId="07A9ED0C"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388</w:t>
            </w:r>
          </w:p>
        </w:tc>
        <w:tc>
          <w:tcPr>
            <w:tcW w:w="1579" w:type="dxa"/>
            <w:tcBorders>
              <w:top w:val="nil"/>
              <w:left w:val="nil"/>
              <w:bottom w:val="nil"/>
              <w:right w:val="nil"/>
            </w:tcBorders>
            <w:noWrap/>
          </w:tcPr>
          <w:p w14:paraId="2B526A63" w14:textId="61B1318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65AB4758" w14:textId="77777777" w:rsidTr="00F03D9A">
        <w:trPr>
          <w:trHeight w:val="290"/>
        </w:trPr>
        <w:tc>
          <w:tcPr>
            <w:tcW w:w="1134" w:type="dxa"/>
            <w:tcBorders>
              <w:top w:val="nil"/>
              <w:left w:val="nil"/>
              <w:bottom w:val="nil"/>
              <w:right w:val="nil"/>
            </w:tcBorders>
            <w:noWrap/>
            <w:hideMark/>
          </w:tcPr>
          <w:p w14:paraId="7EC1A4D2"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2</w:t>
            </w:r>
          </w:p>
        </w:tc>
        <w:tc>
          <w:tcPr>
            <w:tcW w:w="1575" w:type="dxa"/>
            <w:tcBorders>
              <w:top w:val="nil"/>
              <w:left w:val="nil"/>
              <w:bottom w:val="nil"/>
              <w:right w:val="nil"/>
            </w:tcBorders>
            <w:noWrap/>
            <w:hideMark/>
          </w:tcPr>
          <w:p w14:paraId="65DCFEDA" w14:textId="3B920F9C" w:rsidR="0094206D" w:rsidRPr="00985D26" w:rsidRDefault="0094206D" w:rsidP="0094206D">
            <w:pPr>
              <w:jc w:val="center"/>
              <w:rPr>
                <w:rFonts w:asciiTheme="majorBidi" w:hAnsiTheme="majorBidi" w:cstheme="majorBidi"/>
                <w:b/>
                <w:bCs/>
                <w:color w:val="000000"/>
                <w:sz w:val="20"/>
                <w:szCs w:val="20"/>
                <w:lang w:bidi="he-IL"/>
              </w:rPr>
            </w:pPr>
            <w:r w:rsidRPr="00A11B3A">
              <w:rPr>
                <w:rFonts w:asciiTheme="majorBidi" w:hAnsiTheme="majorBidi" w:cstheme="majorBidi"/>
                <w:b/>
                <w:bCs/>
                <w:sz w:val="20"/>
                <w:szCs w:val="20"/>
              </w:rPr>
              <w:t>425</w:t>
            </w:r>
          </w:p>
        </w:tc>
        <w:tc>
          <w:tcPr>
            <w:tcW w:w="1581" w:type="dxa"/>
            <w:tcBorders>
              <w:top w:val="nil"/>
              <w:left w:val="nil"/>
              <w:bottom w:val="nil"/>
              <w:right w:val="nil"/>
            </w:tcBorders>
            <w:noWrap/>
            <w:hideMark/>
          </w:tcPr>
          <w:p w14:paraId="6A29E70E" w14:textId="20B80E05" w:rsidR="0094206D" w:rsidRPr="00985D26" w:rsidRDefault="0094206D" w:rsidP="0094206D">
            <w:pPr>
              <w:jc w:val="center"/>
              <w:rPr>
                <w:rFonts w:asciiTheme="majorBidi" w:hAnsiTheme="majorBidi" w:cstheme="majorBidi"/>
                <w:b/>
                <w:bCs/>
                <w:color w:val="000000"/>
                <w:sz w:val="20"/>
                <w:szCs w:val="20"/>
                <w:lang w:bidi="he-IL"/>
              </w:rPr>
            </w:pPr>
            <w:r w:rsidRPr="00A11B3A">
              <w:rPr>
                <w:rFonts w:asciiTheme="majorBidi" w:hAnsiTheme="majorBidi" w:cstheme="majorBidi"/>
                <w:b/>
                <w:bCs/>
                <w:sz w:val="20"/>
                <w:szCs w:val="20"/>
              </w:rPr>
              <w:t xml:space="preserve"> 93 </w:t>
            </w:r>
          </w:p>
        </w:tc>
        <w:tc>
          <w:tcPr>
            <w:tcW w:w="1597" w:type="dxa"/>
            <w:tcBorders>
              <w:top w:val="nil"/>
              <w:left w:val="nil"/>
              <w:bottom w:val="nil"/>
              <w:right w:val="nil"/>
            </w:tcBorders>
            <w:noWrap/>
            <w:hideMark/>
          </w:tcPr>
          <w:p w14:paraId="6491F992" w14:textId="3B5EB64C" w:rsidR="0094206D" w:rsidRPr="00985D26" w:rsidRDefault="0094206D" w:rsidP="0094206D">
            <w:pPr>
              <w:jc w:val="center"/>
              <w:rPr>
                <w:rFonts w:asciiTheme="majorBidi" w:hAnsiTheme="majorBidi" w:cstheme="majorBidi"/>
                <w:color w:val="000000"/>
                <w:sz w:val="20"/>
                <w:szCs w:val="20"/>
                <w:lang w:val="en-CA" w:bidi="he-IL"/>
              </w:rPr>
            </w:pPr>
            <w:r w:rsidRPr="00A11B3A">
              <w:rPr>
                <w:rFonts w:asciiTheme="majorBidi" w:hAnsiTheme="majorBidi" w:cstheme="majorBidi"/>
                <w:color w:val="000000"/>
                <w:sz w:val="20"/>
                <w:szCs w:val="20"/>
                <w:lang w:val="en-CA" w:bidi="he-IL"/>
              </w:rPr>
              <w:t>21.9</w:t>
            </w:r>
          </w:p>
        </w:tc>
        <w:tc>
          <w:tcPr>
            <w:tcW w:w="1560" w:type="dxa"/>
            <w:gridSpan w:val="2"/>
            <w:tcBorders>
              <w:top w:val="nil"/>
              <w:left w:val="nil"/>
              <w:bottom w:val="nil"/>
              <w:right w:val="nil"/>
            </w:tcBorders>
            <w:noWrap/>
            <w:hideMark/>
          </w:tcPr>
          <w:p w14:paraId="4F204F0C" w14:textId="1C65E4FB"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561</w:t>
            </w:r>
          </w:p>
        </w:tc>
        <w:tc>
          <w:tcPr>
            <w:tcW w:w="1578" w:type="dxa"/>
            <w:tcBorders>
              <w:top w:val="nil"/>
              <w:left w:val="nil"/>
              <w:bottom w:val="nil"/>
              <w:right w:val="nil"/>
            </w:tcBorders>
            <w:noWrap/>
            <w:hideMark/>
          </w:tcPr>
          <w:p w14:paraId="2585669D" w14:textId="18AF15E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324</w:t>
            </w:r>
          </w:p>
        </w:tc>
        <w:tc>
          <w:tcPr>
            <w:tcW w:w="1579" w:type="dxa"/>
            <w:tcBorders>
              <w:top w:val="nil"/>
              <w:left w:val="nil"/>
              <w:bottom w:val="nil"/>
              <w:right w:val="nil"/>
            </w:tcBorders>
            <w:noWrap/>
          </w:tcPr>
          <w:p w14:paraId="09BE540E" w14:textId="65C5893D"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38FC0BAB" w14:textId="77777777" w:rsidTr="00F03D9A">
        <w:trPr>
          <w:trHeight w:val="290"/>
        </w:trPr>
        <w:tc>
          <w:tcPr>
            <w:tcW w:w="1134" w:type="dxa"/>
            <w:tcBorders>
              <w:top w:val="nil"/>
              <w:left w:val="nil"/>
              <w:bottom w:val="nil"/>
              <w:right w:val="nil"/>
            </w:tcBorders>
            <w:noWrap/>
            <w:hideMark/>
          </w:tcPr>
          <w:p w14:paraId="76DCE5E3"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1</w:t>
            </w:r>
          </w:p>
        </w:tc>
        <w:tc>
          <w:tcPr>
            <w:tcW w:w="1575" w:type="dxa"/>
            <w:tcBorders>
              <w:top w:val="nil"/>
              <w:left w:val="nil"/>
              <w:bottom w:val="nil"/>
              <w:right w:val="nil"/>
            </w:tcBorders>
            <w:noWrap/>
            <w:hideMark/>
          </w:tcPr>
          <w:p w14:paraId="136C3D63" w14:textId="7525100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606</w:t>
            </w:r>
          </w:p>
        </w:tc>
        <w:tc>
          <w:tcPr>
            <w:tcW w:w="1581" w:type="dxa"/>
            <w:tcBorders>
              <w:top w:val="nil"/>
              <w:left w:val="nil"/>
              <w:bottom w:val="nil"/>
              <w:right w:val="nil"/>
            </w:tcBorders>
            <w:noWrap/>
            <w:hideMark/>
          </w:tcPr>
          <w:p w14:paraId="3A7BC59F" w14:textId="54D716E9"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157 </w:t>
            </w:r>
          </w:p>
        </w:tc>
        <w:tc>
          <w:tcPr>
            <w:tcW w:w="1597" w:type="dxa"/>
            <w:tcBorders>
              <w:top w:val="nil"/>
              <w:left w:val="nil"/>
              <w:bottom w:val="nil"/>
              <w:right w:val="nil"/>
            </w:tcBorders>
            <w:noWrap/>
          </w:tcPr>
          <w:p w14:paraId="3959499E" w14:textId="1133C099" w:rsidR="0094206D" w:rsidRPr="00A11B3A"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c>
          <w:tcPr>
            <w:tcW w:w="1560" w:type="dxa"/>
            <w:gridSpan w:val="2"/>
            <w:tcBorders>
              <w:top w:val="nil"/>
              <w:left w:val="nil"/>
              <w:bottom w:val="nil"/>
              <w:right w:val="nil"/>
            </w:tcBorders>
            <w:noWrap/>
            <w:hideMark/>
          </w:tcPr>
          <w:p w14:paraId="3169F89C" w14:textId="49EF74EA"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429</w:t>
            </w:r>
          </w:p>
        </w:tc>
        <w:tc>
          <w:tcPr>
            <w:tcW w:w="1578" w:type="dxa"/>
            <w:tcBorders>
              <w:top w:val="nil"/>
              <w:left w:val="nil"/>
              <w:bottom w:val="nil"/>
              <w:right w:val="nil"/>
            </w:tcBorders>
            <w:noWrap/>
            <w:hideMark/>
          </w:tcPr>
          <w:p w14:paraId="497333B7" w14:textId="77AD06E2"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229</w:t>
            </w:r>
          </w:p>
        </w:tc>
        <w:tc>
          <w:tcPr>
            <w:tcW w:w="1579" w:type="dxa"/>
            <w:tcBorders>
              <w:top w:val="nil"/>
              <w:left w:val="nil"/>
              <w:bottom w:val="nil"/>
              <w:right w:val="nil"/>
            </w:tcBorders>
            <w:noWrap/>
          </w:tcPr>
          <w:p w14:paraId="6393D26A" w14:textId="662EE5C4"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r>
      <w:tr w:rsidR="0094206D" w:rsidRPr="00985D26" w14:paraId="279A960B" w14:textId="77777777" w:rsidTr="00F03D9A">
        <w:trPr>
          <w:trHeight w:val="290"/>
        </w:trPr>
        <w:tc>
          <w:tcPr>
            <w:tcW w:w="1134" w:type="dxa"/>
            <w:tcBorders>
              <w:top w:val="nil"/>
              <w:left w:val="nil"/>
              <w:bottom w:val="nil"/>
              <w:right w:val="nil"/>
            </w:tcBorders>
            <w:noWrap/>
            <w:hideMark/>
          </w:tcPr>
          <w:p w14:paraId="38586CD3" w14:textId="77777777" w:rsidR="0094206D" w:rsidRPr="00985D26" w:rsidRDefault="0094206D" w:rsidP="0094206D">
            <w:pPr>
              <w:rPr>
                <w:rFonts w:asciiTheme="majorBidi" w:hAnsiTheme="majorBidi" w:cstheme="majorBidi"/>
                <w:color w:val="000000"/>
                <w:sz w:val="20"/>
                <w:szCs w:val="20"/>
                <w:lang w:bidi="he-IL"/>
              </w:rPr>
            </w:pPr>
            <w:r w:rsidRPr="00985D26">
              <w:rPr>
                <w:rFonts w:asciiTheme="majorBidi" w:hAnsiTheme="majorBidi" w:cstheme="majorBidi"/>
                <w:color w:val="000000"/>
                <w:sz w:val="20"/>
                <w:szCs w:val="20"/>
                <w:lang w:bidi="he-IL"/>
              </w:rPr>
              <w:t>0</w:t>
            </w:r>
          </w:p>
        </w:tc>
        <w:tc>
          <w:tcPr>
            <w:tcW w:w="1575" w:type="dxa"/>
            <w:tcBorders>
              <w:top w:val="nil"/>
              <w:left w:val="nil"/>
              <w:bottom w:val="nil"/>
              <w:right w:val="nil"/>
            </w:tcBorders>
            <w:noWrap/>
            <w:hideMark/>
          </w:tcPr>
          <w:p w14:paraId="33539BFE" w14:textId="18B595E2"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854</w:t>
            </w:r>
          </w:p>
        </w:tc>
        <w:tc>
          <w:tcPr>
            <w:tcW w:w="1581" w:type="dxa"/>
            <w:tcBorders>
              <w:top w:val="nil"/>
              <w:left w:val="nil"/>
              <w:bottom w:val="nil"/>
              <w:right w:val="nil"/>
            </w:tcBorders>
            <w:noWrap/>
            <w:hideMark/>
          </w:tcPr>
          <w:p w14:paraId="299421BD" w14:textId="0679DA2E" w:rsidR="0094206D" w:rsidRPr="00985D26"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sz w:val="20"/>
                <w:szCs w:val="20"/>
              </w:rPr>
              <w:t xml:space="preserve"> 293 </w:t>
            </w:r>
          </w:p>
        </w:tc>
        <w:tc>
          <w:tcPr>
            <w:tcW w:w="1597" w:type="dxa"/>
            <w:tcBorders>
              <w:top w:val="nil"/>
              <w:left w:val="nil"/>
              <w:bottom w:val="nil"/>
              <w:right w:val="nil"/>
            </w:tcBorders>
            <w:noWrap/>
          </w:tcPr>
          <w:p w14:paraId="32DF078F" w14:textId="7DFB98AF" w:rsidR="0094206D" w:rsidRPr="00A11B3A" w:rsidRDefault="0094206D" w:rsidP="0094206D">
            <w:pPr>
              <w:jc w:val="center"/>
              <w:rPr>
                <w:rFonts w:asciiTheme="majorBidi" w:hAnsiTheme="majorBidi" w:cstheme="majorBidi"/>
                <w:color w:val="000000"/>
                <w:sz w:val="20"/>
                <w:szCs w:val="20"/>
                <w:lang w:bidi="he-IL"/>
              </w:rPr>
            </w:pPr>
            <w:r w:rsidRPr="00A11B3A">
              <w:rPr>
                <w:rFonts w:asciiTheme="majorBidi" w:hAnsiTheme="majorBidi" w:cstheme="majorBidi"/>
                <w:color w:val="000000"/>
                <w:sz w:val="20"/>
                <w:szCs w:val="20"/>
                <w:lang w:bidi="he-IL"/>
              </w:rPr>
              <w:t>--</w:t>
            </w:r>
          </w:p>
        </w:tc>
        <w:tc>
          <w:tcPr>
            <w:tcW w:w="1560" w:type="dxa"/>
            <w:gridSpan w:val="2"/>
            <w:tcBorders>
              <w:top w:val="nil"/>
              <w:left w:val="nil"/>
              <w:bottom w:val="nil"/>
              <w:right w:val="nil"/>
            </w:tcBorders>
            <w:noWrap/>
            <w:hideMark/>
          </w:tcPr>
          <w:p w14:paraId="3131BFC2" w14:textId="7815EB10" w:rsidR="0094206D" w:rsidRPr="00985D26" w:rsidRDefault="0094206D" w:rsidP="0094206D">
            <w:pPr>
              <w:jc w:val="center"/>
              <w:rPr>
                <w:rFonts w:asciiTheme="majorBidi" w:hAnsiTheme="majorBidi" w:cstheme="majorBidi"/>
                <w:b/>
                <w:bCs/>
                <w:color w:val="000000"/>
                <w:sz w:val="20"/>
                <w:szCs w:val="20"/>
                <w:lang w:bidi="he-IL"/>
              </w:rPr>
            </w:pPr>
            <w:r w:rsidRPr="00A11B3A">
              <w:rPr>
                <w:rFonts w:asciiTheme="majorBidi" w:hAnsiTheme="majorBidi" w:cstheme="majorBidi"/>
                <w:b/>
                <w:bCs/>
                <w:sz w:val="20"/>
                <w:szCs w:val="20"/>
              </w:rPr>
              <w:t>248</w:t>
            </w:r>
          </w:p>
        </w:tc>
        <w:tc>
          <w:tcPr>
            <w:tcW w:w="1578" w:type="dxa"/>
            <w:tcBorders>
              <w:top w:val="nil"/>
              <w:left w:val="nil"/>
              <w:bottom w:val="nil"/>
              <w:right w:val="nil"/>
            </w:tcBorders>
            <w:noWrap/>
            <w:hideMark/>
          </w:tcPr>
          <w:p w14:paraId="5C9641E7" w14:textId="06FC4AEE" w:rsidR="0094206D" w:rsidRPr="00985D26" w:rsidRDefault="0094206D" w:rsidP="0094206D">
            <w:pPr>
              <w:jc w:val="center"/>
              <w:rPr>
                <w:rFonts w:asciiTheme="majorBidi" w:hAnsiTheme="majorBidi" w:cstheme="majorBidi"/>
                <w:b/>
                <w:bCs/>
                <w:color w:val="000000"/>
                <w:sz w:val="20"/>
                <w:szCs w:val="20"/>
                <w:lang w:bidi="he-IL"/>
              </w:rPr>
            </w:pPr>
            <w:r w:rsidRPr="00A11B3A">
              <w:rPr>
                <w:rFonts w:asciiTheme="majorBidi" w:hAnsiTheme="majorBidi" w:cstheme="majorBidi"/>
                <w:b/>
                <w:bCs/>
                <w:sz w:val="20"/>
                <w:szCs w:val="20"/>
              </w:rPr>
              <w:t>112</w:t>
            </w:r>
          </w:p>
        </w:tc>
        <w:tc>
          <w:tcPr>
            <w:tcW w:w="1579" w:type="dxa"/>
            <w:tcBorders>
              <w:top w:val="nil"/>
              <w:left w:val="nil"/>
              <w:bottom w:val="nil"/>
              <w:right w:val="nil"/>
            </w:tcBorders>
            <w:noWrap/>
            <w:hideMark/>
          </w:tcPr>
          <w:p w14:paraId="0B6B1F40" w14:textId="4C529564" w:rsidR="0094206D" w:rsidRPr="00EB20B2" w:rsidRDefault="0094206D" w:rsidP="0094206D">
            <w:pPr>
              <w:jc w:val="center"/>
              <w:rPr>
                <w:rFonts w:asciiTheme="majorBidi" w:hAnsiTheme="majorBidi" w:cstheme="majorBidi"/>
                <w:color w:val="000000"/>
                <w:sz w:val="20"/>
                <w:szCs w:val="20"/>
                <w:lang w:bidi="he-IL"/>
              </w:rPr>
            </w:pPr>
            <w:r w:rsidRPr="00EB20B2">
              <w:rPr>
                <w:rFonts w:asciiTheme="majorBidi" w:hAnsiTheme="majorBidi" w:cstheme="majorBidi"/>
                <w:sz w:val="20"/>
                <w:szCs w:val="20"/>
              </w:rPr>
              <w:t>45.2</w:t>
            </w:r>
          </w:p>
        </w:tc>
      </w:tr>
      <w:tr w:rsidR="00F03D9A" w:rsidRPr="00BA3629" w14:paraId="7A48C4D0" w14:textId="77777777" w:rsidTr="00F03D9A">
        <w:trPr>
          <w:trHeight w:val="290"/>
        </w:trPr>
        <w:tc>
          <w:tcPr>
            <w:tcW w:w="2709" w:type="dxa"/>
            <w:gridSpan w:val="2"/>
            <w:tcBorders>
              <w:top w:val="nil"/>
              <w:left w:val="nil"/>
              <w:bottom w:val="single" w:sz="4" w:space="0" w:color="auto"/>
              <w:right w:val="nil"/>
            </w:tcBorders>
            <w:noWrap/>
          </w:tcPr>
          <w:p w14:paraId="707AFBE2" w14:textId="33C731DB" w:rsidR="00F03D9A" w:rsidRPr="00A11B3A" w:rsidRDefault="00F03D9A" w:rsidP="00F03D9A">
            <w:pP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Type 1 error</w:t>
            </w:r>
          </w:p>
        </w:tc>
        <w:tc>
          <w:tcPr>
            <w:tcW w:w="3178" w:type="dxa"/>
            <w:gridSpan w:val="2"/>
            <w:tcBorders>
              <w:top w:val="nil"/>
              <w:left w:val="nil"/>
              <w:bottom w:val="single" w:sz="4" w:space="0" w:color="auto"/>
              <w:right w:val="nil"/>
            </w:tcBorders>
            <w:noWrap/>
          </w:tcPr>
          <w:p w14:paraId="391E0FC7" w14:textId="4A24686A" w:rsidR="00F03D9A" w:rsidRPr="00A11B3A" w:rsidRDefault="00F03D9A" w:rsidP="00F03D9A">
            <w:pPr>
              <w:jc w:val="cente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93</w:t>
            </w:r>
            <w:r w:rsidRPr="00A11B3A">
              <w:rPr>
                <w:rFonts w:asciiTheme="majorBidi" w:hAnsiTheme="majorBidi" w:cstheme="majorBidi"/>
                <w:color w:val="000000"/>
                <w:sz w:val="20"/>
                <w:szCs w:val="20"/>
                <w:lang w:bidi="he-IL"/>
              </w:rPr>
              <w:t>/</w:t>
            </w:r>
            <w:r>
              <w:rPr>
                <w:rFonts w:asciiTheme="majorBidi" w:hAnsiTheme="majorBidi" w:cstheme="majorBidi"/>
                <w:color w:val="000000"/>
                <w:sz w:val="20"/>
                <w:szCs w:val="20"/>
                <w:lang w:bidi="he-IL"/>
              </w:rPr>
              <w:t>293</w:t>
            </w:r>
            <w:r w:rsidRPr="00A11B3A">
              <w:rPr>
                <w:rFonts w:asciiTheme="majorBidi" w:hAnsiTheme="majorBidi" w:cstheme="majorBidi"/>
                <w:color w:val="000000"/>
                <w:sz w:val="20"/>
                <w:szCs w:val="20"/>
                <w:lang w:bidi="he-IL"/>
              </w:rPr>
              <w:t>=</w:t>
            </w:r>
            <w:r>
              <w:rPr>
                <w:rFonts w:asciiTheme="majorBidi" w:hAnsiTheme="majorBidi" w:cstheme="majorBidi"/>
                <w:color w:val="000000"/>
                <w:sz w:val="20"/>
                <w:szCs w:val="20"/>
                <w:lang w:bidi="he-IL"/>
              </w:rPr>
              <w:t>31.7</w:t>
            </w:r>
            <w:r w:rsidRPr="00A11B3A">
              <w:rPr>
                <w:rFonts w:asciiTheme="majorBidi" w:hAnsiTheme="majorBidi" w:cstheme="majorBidi"/>
                <w:color w:val="000000"/>
                <w:sz w:val="20"/>
                <w:szCs w:val="20"/>
                <w:lang w:bidi="he-IL"/>
              </w:rPr>
              <w:t>%</w:t>
            </w:r>
          </w:p>
        </w:tc>
        <w:tc>
          <w:tcPr>
            <w:tcW w:w="1553" w:type="dxa"/>
            <w:tcBorders>
              <w:top w:val="nil"/>
              <w:left w:val="nil"/>
              <w:bottom w:val="single" w:sz="4" w:space="0" w:color="auto"/>
              <w:right w:val="nil"/>
            </w:tcBorders>
            <w:noWrap/>
          </w:tcPr>
          <w:p w14:paraId="515016BD" w14:textId="2F2D0971" w:rsidR="00F03D9A" w:rsidRPr="00A11B3A" w:rsidRDefault="00F03D9A" w:rsidP="00F03D9A">
            <w:pPr>
              <w:jc w:val="cente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Type 2 error</w:t>
            </w:r>
          </w:p>
        </w:tc>
        <w:tc>
          <w:tcPr>
            <w:tcW w:w="3164" w:type="dxa"/>
            <w:gridSpan w:val="3"/>
            <w:tcBorders>
              <w:top w:val="nil"/>
              <w:left w:val="nil"/>
              <w:bottom w:val="single" w:sz="4" w:space="0" w:color="auto"/>
              <w:right w:val="nil"/>
            </w:tcBorders>
            <w:noWrap/>
          </w:tcPr>
          <w:p w14:paraId="08853B83" w14:textId="30909EA8" w:rsidR="00F03D9A" w:rsidRPr="00A11B3A" w:rsidRDefault="00F03D9A" w:rsidP="00F03D9A">
            <w:pPr>
              <w:jc w:val="center"/>
              <w:rPr>
                <w:rFonts w:asciiTheme="majorBidi" w:hAnsiTheme="majorBidi" w:cstheme="majorBidi"/>
                <w:color w:val="000000"/>
                <w:sz w:val="20"/>
                <w:szCs w:val="20"/>
                <w:lang w:bidi="he-IL"/>
              </w:rPr>
            </w:pPr>
            <w:r>
              <w:rPr>
                <w:rFonts w:asciiTheme="majorBidi" w:hAnsiTheme="majorBidi" w:cstheme="majorBidi"/>
                <w:color w:val="000000"/>
                <w:sz w:val="20"/>
                <w:szCs w:val="20"/>
                <w:lang w:bidi="he-IL"/>
              </w:rPr>
              <w:t>112/561</w:t>
            </w:r>
            <w:r w:rsidRPr="00A11B3A">
              <w:rPr>
                <w:rFonts w:asciiTheme="majorBidi" w:hAnsiTheme="majorBidi" w:cstheme="majorBidi"/>
                <w:color w:val="000000"/>
                <w:sz w:val="20"/>
                <w:szCs w:val="20"/>
                <w:lang w:bidi="he-IL"/>
              </w:rPr>
              <w:t>=2</w:t>
            </w:r>
            <w:r>
              <w:rPr>
                <w:rFonts w:asciiTheme="majorBidi" w:hAnsiTheme="majorBidi" w:cstheme="majorBidi"/>
                <w:color w:val="000000"/>
                <w:sz w:val="20"/>
                <w:szCs w:val="20"/>
                <w:lang w:bidi="he-IL"/>
              </w:rPr>
              <w:t>0</w:t>
            </w:r>
            <w:r w:rsidRPr="00A11B3A">
              <w:rPr>
                <w:rFonts w:asciiTheme="majorBidi" w:hAnsiTheme="majorBidi" w:cstheme="majorBidi"/>
                <w:color w:val="000000"/>
                <w:sz w:val="20"/>
                <w:szCs w:val="20"/>
                <w:lang w:bidi="he-IL"/>
              </w:rPr>
              <w:t>.</w:t>
            </w:r>
            <w:r>
              <w:rPr>
                <w:rFonts w:asciiTheme="majorBidi" w:hAnsiTheme="majorBidi" w:cstheme="majorBidi"/>
                <w:color w:val="000000"/>
                <w:sz w:val="20"/>
                <w:szCs w:val="20"/>
                <w:lang w:bidi="he-IL"/>
              </w:rPr>
              <w:t>0</w:t>
            </w:r>
            <w:r w:rsidRPr="00A11B3A">
              <w:rPr>
                <w:rFonts w:asciiTheme="majorBidi" w:hAnsiTheme="majorBidi" w:cstheme="majorBidi"/>
                <w:color w:val="000000"/>
                <w:sz w:val="20"/>
                <w:szCs w:val="20"/>
                <w:lang w:bidi="he-IL"/>
              </w:rPr>
              <w:t>%</w:t>
            </w:r>
          </w:p>
        </w:tc>
      </w:tr>
    </w:tbl>
    <w:p w14:paraId="2A7BF644" w14:textId="78D53ED7" w:rsidR="00076234" w:rsidRDefault="00076234"/>
    <w:p w14:paraId="27D8C07C" w14:textId="77777777" w:rsidR="00FF0916" w:rsidRDefault="00FF0916"/>
    <w:tbl>
      <w:tblPr>
        <w:tblStyle w:val="TableGrid"/>
        <w:tblW w:w="0" w:type="auto"/>
        <w:tblInd w:w="-147"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1392"/>
        <w:gridCol w:w="1393"/>
        <w:gridCol w:w="1393"/>
        <w:gridCol w:w="1393"/>
        <w:gridCol w:w="1393"/>
        <w:gridCol w:w="1393"/>
      </w:tblGrid>
      <w:tr w:rsidR="008C6A7D" w14:paraId="3B613175" w14:textId="77777777" w:rsidTr="00D21C2E">
        <w:tc>
          <w:tcPr>
            <w:tcW w:w="9896" w:type="dxa"/>
            <w:gridSpan w:val="7"/>
            <w:tcBorders>
              <w:bottom w:val="single" w:sz="4" w:space="0" w:color="auto"/>
            </w:tcBorders>
          </w:tcPr>
          <w:p w14:paraId="4B090712" w14:textId="2CFB12BB" w:rsidR="008C6A7D" w:rsidRPr="008C6A7D" w:rsidRDefault="008C6A7D" w:rsidP="008C6A7D">
            <w:pPr>
              <w:jc w:val="center"/>
              <w:rPr>
                <w:b/>
                <w:bCs/>
                <w:sz w:val="22"/>
                <w:szCs w:val="22"/>
              </w:rPr>
            </w:pPr>
            <w:r w:rsidRPr="008C6A7D">
              <w:rPr>
                <w:b/>
                <w:bCs/>
                <w:sz w:val="22"/>
                <w:szCs w:val="22"/>
              </w:rPr>
              <w:t xml:space="preserve">Table 4: </w:t>
            </w:r>
            <w:r w:rsidR="00E2056C">
              <w:rPr>
                <w:b/>
                <w:bCs/>
                <w:sz w:val="22"/>
                <w:szCs w:val="22"/>
              </w:rPr>
              <w:t>A</w:t>
            </w:r>
            <w:r w:rsidR="00D21C2E">
              <w:rPr>
                <w:b/>
                <w:bCs/>
                <w:sz w:val="22"/>
                <w:szCs w:val="22"/>
              </w:rPr>
              <w:t xml:space="preserve">ccumulated </w:t>
            </w:r>
            <w:r w:rsidRPr="008C6A7D">
              <w:rPr>
                <w:b/>
                <w:bCs/>
                <w:sz w:val="22"/>
                <w:szCs w:val="22"/>
              </w:rPr>
              <w:t>productivity of matched authors</w:t>
            </w:r>
          </w:p>
          <w:p w14:paraId="498F15EA" w14:textId="7F0DDA0B" w:rsidR="008C6A7D" w:rsidRDefault="008C6A7D" w:rsidP="007C3F6D">
            <w:pPr>
              <w:jc w:val="both"/>
              <w:rPr>
                <w:sz w:val="22"/>
                <w:szCs w:val="22"/>
              </w:rPr>
            </w:pPr>
            <w:r>
              <w:rPr>
                <w:sz w:val="22"/>
                <w:szCs w:val="22"/>
              </w:rPr>
              <w:t xml:space="preserve">The table provides the accumulated </w:t>
            </w:r>
            <w:r w:rsidR="00C865C1">
              <w:rPr>
                <w:sz w:val="22"/>
                <w:szCs w:val="22"/>
              </w:rPr>
              <w:t>number of A articles</w:t>
            </w:r>
            <w:r>
              <w:rPr>
                <w:sz w:val="22"/>
                <w:szCs w:val="22"/>
              </w:rPr>
              <w:t xml:space="preserve"> of authors in </w:t>
            </w:r>
            <w:r w:rsidR="00C865C1">
              <w:rPr>
                <w:sz w:val="22"/>
                <w:szCs w:val="22"/>
              </w:rPr>
              <w:t>tenure</w:t>
            </w:r>
            <w:r>
              <w:rPr>
                <w:sz w:val="22"/>
                <w:szCs w:val="22"/>
              </w:rPr>
              <w:t xml:space="preserve"> 6-10</w:t>
            </w:r>
            <w:r w:rsidR="00E2056C">
              <w:rPr>
                <w:sz w:val="22"/>
                <w:szCs w:val="22"/>
              </w:rPr>
              <w:t xml:space="preserve"> (</w:t>
            </w:r>
            <w:r w:rsidR="007C3F6D">
              <w:rPr>
                <w:sz w:val="22"/>
                <w:szCs w:val="22"/>
              </w:rPr>
              <w:t>S</w:t>
            </w:r>
            <w:r w:rsidR="00E2056C">
              <w:rPr>
                <w:sz w:val="22"/>
                <w:szCs w:val="22"/>
              </w:rPr>
              <w:t>ample 1)</w:t>
            </w:r>
            <w:r>
              <w:rPr>
                <w:sz w:val="22"/>
                <w:szCs w:val="22"/>
              </w:rPr>
              <w:t xml:space="preserve">. Authors whose first </w:t>
            </w:r>
            <w:r w:rsidR="00C865C1">
              <w:rPr>
                <w:sz w:val="22"/>
                <w:szCs w:val="22"/>
              </w:rPr>
              <w:t xml:space="preserve">affiliation </w:t>
            </w:r>
            <w:r>
              <w:rPr>
                <w:sz w:val="22"/>
                <w:szCs w:val="22"/>
              </w:rPr>
              <w:t xml:space="preserve">is in a top 20 university are matched to authors whose first placement is to a top 51-100 university based on their accumulated </w:t>
            </w:r>
            <w:r w:rsidR="00B55DF8">
              <w:rPr>
                <w:sz w:val="22"/>
                <w:szCs w:val="22"/>
              </w:rPr>
              <w:t xml:space="preserve">number of </w:t>
            </w:r>
            <w:r>
              <w:rPr>
                <w:sz w:val="22"/>
                <w:szCs w:val="22"/>
              </w:rPr>
              <w:t>A publication</w:t>
            </w:r>
            <w:r w:rsidR="00B55DF8">
              <w:rPr>
                <w:sz w:val="22"/>
                <w:szCs w:val="22"/>
              </w:rPr>
              <w:t>s</w:t>
            </w:r>
            <w:r>
              <w:rPr>
                <w:sz w:val="22"/>
                <w:szCs w:val="22"/>
              </w:rPr>
              <w:t xml:space="preserve"> at tenure=5. The </w:t>
            </w:r>
            <w:r w:rsidR="00C865C1">
              <w:rPr>
                <w:sz w:val="22"/>
                <w:szCs w:val="22"/>
              </w:rPr>
              <w:t xml:space="preserve">mean </w:t>
            </w:r>
            <w:r>
              <w:rPr>
                <w:sz w:val="22"/>
                <w:szCs w:val="22"/>
              </w:rPr>
              <w:t xml:space="preserve">accumulated </w:t>
            </w:r>
            <w:r w:rsidR="00C865C1">
              <w:rPr>
                <w:sz w:val="22"/>
                <w:szCs w:val="22"/>
              </w:rPr>
              <w:t xml:space="preserve">number of A articles </w:t>
            </w:r>
            <w:r>
              <w:rPr>
                <w:sz w:val="22"/>
                <w:szCs w:val="22"/>
              </w:rPr>
              <w:t>of each subgroups is tabulated as well as the difference between the two groups</w:t>
            </w:r>
            <w:r w:rsidR="00C865C1">
              <w:rPr>
                <w:sz w:val="22"/>
                <w:szCs w:val="22"/>
              </w:rPr>
              <w:t>’</w:t>
            </w:r>
            <w:r>
              <w:rPr>
                <w:sz w:val="22"/>
                <w:szCs w:val="22"/>
              </w:rPr>
              <w:t xml:space="preserve"> </w:t>
            </w:r>
            <w:r w:rsidR="00C865C1">
              <w:rPr>
                <w:sz w:val="22"/>
                <w:szCs w:val="22"/>
              </w:rPr>
              <w:t>mean</w:t>
            </w:r>
            <w:r>
              <w:rPr>
                <w:sz w:val="22"/>
                <w:szCs w:val="22"/>
              </w:rPr>
              <w:t xml:space="preserve"> accumulation.</w:t>
            </w:r>
            <w:r w:rsidR="00553E7C">
              <w:rPr>
                <w:sz w:val="22"/>
                <w:szCs w:val="22"/>
              </w:rPr>
              <w:t xml:space="preserve"> </w:t>
            </w:r>
            <w:r w:rsidR="00553E7C" w:rsidRPr="000301E9">
              <w:rPr>
                <w:sz w:val="22"/>
              </w:rPr>
              <w:t>*, **, and *** indicate significance at the 10%, 5%, and 1% level, respectively.</w:t>
            </w:r>
          </w:p>
          <w:p w14:paraId="6F62C660" w14:textId="0AA07AAE" w:rsidR="008C6A7D" w:rsidRPr="00FF0916" w:rsidRDefault="008C6A7D">
            <w:pPr>
              <w:rPr>
                <w:sz w:val="22"/>
                <w:szCs w:val="22"/>
              </w:rPr>
            </w:pPr>
          </w:p>
        </w:tc>
      </w:tr>
      <w:tr w:rsidR="00FF0916" w14:paraId="3775D71D" w14:textId="77777777" w:rsidTr="00D21C2E">
        <w:tc>
          <w:tcPr>
            <w:tcW w:w="1539" w:type="dxa"/>
            <w:tcBorders>
              <w:top w:val="single" w:sz="4" w:space="0" w:color="auto"/>
              <w:bottom w:val="single" w:sz="4" w:space="0" w:color="auto"/>
            </w:tcBorders>
          </w:tcPr>
          <w:p w14:paraId="3E4874EC" w14:textId="2E1BC73E" w:rsidR="00FF0916" w:rsidRPr="00FF0916" w:rsidRDefault="008C6A7D">
            <w:pPr>
              <w:rPr>
                <w:sz w:val="22"/>
                <w:szCs w:val="22"/>
              </w:rPr>
            </w:pPr>
            <w:r>
              <w:rPr>
                <w:sz w:val="22"/>
                <w:szCs w:val="22"/>
              </w:rPr>
              <w:t>Tenure</w:t>
            </w:r>
          </w:p>
        </w:tc>
        <w:tc>
          <w:tcPr>
            <w:tcW w:w="1392" w:type="dxa"/>
            <w:tcBorders>
              <w:top w:val="single" w:sz="4" w:space="0" w:color="auto"/>
              <w:bottom w:val="single" w:sz="4" w:space="0" w:color="auto"/>
            </w:tcBorders>
          </w:tcPr>
          <w:p w14:paraId="7CBA4744" w14:textId="415D0A9F" w:rsidR="00FF0916" w:rsidRPr="00FF0916" w:rsidRDefault="00FF0916" w:rsidP="008C6A7D">
            <w:pPr>
              <w:jc w:val="center"/>
              <w:rPr>
                <w:sz w:val="22"/>
                <w:szCs w:val="22"/>
              </w:rPr>
            </w:pPr>
            <w:r w:rsidRPr="00FF0916">
              <w:rPr>
                <w:sz w:val="22"/>
                <w:szCs w:val="22"/>
              </w:rPr>
              <w:t>5</w:t>
            </w:r>
          </w:p>
        </w:tc>
        <w:tc>
          <w:tcPr>
            <w:tcW w:w="1393" w:type="dxa"/>
            <w:tcBorders>
              <w:top w:val="single" w:sz="4" w:space="0" w:color="auto"/>
              <w:bottom w:val="single" w:sz="4" w:space="0" w:color="auto"/>
            </w:tcBorders>
          </w:tcPr>
          <w:p w14:paraId="114CEB20" w14:textId="296D4ABB" w:rsidR="00FF0916" w:rsidRPr="00FF0916" w:rsidRDefault="00FF0916" w:rsidP="008C6A7D">
            <w:pPr>
              <w:jc w:val="center"/>
              <w:rPr>
                <w:sz w:val="22"/>
                <w:szCs w:val="22"/>
              </w:rPr>
            </w:pPr>
            <w:r w:rsidRPr="00FF0916">
              <w:rPr>
                <w:sz w:val="22"/>
                <w:szCs w:val="22"/>
              </w:rPr>
              <w:t>6</w:t>
            </w:r>
          </w:p>
        </w:tc>
        <w:tc>
          <w:tcPr>
            <w:tcW w:w="1393" w:type="dxa"/>
            <w:tcBorders>
              <w:top w:val="single" w:sz="4" w:space="0" w:color="auto"/>
              <w:bottom w:val="single" w:sz="4" w:space="0" w:color="auto"/>
            </w:tcBorders>
          </w:tcPr>
          <w:p w14:paraId="4EE4E1FF" w14:textId="60D8C106" w:rsidR="00FF0916" w:rsidRPr="00FF0916" w:rsidRDefault="00FF0916" w:rsidP="008C6A7D">
            <w:pPr>
              <w:jc w:val="center"/>
              <w:rPr>
                <w:sz w:val="22"/>
                <w:szCs w:val="22"/>
              </w:rPr>
            </w:pPr>
            <w:r w:rsidRPr="00FF0916">
              <w:rPr>
                <w:sz w:val="22"/>
                <w:szCs w:val="22"/>
              </w:rPr>
              <w:t>7</w:t>
            </w:r>
          </w:p>
        </w:tc>
        <w:tc>
          <w:tcPr>
            <w:tcW w:w="1393" w:type="dxa"/>
            <w:tcBorders>
              <w:top w:val="single" w:sz="4" w:space="0" w:color="auto"/>
              <w:bottom w:val="single" w:sz="4" w:space="0" w:color="auto"/>
            </w:tcBorders>
          </w:tcPr>
          <w:p w14:paraId="3DBED665" w14:textId="7671DBE4" w:rsidR="00FF0916" w:rsidRPr="00FF0916" w:rsidRDefault="00FF0916" w:rsidP="008C6A7D">
            <w:pPr>
              <w:jc w:val="center"/>
              <w:rPr>
                <w:sz w:val="22"/>
                <w:szCs w:val="22"/>
              </w:rPr>
            </w:pPr>
            <w:r w:rsidRPr="00FF0916">
              <w:rPr>
                <w:sz w:val="22"/>
                <w:szCs w:val="22"/>
              </w:rPr>
              <w:t>8</w:t>
            </w:r>
          </w:p>
        </w:tc>
        <w:tc>
          <w:tcPr>
            <w:tcW w:w="1393" w:type="dxa"/>
            <w:tcBorders>
              <w:top w:val="single" w:sz="4" w:space="0" w:color="auto"/>
              <w:bottom w:val="single" w:sz="4" w:space="0" w:color="auto"/>
            </w:tcBorders>
          </w:tcPr>
          <w:p w14:paraId="5D33A39A" w14:textId="090DBC6F" w:rsidR="00FF0916" w:rsidRPr="00FF0916" w:rsidRDefault="00FF0916" w:rsidP="008C6A7D">
            <w:pPr>
              <w:jc w:val="center"/>
              <w:rPr>
                <w:sz w:val="22"/>
                <w:szCs w:val="22"/>
              </w:rPr>
            </w:pPr>
            <w:r w:rsidRPr="00FF0916">
              <w:rPr>
                <w:sz w:val="22"/>
                <w:szCs w:val="22"/>
              </w:rPr>
              <w:t>9</w:t>
            </w:r>
          </w:p>
        </w:tc>
        <w:tc>
          <w:tcPr>
            <w:tcW w:w="1393" w:type="dxa"/>
            <w:tcBorders>
              <w:top w:val="single" w:sz="4" w:space="0" w:color="auto"/>
              <w:bottom w:val="single" w:sz="4" w:space="0" w:color="auto"/>
            </w:tcBorders>
          </w:tcPr>
          <w:p w14:paraId="21182CA7" w14:textId="66CF62FB" w:rsidR="00FF0916" w:rsidRPr="00FF0916" w:rsidRDefault="00FF0916" w:rsidP="008C6A7D">
            <w:pPr>
              <w:jc w:val="center"/>
              <w:rPr>
                <w:sz w:val="22"/>
                <w:szCs w:val="22"/>
              </w:rPr>
            </w:pPr>
            <w:r w:rsidRPr="00FF0916">
              <w:rPr>
                <w:sz w:val="22"/>
                <w:szCs w:val="22"/>
              </w:rPr>
              <w:t>10</w:t>
            </w:r>
          </w:p>
        </w:tc>
      </w:tr>
      <w:tr w:rsidR="00FF0916" w14:paraId="4D7767C8" w14:textId="77777777" w:rsidTr="00D21C2E">
        <w:tc>
          <w:tcPr>
            <w:tcW w:w="1539" w:type="dxa"/>
            <w:tcBorders>
              <w:top w:val="single" w:sz="4" w:space="0" w:color="auto"/>
            </w:tcBorders>
          </w:tcPr>
          <w:p w14:paraId="604E21A5" w14:textId="77777777" w:rsidR="008C6A7D" w:rsidRDefault="008C6A7D">
            <w:pPr>
              <w:rPr>
                <w:b/>
                <w:bCs/>
                <w:sz w:val="22"/>
                <w:szCs w:val="22"/>
              </w:rPr>
            </w:pPr>
          </w:p>
          <w:p w14:paraId="2AD65485" w14:textId="09C832B6" w:rsidR="00FF0916" w:rsidRPr="00AA654B" w:rsidRDefault="00AA654B">
            <w:pPr>
              <w:rPr>
                <w:b/>
                <w:bCs/>
                <w:sz w:val="22"/>
                <w:szCs w:val="22"/>
              </w:rPr>
            </w:pPr>
            <w:r w:rsidRPr="00AA654B">
              <w:rPr>
                <w:b/>
                <w:bCs/>
                <w:sz w:val="22"/>
                <w:szCs w:val="22"/>
              </w:rPr>
              <w:t>No A articles</w:t>
            </w:r>
          </w:p>
        </w:tc>
        <w:tc>
          <w:tcPr>
            <w:tcW w:w="1392" w:type="dxa"/>
            <w:tcBorders>
              <w:top w:val="single" w:sz="4" w:space="0" w:color="auto"/>
            </w:tcBorders>
          </w:tcPr>
          <w:p w14:paraId="7B754E53" w14:textId="73CD7254" w:rsidR="00FF0916" w:rsidRPr="00FF0916" w:rsidRDefault="00FF0916" w:rsidP="008C6A7D">
            <w:pPr>
              <w:jc w:val="center"/>
              <w:rPr>
                <w:sz w:val="22"/>
                <w:szCs w:val="22"/>
              </w:rPr>
            </w:pPr>
          </w:p>
        </w:tc>
        <w:tc>
          <w:tcPr>
            <w:tcW w:w="1393" w:type="dxa"/>
            <w:tcBorders>
              <w:top w:val="single" w:sz="4" w:space="0" w:color="auto"/>
            </w:tcBorders>
          </w:tcPr>
          <w:p w14:paraId="5E4AC873" w14:textId="77777777" w:rsidR="00FF0916" w:rsidRPr="00FF0916" w:rsidRDefault="00FF0916" w:rsidP="008C6A7D">
            <w:pPr>
              <w:jc w:val="center"/>
              <w:rPr>
                <w:sz w:val="22"/>
                <w:szCs w:val="22"/>
              </w:rPr>
            </w:pPr>
          </w:p>
        </w:tc>
        <w:tc>
          <w:tcPr>
            <w:tcW w:w="1393" w:type="dxa"/>
            <w:tcBorders>
              <w:top w:val="single" w:sz="4" w:space="0" w:color="auto"/>
            </w:tcBorders>
          </w:tcPr>
          <w:p w14:paraId="75F8DF2E" w14:textId="77777777" w:rsidR="00FF0916" w:rsidRPr="00FF0916" w:rsidRDefault="00FF0916" w:rsidP="008C6A7D">
            <w:pPr>
              <w:jc w:val="center"/>
              <w:rPr>
                <w:sz w:val="22"/>
                <w:szCs w:val="22"/>
              </w:rPr>
            </w:pPr>
          </w:p>
        </w:tc>
        <w:tc>
          <w:tcPr>
            <w:tcW w:w="1393" w:type="dxa"/>
            <w:tcBorders>
              <w:top w:val="single" w:sz="4" w:space="0" w:color="auto"/>
            </w:tcBorders>
          </w:tcPr>
          <w:p w14:paraId="6796EE21" w14:textId="77777777" w:rsidR="00FF0916" w:rsidRPr="00FF0916" w:rsidRDefault="00FF0916" w:rsidP="008C6A7D">
            <w:pPr>
              <w:jc w:val="center"/>
              <w:rPr>
                <w:sz w:val="22"/>
                <w:szCs w:val="22"/>
              </w:rPr>
            </w:pPr>
          </w:p>
        </w:tc>
        <w:tc>
          <w:tcPr>
            <w:tcW w:w="1393" w:type="dxa"/>
            <w:tcBorders>
              <w:top w:val="single" w:sz="4" w:space="0" w:color="auto"/>
            </w:tcBorders>
          </w:tcPr>
          <w:p w14:paraId="243A6319" w14:textId="77777777" w:rsidR="00FF0916" w:rsidRPr="00FF0916" w:rsidRDefault="00FF0916" w:rsidP="008C6A7D">
            <w:pPr>
              <w:jc w:val="center"/>
              <w:rPr>
                <w:sz w:val="22"/>
                <w:szCs w:val="22"/>
              </w:rPr>
            </w:pPr>
          </w:p>
        </w:tc>
        <w:tc>
          <w:tcPr>
            <w:tcW w:w="1393" w:type="dxa"/>
            <w:tcBorders>
              <w:top w:val="single" w:sz="4" w:space="0" w:color="auto"/>
            </w:tcBorders>
          </w:tcPr>
          <w:p w14:paraId="6EF87A44" w14:textId="77777777" w:rsidR="00FF0916" w:rsidRPr="00FF0916" w:rsidRDefault="00FF0916" w:rsidP="008C6A7D">
            <w:pPr>
              <w:jc w:val="center"/>
              <w:rPr>
                <w:sz w:val="22"/>
                <w:szCs w:val="22"/>
              </w:rPr>
            </w:pPr>
          </w:p>
        </w:tc>
      </w:tr>
      <w:tr w:rsidR="00AA654B" w14:paraId="654B4621" w14:textId="77777777" w:rsidTr="00D21C2E">
        <w:tc>
          <w:tcPr>
            <w:tcW w:w="1539" w:type="dxa"/>
          </w:tcPr>
          <w:p w14:paraId="3F966547" w14:textId="4237F483" w:rsidR="00AA654B" w:rsidRDefault="00AA654B" w:rsidP="00AA654B">
            <w:pPr>
              <w:rPr>
                <w:sz w:val="22"/>
                <w:szCs w:val="22"/>
              </w:rPr>
            </w:pPr>
            <w:r>
              <w:rPr>
                <w:sz w:val="22"/>
                <w:szCs w:val="22"/>
              </w:rPr>
              <w:t>Top 20</w:t>
            </w:r>
          </w:p>
        </w:tc>
        <w:tc>
          <w:tcPr>
            <w:tcW w:w="1392" w:type="dxa"/>
            <w:vAlign w:val="bottom"/>
          </w:tcPr>
          <w:p w14:paraId="07B8366E" w14:textId="7DDF74C6"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w:t>
            </w:r>
          </w:p>
        </w:tc>
        <w:tc>
          <w:tcPr>
            <w:tcW w:w="1393" w:type="dxa"/>
            <w:vAlign w:val="bottom"/>
          </w:tcPr>
          <w:p w14:paraId="410CC113" w14:textId="008FD32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0.12</w:t>
            </w:r>
          </w:p>
        </w:tc>
        <w:tc>
          <w:tcPr>
            <w:tcW w:w="1393" w:type="dxa"/>
            <w:vAlign w:val="bottom"/>
          </w:tcPr>
          <w:p w14:paraId="2157C8B3" w14:textId="28A374ED"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0.19</w:t>
            </w:r>
          </w:p>
        </w:tc>
        <w:tc>
          <w:tcPr>
            <w:tcW w:w="1393" w:type="dxa"/>
            <w:vAlign w:val="bottom"/>
          </w:tcPr>
          <w:p w14:paraId="3FBB49DA" w14:textId="21C97D1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0.29</w:t>
            </w:r>
          </w:p>
        </w:tc>
        <w:tc>
          <w:tcPr>
            <w:tcW w:w="1393" w:type="dxa"/>
            <w:vAlign w:val="bottom"/>
          </w:tcPr>
          <w:p w14:paraId="0F0D0D56" w14:textId="49CFD9C4"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0.4</w:t>
            </w:r>
          </w:p>
        </w:tc>
        <w:tc>
          <w:tcPr>
            <w:tcW w:w="1393" w:type="dxa"/>
            <w:vAlign w:val="bottom"/>
          </w:tcPr>
          <w:p w14:paraId="02C54741" w14:textId="45E21B91"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0.51</w:t>
            </w:r>
          </w:p>
        </w:tc>
      </w:tr>
      <w:tr w:rsidR="00AA654B" w14:paraId="14A075AB" w14:textId="77777777" w:rsidTr="00D21C2E">
        <w:tc>
          <w:tcPr>
            <w:tcW w:w="1539" w:type="dxa"/>
          </w:tcPr>
          <w:p w14:paraId="4310F025" w14:textId="7C86D79F" w:rsidR="00AA654B" w:rsidRDefault="00AA654B" w:rsidP="00AA654B">
            <w:pPr>
              <w:rPr>
                <w:sz w:val="22"/>
                <w:szCs w:val="22"/>
              </w:rPr>
            </w:pPr>
            <w:r>
              <w:rPr>
                <w:sz w:val="22"/>
                <w:szCs w:val="22"/>
              </w:rPr>
              <w:t>Top 51-100</w:t>
            </w:r>
          </w:p>
        </w:tc>
        <w:tc>
          <w:tcPr>
            <w:tcW w:w="1392" w:type="dxa"/>
            <w:vAlign w:val="bottom"/>
          </w:tcPr>
          <w:p w14:paraId="7BD98CA9" w14:textId="76B69E5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w:t>
            </w:r>
          </w:p>
        </w:tc>
        <w:tc>
          <w:tcPr>
            <w:tcW w:w="1393" w:type="dxa"/>
            <w:vAlign w:val="bottom"/>
          </w:tcPr>
          <w:p w14:paraId="63F62BB3" w14:textId="0369E68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0.02</w:t>
            </w:r>
          </w:p>
        </w:tc>
        <w:tc>
          <w:tcPr>
            <w:tcW w:w="1393" w:type="dxa"/>
            <w:vAlign w:val="bottom"/>
          </w:tcPr>
          <w:p w14:paraId="75F7590D" w14:textId="0003474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0.05</w:t>
            </w:r>
          </w:p>
        </w:tc>
        <w:tc>
          <w:tcPr>
            <w:tcW w:w="1393" w:type="dxa"/>
            <w:vAlign w:val="bottom"/>
          </w:tcPr>
          <w:p w14:paraId="2D203E8F" w14:textId="0F08BDA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0.08</w:t>
            </w:r>
          </w:p>
        </w:tc>
        <w:tc>
          <w:tcPr>
            <w:tcW w:w="1393" w:type="dxa"/>
            <w:vAlign w:val="bottom"/>
          </w:tcPr>
          <w:p w14:paraId="490CD116" w14:textId="5D60ACB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0.11</w:t>
            </w:r>
          </w:p>
        </w:tc>
        <w:tc>
          <w:tcPr>
            <w:tcW w:w="1393" w:type="dxa"/>
            <w:vAlign w:val="bottom"/>
          </w:tcPr>
          <w:p w14:paraId="0BBE0A5E" w14:textId="60CF151D"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0.14</w:t>
            </w:r>
          </w:p>
        </w:tc>
      </w:tr>
      <w:tr w:rsidR="00AA654B" w14:paraId="5C7243B6" w14:textId="77777777" w:rsidTr="00D21C2E">
        <w:tc>
          <w:tcPr>
            <w:tcW w:w="1539" w:type="dxa"/>
          </w:tcPr>
          <w:p w14:paraId="24966EF6" w14:textId="4B08DBBD" w:rsidR="00AA654B" w:rsidRDefault="00AA654B" w:rsidP="00AA654B">
            <w:pPr>
              <w:rPr>
                <w:sz w:val="22"/>
                <w:szCs w:val="22"/>
              </w:rPr>
            </w:pPr>
            <w:r>
              <w:rPr>
                <w:sz w:val="22"/>
                <w:szCs w:val="22"/>
              </w:rPr>
              <w:t>Difference</w:t>
            </w:r>
          </w:p>
        </w:tc>
        <w:tc>
          <w:tcPr>
            <w:tcW w:w="1392" w:type="dxa"/>
            <w:vAlign w:val="bottom"/>
          </w:tcPr>
          <w:p w14:paraId="3A2B8EC9" w14:textId="7BC92D74" w:rsidR="00AA654B" w:rsidRPr="008C6A7D" w:rsidRDefault="008C6A7D" w:rsidP="008C6A7D">
            <w:pPr>
              <w:jc w:val="center"/>
              <w:rPr>
                <w:rFonts w:asciiTheme="majorBidi" w:hAnsiTheme="majorBidi" w:cstheme="majorBidi"/>
                <w:sz w:val="22"/>
                <w:szCs w:val="22"/>
              </w:rPr>
            </w:pPr>
            <w:r>
              <w:rPr>
                <w:rFonts w:asciiTheme="majorBidi" w:hAnsiTheme="majorBidi" w:cstheme="majorBidi"/>
                <w:color w:val="000000"/>
                <w:sz w:val="22"/>
                <w:szCs w:val="22"/>
              </w:rPr>
              <w:t>0</w:t>
            </w:r>
          </w:p>
        </w:tc>
        <w:tc>
          <w:tcPr>
            <w:tcW w:w="1393" w:type="dxa"/>
            <w:vAlign w:val="bottom"/>
          </w:tcPr>
          <w:p w14:paraId="3411906F" w14:textId="4F54135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0.10</w:t>
            </w:r>
            <w:r w:rsidR="008C6A7D" w:rsidRPr="00D876CC">
              <w:rPr>
                <w:sz w:val="22"/>
                <w:szCs w:val="22"/>
                <w:vertAlign w:val="superscript"/>
                <w:lang w:val="en-CA"/>
              </w:rPr>
              <w:t>***</w:t>
            </w:r>
          </w:p>
        </w:tc>
        <w:tc>
          <w:tcPr>
            <w:tcW w:w="1393" w:type="dxa"/>
            <w:vAlign w:val="bottom"/>
          </w:tcPr>
          <w:p w14:paraId="20DEBCE1" w14:textId="67761DF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0.14</w:t>
            </w:r>
            <w:r w:rsidR="008C6A7D" w:rsidRPr="00D876CC">
              <w:rPr>
                <w:sz w:val="22"/>
                <w:szCs w:val="22"/>
                <w:vertAlign w:val="superscript"/>
                <w:lang w:val="en-CA"/>
              </w:rPr>
              <w:t>***</w:t>
            </w:r>
          </w:p>
        </w:tc>
        <w:tc>
          <w:tcPr>
            <w:tcW w:w="1393" w:type="dxa"/>
            <w:vAlign w:val="bottom"/>
          </w:tcPr>
          <w:p w14:paraId="1C00D351" w14:textId="396832CB"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0.21</w:t>
            </w:r>
            <w:r w:rsidR="008C6A7D" w:rsidRPr="00D876CC">
              <w:rPr>
                <w:sz w:val="22"/>
                <w:szCs w:val="22"/>
                <w:vertAlign w:val="superscript"/>
                <w:lang w:val="en-CA"/>
              </w:rPr>
              <w:t>***</w:t>
            </w:r>
          </w:p>
        </w:tc>
        <w:tc>
          <w:tcPr>
            <w:tcW w:w="1393" w:type="dxa"/>
            <w:vAlign w:val="bottom"/>
          </w:tcPr>
          <w:p w14:paraId="66B77A27" w14:textId="6D717A1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0.29</w:t>
            </w:r>
            <w:r w:rsidR="008C6A7D" w:rsidRPr="00D876CC">
              <w:rPr>
                <w:sz w:val="22"/>
                <w:szCs w:val="22"/>
                <w:vertAlign w:val="superscript"/>
                <w:lang w:val="en-CA"/>
              </w:rPr>
              <w:t>***</w:t>
            </w:r>
          </w:p>
        </w:tc>
        <w:tc>
          <w:tcPr>
            <w:tcW w:w="1393" w:type="dxa"/>
            <w:vAlign w:val="bottom"/>
          </w:tcPr>
          <w:p w14:paraId="27D61F0F" w14:textId="35650D0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0.37</w:t>
            </w:r>
            <w:r w:rsidR="008C6A7D" w:rsidRPr="00D876CC">
              <w:rPr>
                <w:sz w:val="22"/>
                <w:szCs w:val="22"/>
                <w:vertAlign w:val="superscript"/>
                <w:lang w:val="en-CA"/>
              </w:rPr>
              <w:t>***</w:t>
            </w:r>
          </w:p>
        </w:tc>
      </w:tr>
      <w:tr w:rsidR="00AA654B" w14:paraId="507F04D4" w14:textId="77777777" w:rsidTr="00D21C2E">
        <w:tc>
          <w:tcPr>
            <w:tcW w:w="1539" w:type="dxa"/>
          </w:tcPr>
          <w:p w14:paraId="6488D146" w14:textId="05B9C426" w:rsidR="00AA654B" w:rsidRPr="00AA654B" w:rsidRDefault="00AA654B">
            <w:pPr>
              <w:rPr>
                <w:b/>
                <w:bCs/>
                <w:sz w:val="22"/>
                <w:szCs w:val="22"/>
              </w:rPr>
            </w:pPr>
            <w:r w:rsidRPr="00AA654B">
              <w:rPr>
                <w:b/>
                <w:bCs/>
                <w:sz w:val="22"/>
                <w:szCs w:val="22"/>
              </w:rPr>
              <w:t>1 A article</w:t>
            </w:r>
          </w:p>
        </w:tc>
        <w:tc>
          <w:tcPr>
            <w:tcW w:w="1392" w:type="dxa"/>
          </w:tcPr>
          <w:p w14:paraId="6FD158DF" w14:textId="2BA80883" w:rsidR="00AA654B" w:rsidRPr="008C6A7D" w:rsidRDefault="00AA654B" w:rsidP="008C6A7D">
            <w:pPr>
              <w:jc w:val="center"/>
              <w:rPr>
                <w:rFonts w:asciiTheme="majorBidi" w:hAnsiTheme="majorBidi" w:cstheme="majorBidi"/>
                <w:sz w:val="22"/>
                <w:szCs w:val="22"/>
              </w:rPr>
            </w:pPr>
          </w:p>
        </w:tc>
        <w:tc>
          <w:tcPr>
            <w:tcW w:w="1393" w:type="dxa"/>
          </w:tcPr>
          <w:p w14:paraId="4D4B592C" w14:textId="77777777" w:rsidR="00AA654B" w:rsidRPr="008C6A7D" w:rsidRDefault="00AA654B" w:rsidP="008C6A7D">
            <w:pPr>
              <w:jc w:val="center"/>
              <w:rPr>
                <w:rFonts w:asciiTheme="majorBidi" w:hAnsiTheme="majorBidi" w:cstheme="majorBidi"/>
                <w:sz w:val="22"/>
                <w:szCs w:val="22"/>
              </w:rPr>
            </w:pPr>
          </w:p>
        </w:tc>
        <w:tc>
          <w:tcPr>
            <w:tcW w:w="1393" w:type="dxa"/>
          </w:tcPr>
          <w:p w14:paraId="5EA8D80E" w14:textId="77777777" w:rsidR="00AA654B" w:rsidRPr="008C6A7D" w:rsidRDefault="00AA654B" w:rsidP="008C6A7D">
            <w:pPr>
              <w:jc w:val="center"/>
              <w:rPr>
                <w:rFonts w:asciiTheme="majorBidi" w:hAnsiTheme="majorBidi" w:cstheme="majorBidi"/>
                <w:sz w:val="22"/>
                <w:szCs w:val="22"/>
              </w:rPr>
            </w:pPr>
          </w:p>
        </w:tc>
        <w:tc>
          <w:tcPr>
            <w:tcW w:w="1393" w:type="dxa"/>
          </w:tcPr>
          <w:p w14:paraId="0E758095" w14:textId="77777777" w:rsidR="00AA654B" w:rsidRPr="008C6A7D" w:rsidRDefault="00AA654B" w:rsidP="008C6A7D">
            <w:pPr>
              <w:jc w:val="center"/>
              <w:rPr>
                <w:rFonts w:asciiTheme="majorBidi" w:hAnsiTheme="majorBidi" w:cstheme="majorBidi"/>
                <w:sz w:val="22"/>
                <w:szCs w:val="22"/>
              </w:rPr>
            </w:pPr>
          </w:p>
        </w:tc>
        <w:tc>
          <w:tcPr>
            <w:tcW w:w="1393" w:type="dxa"/>
          </w:tcPr>
          <w:p w14:paraId="4CD29265" w14:textId="77777777" w:rsidR="00AA654B" w:rsidRPr="008C6A7D" w:rsidRDefault="00AA654B" w:rsidP="008C6A7D">
            <w:pPr>
              <w:jc w:val="center"/>
              <w:rPr>
                <w:rFonts w:asciiTheme="majorBidi" w:hAnsiTheme="majorBidi" w:cstheme="majorBidi"/>
                <w:sz w:val="22"/>
                <w:szCs w:val="22"/>
              </w:rPr>
            </w:pPr>
          </w:p>
        </w:tc>
        <w:tc>
          <w:tcPr>
            <w:tcW w:w="1393" w:type="dxa"/>
          </w:tcPr>
          <w:p w14:paraId="4547045C" w14:textId="77777777" w:rsidR="00AA654B" w:rsidRPr="008C6A7D" w:rsidRDefault="00AA654B" w:rsidP="008C6A7D">
            <w:pPr>
              <w:jc w:val="center"/>
              <w:rPr>
                <w:rFonts w:asciiTheme="majorBidi" w:hAnsiTheme="majorBidi" w:cstheme="majorBidi"/>
                <w:sz w:val="22"/>
                <w:szCs w:val="22"/>
              </w:rPr>
            </w:pPr>
          </w:p>
        </w:tc>
      </w:tr>
      <w:tr w:rsidR="00AA654B" w14:paraId="23108C57" w14:textId="77777777" w:rsidTr="00D21C2E">
        <w:tc>
          <w:tcPr>
            <w:tcW w:w="1539" w:type="dxa"/>
          </w:tcPr>
          <w:p w14:paraId="47D5ABF3" w14:textId="3076337F" w:rsidR="00AA654B" w:rsidRDefault="00AA654B" w:rsidP="00AA654B">
            <w:pPr>
              <w:rPr>
                <w:sz w:val="22"/>
                <w:szCs w:val="22"/>
              </w:rPr>
            </w:pPr>
            <w:r>
              <w:rPr>
                <w:sz w:val="22"/>
                <w:szCs w:val="22"/>
              </w:rPr>
              <w:t>Top 20</w:t>
            </w:r>
          </w:p>
        </w:tc>
        <w:tc>
          <w:tcPr>
            <w:tcW w:w="1392" w:type="dxa"/>
            <w:vAlign w:val="bottom"/>
          </w:tcPr>
          <w:p w14:paraId="6B325301" w14:textId="2EC6E28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w:t>
            </w:r>
          </w:p>
        </w:tc>
        <w:tc>
          <w:tcPr>
            <w:tcW w:w="1393" w:type="dxa"/>
            <w:vAlign w:val="bottom"/>
          </w:tcPr>
          <w:p w14:paraId="04A74361" w14:textId="191B58CD"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1.1</w:t>
            </w:r>
            <w:r w:rsidR="00A22923">
              <w:rPr>
                <w:rFonts w:asciiTheme="majorBidi" w:hAnsiTheme="majorBidi" w:cstheme="majorBidi"/>
                <w:color w:val="000000"/>
                <w:sz w:val="22"/>
                <w:szCs w:val="22"/>
              </w:rPr>
              <w:t>3</w:t>
            </w:r>
          </w:p>
        </w:tc>
        <w:tc>
          <w:tcPr>
            <w:tcW w:w="1393" w:type="dxa"/>
            <w:vAlign w:val="bottom"/>
          </w:tcPr>
          <w:p w14:paraId="1FD09703" w14:textId="37A33B9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w:t>
            </w:r>
            <w:r w:rsidR="00A22923">
              <w:rPr>
                <w:rFonts w:asciiTheme="majorBidi" w:hAnsiTheme="majorBidi" w:cstheme="majorBidi"/>
                <w:color w:val="000000"/>
                <w:sz w:val="22"/>
                <w:szCs w:val="22"/>
              </w:rPr>
              <w:t>33</w:t>
            </w:r>
          </w:p>
        </w:tc>
        <w:tc>
          <w:tcPr>
            <w:tcW w:w="1393" w:type="dxa"/>
            <w:vAlign w:val="bottom"/>
          </w:tcPr>
          <w:p w14:paraId="203E1F77" w14:textId="34F1DC5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1.5</w:t>
            </w:r>
          </w:p>
        </w:tc>
        <w:tc>
          <w:tcPr>
            <w:tcW w:w="1393" w:type="dxa"/>
            <w:vAlign w:val="bottom"/>
          </w:tcPr>
          <w:p w14:paraId="0A49D5C0" w14:textId="3D9E84F7"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1.63</w:t>
            </w:r>
          </w:p>
        </w:tc>
        <w:tc>
          <w:tcPr>
            <w:tcW w:w="1393" w:type="dxa"/>
            <w:vAlign w:val="bottom"/>
          </w:tcPr>
          <w:p w14:paraId="4D99DF18" w14:textId="055FDAA4"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1.76</w:t>
            </w:r>
          </w:p>
        </w:tc>
      </w:tr>
      <w:tr w:rsidR="00AA654B" w14:paraId="6B6CC799" w14:textId="77777777" w:rsidTr="00D21C2E">
        <w:tc>
          <w:tcPr>
            <w:tcW w:w="1539" w:type="dxa"/>
          </w:tcPr>
          <w:p w14:paraId="3D4F33B3" w14:textId="41A26E5F" w:rsidR="00AA654B" w:rsidRDefault="00AA654B" w:rsidP="00AA654B">
            <w:pPr>
              <w:rPr>
                <w:sz w:val="22"/>
                <w:szCs w:val="22"/>
              </w:rPr>
            </w:pPr>
            <w:r>
              <w:rPr>
                <w:sz w:val="22"/>
                <w:szCs w:val="22"/>
              </w:rPr>
              <w:t>Top 51-100</w:t>
            </w:r>
          </w:p>
        </w:tc>
        <w:tc>
          <w:tcPr>
            <w:tcW w:w="1392" w:type="dxa"/>
            <w:vAlign w:val="bottom"/>
          </w:tcPr>
          <w:p w14:paraId="227F3AFD" w14:textId="55BC4E5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w:t>
            </w:r>
          </w:p>
        </w:tc>
        <w:tc>
          <w:tcPr>
            <w:tcW w:w="1393" w:type="dxa"/>
            <w:vAlign w:val="bottom"/>
          </w:tcPr>
          <w:p w14:paraId="0606B10A" w14:textId="3415F0E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1.15</w:t>
            </w:r>
          </w:p>
        </w:tc>
        <w:tc>
          <w:tcPr>
            <w:tcW w:w="1393" w:type="dxa"/>
            <w:vAlign w:val="bottom"/>
          </w:tcPr>
          <w:p w14:paraId="49C277CB" w14:textId="48C81946"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1.26</w:t>
            </w:r>
          </w:p>
        </w:tc>
        <w:tc>
          <w:tcPr>
            <w:tcW w:w="1393" w:type="dxa"/>
            <w:vAlign w:val="bottom"/>
          </w:tcPr>
          <w:p w14:paraId="447A7233" w14:textId="3F7E6B3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1.33</w:t>
            </w:r>
          </w:p>
        </w:tc>
        <w:tc>
          <w:tcPr>
            <w:tcW w:w="1393" w:type="dxa"/>
            <w:vAlign w:val="bottom"/>
          </w:tcPr>
          <w:p w14:paraId="287BE4FF" w14:textId="6FE4268C"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1.41</w:t>
            </w:r>
          </w:p>
        </w:tc>
        <w:tc>
          <w:tcPr>
            <w:tcW w:w="1393" w:type="dxa"/>
            <w:vAlign w:val="bottom"/>
          </w:tcPr>
          <w:p w14:paraId="340CD5A4" w14:textId="1EA7B59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1.5</w:t>
            </w:r>
          </w:p>
        </w:tc>
      </w:tr>
      <w:tr w:rsidR="00AA654B" w14:paraId="03476534" w14:textId="77777777" w:rsidTr="00D21C2E">
        <w:tc>
          <w:tcPr>
            <w:tcW w:w="1539" w:type="dxa"/>
          </w:tcPr>
          <w:p w14:paraId="7C9D3DE5" w14:textId="0F71072F" w:rsidR="00AA654B" w:rsidRDefault="00AA654B" w:rsidP="00AA654B">
            <w:pPr>
              <w:rPr>
                <w:sz w:val="22"/>
                <w:szCs w:val="22"/>
              </w:rPr>
            </w:pPr>
            <w:r>
              <w:rPr>
                <w:sz w:val="22"/>
                <w:szCs w:val="22"/>
              </w:rPr>
              <w:t>Difference</w:t>
            </w:r>
          </w:p>
        </w:tc>
        <w:tc>
          <w:tcPr>
            <w:tcW w:w="1392" w:type="dxa"/>
            <w:vAlign w:val="bottom"/>
          </w:tcPr>
          <w:p w14:paraId="375C7407" w14:textId="41D9B4E8" w:rsidR="00AA654B" w:rsidRPr="008C6A7D" w:rsidRDefault="008C6A7D" w:rsidP="008C6A7D">
            <w:pPr>
              <w:jc w:val="center"/>
              <w:rPr>
                <w:rFonts w:asciiTheme="majorBidi" w:hAnsiTheme="majorBidi" w:cstheme="majorBidi"/>
                <w:sz w:val="22"/>
                <w:szCs w:val="22"/>
              </w:rPr>
            </w:pPr>
            <w:r>
              <w:rPr>
                <w:rFonts w:asciiTheme="majorBidi" w:hAnsiTheme="majorBidi" w:cstheme="majorBidi"/>
                <w:color w:val="000000"/>
                <w:sz w:val="22"/>
                <w:szCs w:val="22"/>
              </w:rPr>
              <w:t>0</w:t>
            </w:r>
          </w:p>
        </w:tc>
        <w:tc>
          <w:tcPr>
            <w:tcW w:w="1393" w:type="dxa"/>
            <w:vAlign w:val="bottom"/>
          </w:tcPr>
          <w:p w14:paraId="70DBF181" w14:textId="4E24E64B" w:rsidR="00AA654B" w:rsidRPr="008C6A7D" w:rsidRDefault="00A22923" w:rsidP="008C6A7D">
            <w:pPr>
              <w:jc w:val="center"/>
              <w:rPr>
                <w:rFonts w:asciiTheme="majorBidi" w:hAnsiTheme="majorBidi" w:cstheme="majorBidi"/>
                <w:sz w:val="22"/>
                <w:szCs w:val="22"/>
              </w:rPr>
            </w:pPr>
            <w:r>
              <w:rPr>
                <w:rFonts w:asciiTheme="majorBidi" w:hAnsiTheme="majorBidi" w:cstheme="majorBidi"/>
                <w:color w:val="000000"/>
                <w:sz w:val="22"/>
                <w:szCs w:val="22"/>
              </w:rPr>
              <w:t>-0.02</w:t>
            </w:r>
          </w:p>
        </w:tc>
        <w:tc>
          <w:tcPr>
            <w:tcW w:w="1393" w:type="dxa"/>
            <w:vAlign w:val="bottom"/>
          </w:tcPr>
          <w:p w14:paraId="40CCCE36" w14:textId="29488A1D" w:rsidR="00AA654B" w:rsidRPr="008C6A7D" w:rsidRDefault="00A22923" w:rsidP="008C6A7D">
            <w:pPr>
              <w:jc w:val="center"/>
              <w:rPr>
                <w:rFonts w:asciiTheme="majorBidi" w:hAnsiTheme="majorBidi" w:cstheme="majorBidi"/>
                <w:sz w:val="22"/>
                <w:szCs w:val="22"/>
              </w:rPr>
            </w:pPr>
            <w:r>
              <w:rPr>
                <w:rFonts w:asciiTheme="majorBidi" w:hAnsiTheme="majorBidi" w:cstheme="majorBidi"/>
                <w:color w:val="000000"/>
                <w:sz w:val="22"/>
                <w:szCs w:val="22"/>
              </w:rPr>
              <w:t>0.07</w:t>
            </w:r>
          </w:p>
        </w:tc>
        <w:tc>
          <w:tcPr>
            <w:tcW w:w="1393" w:type="dxa"/>
            <w:vAlign w:val="bottom"/>
          </w:tcPr>
          <w:p w14:paraId="0C0FBA46" w14:textId="66F535A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0.17</w:t>
            </w:r>
            <w:r w:rsidR="008C6A7D" w:rsidRPr="00D876CC">
              <w:rPr>
                <w:sz w:val="22"/>
                <w:szCs w:val="22"/>
                <w:vertAlign w:val="superscript"/>
                <w:lang w:val="en-CA"/>
              </w:rPr>
              <w:t>**</w:t>
            </w:r>
          </w:p>
        </w:tc>
        <w:tc>
          <w:tcPr>
            <w:tcW w:w="1393" w:type="dxa"/>
            <w:vAlign w:val="bottom"/>
          </w:tcPr>
          <w:p w14:paraId="5269BBF0" w14:textId="09CBADA6"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0.22</w:t>
            </w:r>
            <w:r w:rsidR="008C6A7D" w:rsidRPr="00D876CC">
              <w:rPr>
                <w:sz w:val="22"/>
                <w:szCs w:val="22"/>
                <w:vertAlign w:val="superscript"/>
                <w:lang w:val="en-CA"/>
              </w:rPr>
              <w:t>**</w:t>
            </w:r>
          </w:p>
        </w:tc>
        <w:tc>
          <w:tcPr>
            <w:tcW w:w="1393" w:type="dxa"/>
            <w:vAlign w:val="bottom"/>
          </w:tcPr>
          <w:p w14:paraId="3D5BBBFB" w14:textId="2C21FF0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0.26</w:t>
            </w:r>
            <w:r w:rsidR="008C6A7D" w:rsidRPr="00D876CC">
              <w:rPr>
                <w:sz w:val="22"/>
                <w:szCs w:val="22"/>
                <w:vertAlign w:val="superscript"/>
                <w:lang w:val="en-CA"/>
              </w:rPr>
              <w:t>**</w:t>
            </w:r>
          </w:p>
        </w:tc>
      </w:tr>
      <w:tr w:rsidR="00AA654B" w14:paraId="156DBD1D" w14:textId="77777777" w:rsidTr="00D21C2E">
        <w:tc>
          <w:tcPr>
            <w:tcW w:w="1539" w:type="dxa"/>
          </w:tcPr>
          <w:p w14:paraId="34C15AB3" w14:textId="39D33768" w:rsidR="00AA654B" w:rsidRPr="00AA654B" w:rsidRDefault="00AA654B" w:rsidP="00AA654B">
            <w:pPr>
              <w:rPr>
                <w:b/>
                <w:bCs/>
                <w:sz w:val="22"/>
                <w:szCs w:val="22"/>
              </w:rPr>
            </w:pPr>
            <w:r w:rsidRPr="00AA654B">
              <w:rPr>
                <w:b/>
                <w:bCs/>
                <w:sz w:val="22"/>
                <w:szCs w:val="22"/>
              </w:rPr>
              <w:t>2 A articles</w:t>
            </w:r>
          </w:p>
        </w:tc>
        <w:tc>
          <w:tcPr>
            <w:tcW w:w="1392" w:type="dxa"/>
          </w:tcPr>
          <w:p w14:paraId="78C15BCB" w14:textId="77777777" w:rsidR="00AA654B" w:rsidRPr="008C6A7D" w:rsidRDefault="00AA654B" w:rsidP="008C6A7D">
            <w:pPr>
              <w:jc w:val="center"/>
              <w:rPr>
                <w:rFonts w:asciiTheme="majorBidi" w:hAnsiTheme="majorBidi" w:cstheme="majorBidi"/>
                <w:sz w:val="22"/>
                <w:szCs w:val="22"/>
              </w:rPr>
            </w:pPr>
          </w:p>
        </w:tc>
        <w:tc>
          <w:tcPr>
            <w:tcW w:w="1393" w:type="dxa"/>
          </w:tcPr>
          <w:p w14:paraId="2CEB61A0" w14:textId="77777777" w:rsidR="00AA654B" w:rsidRPr="008C6A7D" w:rsidRDefault="00AA654B" w:rsidP="008C6A7D">
            <w:pPr>
              <w:jc w:val="center"/>
              <w:rPr>
                <w:rFonts w:asciiTheme="majorBidi" w:hAnsiTheme="majorBidi" w:cstheme="majorBidi"/>
                <w:sz w:val="22"/>
                <w:szCs w:val="22"/>
              </w:rPr>
            </w:pPr>
          </w:p>
        </w:tc>
        <w:tc>
          <w:tcPr>
            <w:tcW w:w="1393" w:type="dxa"/>
          </w:tcPr>
          <w:p w14:paraId="5D0CF9BC" w14:textId="77777777" w:rsidR="00AA654B" w:rsidRPr="008C6A7D" w:rsidRDefault="00AA654B" w:rsidP="008C6A7D">
            <w:pPr>
              <w:jc w:val="center"/>
              <w:rPr>
                <w:rFonts w:asciiTheme="majorBidi" w:hAnsiTheme="majorBidi" w:cstheme="majorBidi"/>
                <w:sz w:val="22"/>
                <w:szCs w:val="22"/>
              </w:rPr>
            </w:pPr>
          </w:p>
        </w:tc>
        <w:tc>
          <w:tcPr>
            <w:tcW w:w="1393" w:type="dxa"/>
          </w:tcPr>
          <w:p w14:paraId="55D58D7E" w14:textId="77777777" w:rsidR="00AA654B" w:rsidRPr="008C6A7D" w:rsidRDefault="00AA654B" w:rsidP="008C6A7D">
            <w:pPr>
              <w:jc w:val="center"/>
              <w:rPr>
                <w:rFonts w:asciiTheme="majorBidi" w:hAnsiTheme="majorBidi" w:cstheme="majorBidi"/>
                <w:sz w:val="22"/>
                <w:szCs w:val="22"/>
              </w:rPr>
            </w:pPr>
          </w:p>
        </w:tc>
        <w:tc>
          <w:tcPr>
            <w:tcW w:w="1393" w:type="dxa"/>
          </w:tcPr>
          <w:p w14:paraId="7CA1FFB3" w14:textId="77777777" w:rsidR="00AA654B" w:rsidRPr="008C6A7D" w:rsidRDefault="00AA654B" w:rsidP="008C6A7D">
            <w:pPr>
              <w:jc w:val="center"/>
              <w:rPr>
                <w:rFonts w:asciiTheme="majorBidi" w:hAnsiTheme="majorBidi" w:cstheme="majorBidi"/>
                <w:sz w:val="22"/>
                <w:szCs w:val="22"/>
              </w:rPr>
            </w:pPr>
          </w:p>
        </w:tc>
        <w:tc>
          <w:tcPr>
            <w:tcW w:w="1393" w:type="dxa"/>
          </w:tcPr>
          <w:p w14:paraId="6DDB6990" w14:textId="77777777" w:rsidR="00AA654B" w:rsidRPr="008C6A7D" w:rsidRDefault="00AA654B" w:rsidP="008C6A7D">
            <w:pPr>
              <w:jc w:val="center"/>
              <w:rPr>
                <w:rFonts w:asciiTheme="majorBidi" w:hAnsiTheme="majorBidi" w:cstheme="majorBidi"/>
                <w:sz w:val="22"/>
                <w:szCs w:val="22"/>
              </w:rPr>
            </w:pPr>
          </w:p>
        </w:tc>
      </w:tr>
      <w:tr w:rsidR="00AA654B" w14:paraId="6BD7F4B9" w14:textId="77777777" w:rsidTr="00D21C2E">
        <w:tc>
          <w:tcPr>
            <w:tcW w:w="1539" w:type="dxa"/>
          </w:tcPr>
          <w:p w14:paraId="53F85366" w14:textId="69B273EE" w:rsidR="00AA654B" w:rsidRDefault="00AA654B" w:rsidP="00AA654B">
            <w:pPr>
              <w:rPr>
                <w:sz w:val="22"/>
                <w:szCs w:val="22"/>
              </w:rPr>
            </w:pPr>
            <w:r>
              <w:rPr>
                <w:sz w:val="22"/>
                <w:szCs w:val="22"/>
              </w:rPr>
              <w:t>Top 20</w:t>
            </w:r>
          </w:p>
        </w:tc>
        <w:tc>
          <w:tcPr>
            <w:tcW w:w="1392" w:type="dxa"/>
            <w:vAlign w:val="bottom"/>
          </w:tcPr>
          <w:p w14:paraId="78A45AAD" w14:textId="4861085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w:t>
            </w:r>
          </w:p>
        </w:tc>
        <w:tc>
          <w:tcPr>
            <w:tcW w:w="1393" w:type="dxa"/>
            <w:vAlign w:val="bottom"/>
          </w:tcPr>
          <w:p w14:paraId="54378AE5" w14:textId="4D8AED57"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2.22</w:t>
            </w:r>
          </w:p>
        </w:tc>
        <w:tc>
          <w:tcPr>
            <w:tcW w:w="1393" w:type="dxa"/>
            <w:vAlign w:val="bottom"/>
          </w:tcPr>
          <w:p w14:paraId="71D84A55" w14:textId="65C011B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2.43</w:t>
            </w:r>
          </w:p>
        </w:tc>
        <w:tc>
          <w:tcPr>
            <w:tcW w:w="1393" w:type="dxa"/>
            <w:vAlign w:val="bottom"/>
          </w:tcPr>
          <w:p w14:paraId="11A8823D" w14:textId="1474CE5C"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2.64</w:t>
            </w:r>
          </w:p>
        </w:tc>
        <w:tc>
          <w:tcPr>
            <w:tcW w:w="1393" w:type="dxa"/>
            <w:vAlign w:val="bottom"/>
          </w:tcPr>
          <w:p w14:paraId="08990C3F" w14:textId="601D6554"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2.91</w:t>
            </w:r>
          </w:p>
        </w:tc>
        <w:tc>
          <w:tcPr>
            <w:tcW w:w="1393" w:type="dxa"/>
            <w:vAlign w:val="bottom"/>
          </w:tcPr>
          <w:p w14:paraId="72777532" w14:textId="62C5336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3.1</w:t>
            </w:r>
          </w:p>
        </w:tc>
      </w:tr>
      <w:tr w:rsidR="00AA654B" w14:paraId="116A99CD" w14:textId="77777777" w:rsidTr="00D21C2E">
        <w:tc>
          <w:tcPr>
            <w:tcW w:w="1539" w:type="dxa"/>
          </w:tcPr>
          <w:p w14:paraId="6CA4A453" w14:textId="7E16521D" w:rsidR="00AA654B" w:rsidRDefault="00AA654B" w:rsidP="00AA654B">
            <w:pPr>
              <w:rPr>
                <w:sz w:val="22"/>
                <w:szCs w:val="22"/>
              </w:rPr>
            </w:pPr>
            <w:r>
              <w:rPr>
                <w:sz w:val="22"/>
                <w:szCs w:val="22"/>
              </w:rPr>
              <w:t>Top 51-100</w:t>
            </w:r>
          </w:p>
        </w:tc>
        <w:tc>
          <w:tcPr>
            <w:tcW w:w="1392" w:type="dxa"/>
            <w:vAlign w:val="bottom"/>
          </w:tcPr>
          <w:p w14:paraId="0340FCCA" w14:textId="201A8F90"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w:t>
            </w:r>
          </w:p>
        </w:tc>
        <w:tc>
          <w:tcPr>
            <w:tcW w:w="1393" w:type="dxa"/>
            <w:vAlign w:val="bottom"/>
          </w:tcPr>
          <w:p w14:paraId="6F2E95F1" w14:textId="36025BC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2.17</w:t>
            </w:r>
          </w:p>
        </w:tc>
        <w:tc>
          <w:tcPr>
            <w:tcW w:w="1393" w:type="dxa"/>
            <w:vAlign w:val="bottom"/>
          </w:tcPr>
          <w:p w14:paraId="693B201C" w14:textId="1386F02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2.26</w:t>
            </w:r>
          </w:p>
        </w:tc>
        <w:tc>
          <w:tcPr>
            <w:tcW w:w="1393" w:type="dxa"/>
            <w:vAlign w:val="bottom"/>
          </w:tcPr>
          <w:p w14:paraId="1C4BAFC3" w14:textId="3AB7D75E"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2.47</w:t>
            </w:r>
          </w:p>
        </w:tc>
        <w:tc>
          <w:tcPr>
            <w:tcW w:w="1393" w:type="dxa"/>
            <w:vAlign w:val="bottom"/>
          </w:tcPr>
          <w:p w14:paraId="1EA27A4C" w14:textId="39CE0AC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2.7</w:t>
            </w:r>
          </w:p>
        </w:tc>
        <w:tc>
          <w:tcPr>
            <w:tcW w:w="1393" w:type="dxa"/>
            <w:vAlign w:val="bottom"/>
          </w:tcPr>
          <w:p w14:paraId="5A3A80C3" w14:textId="307FBDF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2.91</w:t>
            </w:r>
          </w:p>
        </w:tc>
      </w:tr>
      <w:tr w:rsidR="00AA654B" w14:paraId="56BAC630" w14:textId="77777777" w:rsidTr="00D21C2E">
        <w:tc>
          <w:tcPr>
            <w:tcW w:w="1539" w:type="dxa"/>
          </w:tcPr>
          <w:p w14:paraId="55E7CE24" w14:textId="39592EE0" w:rsidR="00AA654B" w:rsidRDefault="00AA654B" w:rsidP="00AA654B">
            <w:pPr>
              <w:rPr>
                <w:sz w:val="22"/>
                <w:szCs w:val="22"/>
              </w:rPr>
            </w:pPr>
            <w:r>
              <w:rPr>
                <w:sz w:val="22"/>
                <w:szCs w:val="22"/>
              </w:rPr>
              <w:t>Difference</w:t>
            </w:r>
          </w:p>
        </w:tc>
        <w:tc>
          <w:tcPr>
            <w:tcW w:w="1392" w:type="dxa"/>
            <w:vAlign w:val="bottom"/>
          </w:tcPr>
          <w:p w14:paraId="38DC0E79" w14:textId="48FA1609" w:rsidR="00AA654B" w:rsidRPr="008C6A7D" w:rsidRDefault="008C6A7D" w:rsidP="008C6A7D">
            <w:pPr>
              <w:jc w:val="center"/>
              <w:rPr>
                <w:rFonts w:asciiTheme="majorBidi" w:hAnsiTheme="majorBidi" w:cstheme="majorBidi"/>
                <w:sz w:val="22"/>
                <w:szCs w:val="22"/>
              </w:rPr>
            </w:pPr>
            <w:r>
              <w:rPr>
                <w:rFonts w:asciiTheme="majorBidi" w:hAnsiTheme="majorBidi" w:cstheme="majorBidi"/>
                <w:color w:val="000000"/>
                <w:sz w:val="22"/>
                <w:szCs w:val="22"/>
              </w:rPr>
              <w:t>0</w:t>
            </w:r>
          </w:p>
        </w:tc>
        <w:tc>
          <w:tcPr>
            <w:tcW w:w="1393" w:type="dxa"/>
            <w:vAlign w:val="bottom"/>
          </w:tcPr>
          <w:p w14:paraId="6D24182A" w14:textId="0328C4C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0.05</w:t>
            </w:r>
            <w:r w:rsidR="008C6A7D" w:rsidRPr="00D876CC">
              <w:rPr>
                <w:sz w:val="22"/>
                <w:szCs w:val="22"/>
                <w:vertAlign w:val="superscript"/>
                <w:lang w:val="en-CA"/>
              </w:rPr>
              <w:t>**</w:t>
            </w:r>
          </w:p>
        </w:tc>
        <w:tc>
          <w:tcPr>
            <w:tcW w:w="1393" w:type="dxa"/>
            <w:vAlign w:val="bottom"/>
          </w:tcPr>
          <w:p w14:paraId="1CBFE5CA" w14:textId="437045CC"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0.17</w:t>
            </w:r>
          </w:p>
        </w:tc>
        <w:tc>
          <w:tcPr>
            <w:tcW w:w="1393" w:type="dxa"/>
            <w:vAlign w:val="bottom"/>
          </w:tcPr>
          <w:p w14:paraId="08DF4AD5" w14:textId="2C1D9EF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0.17</w:t>
            </w:r>
            <w:r w:rsidR="008C6A7D" w:rsidRPr="00D876CC">
              <w:rPr>
                <w:sz w:val="22"/>
                <w:szCs w:val="22"/>
                <w:vertAlign w:val="superscript"/>
                <w:lang w:val="en-CA"/>
              </w:rPr>
              <w:t>*</w:t>
            </w:r>
          </w:p>
        </w:tc>
        <w:tc>
          <w:tcPr>
            <w:tcW w:w="1393" w:type="dxa"/>
            <w:vAlign w:val="bottom"/>
          </w:tcPr>
          <w:p w14:paraId="794675B0" w14:textId="56F2260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0.21</w:t>
            </w:r>
            <w:r w:rsidR="008C6A7D" w:rsidRPr="00D876CC">
              <w:rPr>
                <w:sz w:val="22"/>
                <w:szCs w:val="22"/>
                <w:vertAlign w:val="superscript"/>
                <w:lang w:val="en-CA"/>
              </w:rPr>
              <w:t>**</w:t>
            </w:r>
          </w:p>
        </w:tc>
        <w:tc>
          <w:tcPr>
            <w:tcW w:w="1393" w:type="dxa"/>
            <w:vAlign w:val="bottom"/>
          </w:tcPr>
          <w:p w14:paraId="1F1DD681" w14:textId="22AA391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0.19</w:t>
            </w:r>
            <w:r w:rsidR="008C6A7D" w:rsidRPr="00D876CC">
              <w:rPr>
                <w:sz w:val="22"/>
                <w:szCs w:val="22"/>
                <w:vertAlign w:val="superscript"/>
                <w:lang w:val="en-CA"/>
              </w:rPr>
              <w:t>***</w:t>
            </w:r>
          </w:p>
        </w:tc>
      </w:tr>
      <w:tr w:rsidR="00AA654B" w14:paraId="1300FCD7" w14:textId="77777777" w:rsidTr="00D21C2E">
        <w:tc>
          <w:tcPr>
            <w:tcW w:w="1539" w:type="dxa"/>
          </w:tcPr>
          <w:p w14:paraId="6F6ED1F6" w14:textId="54E86778" w:rsidR="00AA654B" w:rsidRPr="00AA654B" w:rsidRDefault="00AA654B" w:rsidP="00AA654B">
            <w:pPr>
              <w:rPr>
                <w:b/>
                <w:bCs/>
                <w:sz w:val="22"/>
                <w:szCs w:val="22"/>
              </w:rPr>
            </w:pPr>
            <w:r w:rsidRPr="00AA654B">
              <w:rPr>
                <w:b/>
                <w:bCs/>
                <w:sz w:val="22"/>
                <w:szCs w:val="22"/>
              </w:rPr>
              <w:t>3 A articles</w:t>
            </w:r>
          </w:p>
        </w:tc>
        <w:tc>
          <w:tcPr>
            <w:tcW w:w="1392" w:type="dxa"/>
          </w:tcPr>
          <w:p w14:paraId="0979B179" w14:textId="77777777" w:rsidR="00AA654B" w:rsidRPr="008C6A7D" w:rsidRDefault="00AA654B" w:rsidP="008C6A7D">
            <w:pPr>
              <w:jc w:val="center"/>
              <w:rPr>
                <w:rFonts w:asciiTheme="majorBidi" w:hAnsiTheme="majorBidi" w:cstheme="majorBidi"/>
                <w:sz w:val="22"/>
                <w:szCs w:val="22"/>
              </w:rPr>
            </w:pPr>
          </w:p>
        </w:tc>
        <w:tc>
          <w:tcPr>
            <w:tcW w:w="1393" w:type="dxa"/>
          </w:tcPr>
          <w:p w14:paraId="1C9A200A" w14:textId="77777777" w:rsidR="00AA654B" w:rsidRPr="008C6A7D" w:rsidRDefault="00AA654B" w:rsidP="008C6A7D">
            <w:pPr>
              <w:jc w:val="center"/>
              <w:rPr>
                <w:rFonts w:asciiTheme="majorBidi" w:hAnsiTheme="majorBidi" w:cstheme="majorBidi"/>
                <w:sz w:val="22"/>
                <w:szCs w:val="22"/>
              </w:rPr>
            </w:pPr>
          </w:p>
        </w:tc>
        <w:tc>
          <w:tcPr>
            <w:tcW w:w="1393" w:type="dxa"/>
          </w:tcPr>
          <w:p w14:paraId="5FCBD222" w14:textId="77777777" w:rsidR="00AA654B" w:rsidRPr="008C6A7D" w:rsidRDefault="00AA654B" w:rsidP="008C6A7D">
            <w:pPr>
              <w:jc w:val="center"/>
              <w:rPr>
                <w:rFonts w:asciiTheme="majorBidi" w:hAnsiTheme="majorBidi" w:cstheme="majorBidi"/>
                <w:sz w:val="22"/>
                <w:szCs w:val="22"/>
              </w:rPr>
            </w:pPr>
          </w:p>
        </w:tc>
        <w:tc>
          <w:tcPr>
            <w:tcW w:w="1393" w:type="dxa"/>
          </w:tcPr>
          <w:p w14:paraId="29494C87" w14:textId="77777777" w:rsidR="00AA654B" w:rsidRPr="008C6A7D" w:rsidRDefault="00AA654B" w:rsidP="008C6A7D">
            <w:pPr>
              <w:jc w:val="center"/>
              <w:rPr>
                <w:rFonts w:asciiTheme="majorBidi" w:hAnsiTheme="majorBidi" w:cstheme="majorBidi"/>
                <w:sz w:val="22"/>
                <w:szCs w:val="22"/>
              </w:rPr>
            </w:pPr>
          </w:p>
        </w:tc>
        <w:tc>
          <w:tcPr>
            <w:tcW w:w="1393" w:type="dxa"/>
          </w:tcPr>
          <w:p w14:paraId="7C099947" w14:textId="77777777" w:rsidR="00AA654B" w:rsidRPr="008C6A7D" w:rsidRDefault="00AA654B" w:rsidP="008C6A7D">
            <w:pPr>
              <w:jc w:val="center"/>
              <w:rPr>
                <w:rFonts w:asciiTheme="majorBidi" w:hAnsiTheme="majorBidi" w:cstheme="majorBidi"/>
                <w:sz w:val="22"/>
                <w:szCs w:val="22"/>
              </w:rPr>
            </w:pPr>
          </w:p>
        </w:tc>
        <w:tc>
          <w:tcPr>
            <w:tcW w:w="1393" w:type="dxa"/>
          </w:tcPr>
          <w:p w14:paraId="174A2884" w14:textId="77777777" w:rsidR="00AA654B" w:rsidRPr="008C6A7D" w:rsidRDefault="00AA654B" w:rsidP="008C6A7D">
            <w:pPr>
              <w:jc w:val="center"/>
              <w:rPr>
                <w:rFonts w:asciiTheme="majorBidi" w:hAnsiTheme="majorBidi" w:cstheme="majorBidi"/>
                <w:sz w:val="22"/>
                <w:szCs w:val="22"/>
              </w:rPr>
            </w:pPr>
          </w:p>
        </w:tc>
      </w:tr>
      <w:tr w:rsidR="00AA654B" w14:paraId="659DC930" w14:textId="77777777" w:rsidTr="00D21C2E">
        <w:tc>
          <w:tcPr>
            <w:tcW w:w="1539" w:type="dxa"/>
          </w:tcPr>
          <w:p w14:paraId="5FE1BE65" w14:textId="5B311830" w:rsidR="00AA654B" w:rsidRDefault="00AA654B" w:rsidP="00AA654B">
            <w:pPr>
              <w:rPr>
                <w:sz w:val="22"/>
                <w:szCs w:val="22"/>
              </w:rPr>
            </w:pPr>
            <w:r>
              <w:rPr>
                <w:sz w:val="22"/>
                <w:szCs w:val="22"/>
              </w:rPr>
              <w:t>Top 20</w:t>
            </w:r>
          </w:p>
        </w:tc>
        <w:tc>
          <w:tcPr>
            <w:tcW w:w="1392" w:type="dxa"/>
            <w:vAlign w:val="bottom"/>
          </w:tcPr>
          <w:p w14:paraId="7252078C" w14:textId="2F954C0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w:t>
            </w:r>
          </w:p>
        </w:tc>
        <w:tc>
          <w:tcPr>
            <w:tcW w:w="1393" w:type="dxa"/>
            <w:vAlign w:val="bottom"/>
          </w:tcPr>
          <w:p w14:paraId="4FF8846A" w14:textId="0D92DF4C"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3.38</w:t>
            </w:r>
          </w:p>
        </w:tc>
        <w:tc>
          <w:tcPr>
            <w:tcW w:w="1393" w:type="dxa"/>
            <w:vAlign w:val="bottom"/>
          </w:tcPr>
          <w:p w14:paraId="0BFCA868" w14:textId="568D1AE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3.73</w:t>
            </w:r>
          </w:p>
        </w:tc>
        <w:tc>
          <w:tcPr>
            <w:tcW w:w="1393" w:type="dxa"/>
            <w:vAlign w:val="bottom"/>
          </w:tcPr>
          <w:p w14:paraId="76D565B6" w14:textId="7E4E2E3D"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4.04</w:t>
            </w:r>
          </w:p>
        </w:tc>
        <w:tc>
          <w:tcPr>
            <w:tcW w:w="1393" w:type="dxa"/>
            <w:vAlign w:val="bottom"/>
          </w:tcPr>
          <w:p w14:paraId="73ABDF57" w14:textId="1850D2F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4.39</w:t>
            </w:r>
          </w:p>
        </w:tc>
        <w:tc>
          <w:tcPr>
            <w:tcW w:w="1393" w:type="dxa"/>
            <w:vAlign w:val="bottom"/>
          </w:tcPr>
          <w:p w14:paraId="23A3FFEC" w14:textId="6FB9604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4.7</w:t>
            </w:r>
          </w:p>
        </w:tc>
      </w:tr>
      <w:tr w:rsidR="00AA654B" w14:paraId="5A786FED" w14:textId="77777777" w:rsidTr="00D21C2E">
        <w:tc>
          <w:tcPr>
            <w:tcW w:w="1539" w:type="dxa"/>
          </w:tcPr>
          <w:p w14:paraId="7354AE92" w14:textId="0579D8B6" w:rsidR="00AA654B" w:rsidRDefault="00AA654B" w:rsidP="00AA654B">
            <w:pPr>
              <w:rPr>
                <w:sz w:val="22"/>
                <w:szCs w:val="22"/>
              </w:rPr>
            </w:pPr>
            <w:r>
              <w:rPr>
                <w:sz w:val="22"/>
                <w:szCs w:val="22"/>
              </w:rPr>
              <w:t>Top 51-100</w:t>
            </w:r>
          </w:p>
        </w:tc>
        <w:tc>
          <w:tcPr>
            <w:tcW w:w="1392" w:type="dxa"/>
            <w:vAlign w:val="bottom"/>
          </w:tcPr>
          <w:p w14:paraId="12BA1885" w14:textId="56AC2F46"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w:t>
            </w:r>
          </w:p>
        </w:tc>
        <w:tc>
          <w:tcPr>
            <w:tcW w:w="1393" w:type="dxa"/>
            <w:vAlign w:val="bottom"/>
          </w:tcPr>
          <w:p w14:paraId="084B5500" w14:textId="269E76C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3.17</w:t>
            </w:r>
          </w:p>
        </w:tc>
        <w:tc>
          <w:tcPr>
            <w:tcW w:w="1393" w:type="dxa"/>
            <w:vAlign w:val="bottom"/>
          </w:tcPr>
          <w:p w14:paraId="4D089AB2" w14:textId="283FB52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3.37</w:t>
            </w:r>
          </w:p>
        </w:tc>
        <w:tc>
          <w:tcPr>
            <w:tcW w:w="1393" w:type="dxa"/>
            <w:vAlign w:val="bottom"/>
          </w:tcPr>
          <w:p w14:paraId="5E237342" w14:textId="2F1501CB"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3.61</w:t>
            </w:r>
          </w:p>
        </w:tc>
        <w:tc>
          <w:tcPr>
            <w:tcW w:w="1393" w:type="dxa"/>
            <w:vAlign w:val="bottom"/>
          </w:tcPr>
          <w:p w14:paraId="11098797" w14:textId="53F288C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3.85</w:t>
            </w:r>
          </w:p>
        </w:tc>
        <w:tc>
          <w:tcPr>
            <w:tcW w:w="1393" w:type="dxa"/>
            <w:vAlign w:val="bottom"/>
          </w:tcPr>
          <w:p w14:paraId="35A372D0" w14:textId="1A7752A8"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3.93</w:t>
            </w:r>
          </w:p>
        </w:tc>
      </w:tr>
      <w:tr w:rsidR="00AA654B" w14:paraId="03BE72B2" w14:textId="77777777" w:rsidTr="00D21C2E">
        <w:tc>
          <w:tcPr>
            <w:tcW w:w="1539" w:type="dxa"/>
          </w:tcPr>
          <w:p w14:paraId="60AC6DBF" w14:textId="2E7B677B" w:rsidR="00AA654B" w:rsidRDefault="00AA654B" w:rsidP="00AA654B">
            <w:pPr>
              <w:rPr>
                <w:sz w:val="22"/>
                <w:szCs w:val="22"/>
              </w:rPr>
            </w:pPr>
            <w:r>
              <w:rPr>
                <w:sz w:val="22"/>
                <w:szCs w:val="22"/>
              </w:rPr>
              <w:t>Difference</w:t>
            </w:r>
          </w:p>
        </w:tc>
        <w:tc>
          <w:tcPr>
            <w:tcW w:w="1392" w:type="dxa"/>
            <w:vAlign w:val="bottom"/>
          </w:tcPr>
          <w:p w14:paraId="51FB1393" w14:textId="6159A861" w:rsidR="00AA654B" w:rsidRPr="008C6A7D" w:rsidRDefault="008C6A7D" w:rsidP="008C6A7D">
            <w:pPr>
              <w:jc w:val="center"/>
              <w:rPr>
                <w:rFonts w:asciiTheme="majorBidi" w:hAnsiTheme="majorBidi" w:cstheme="majorBidi"/>
                <w:sz w:val="22"/>
                <w:szCs w:val="22"/>
              </w:rPr>
            </w:pPr>
            <w:r>
              <w:rPr>
                <w:rFonts w:asciiTheme="majorBidi" w:hAnsiTheme="majorBidi" w:cstheme="majorBidi"/>
                <w:color w:val="000000"/>
                <w:sz w:val="22"/>
                <w:szCs w:val="22"/>
              </w:rPr>
              <w:t>0</w:t>
            </w:r>
          </w:p>
        </w:tc>
        <w:tc>
          <w:tcPr>
            <w:tcW w:w="1393" w:type="dxa"/>
            <w:vAlign w:val="bottom"/>
          </w:tcPr>
          <w:p w14:paraId="282ACA6B" w14:textId="377C142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0.21</w:t>
            </w:r>
            <w:r w:rsidR="008C6A7D" w:rsidRPr="00D876CC">
              <w:rPr>
                <w:sz w:val="22"/>
                <w:szCs w:val="22"/>
                <w:vertAlign w:val="superscript"/>
                <w:lang w:val="en-CA"/>
              </w:rPr>
              <w:t>**</w:t>
            </w:r>
          </w:p>
        </w:tc>
        <w:tc>
          <w:tcPr>
            <w:tcW w:w="1393" w:type="dxa"/>
            <w:vAlign w:val="bottom"/>
          </w:tcPr>
          <w:p w14:paraId="0CA42073" w14:textId="7C65EB3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0.36</w:t>
            </w:r>
            <w:r w:rsidR="008C6A7D" w:rsidRPr="00D876CC">
              <w:rPr>
                <w:sz w:val="22"/>
                <w:szCs w:val="22"/>
                <w:vertAlign w:val="superscript"/>
                <w:lang w:val="en-CA"/>
              </w:rPr>
              <w:t>**</w:t>
            </w:r>
          </w:p>
        </w:tc>
        <w:tc>
          <w:tcPr>
            <w:tcW w:w="1393" w:type="dxa"/>
            <w:vAlign w:val="bottom"/>
          </w:tcPr>
          <w:p w14:paraId="0F7D8A63" w14:textId="386C976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0.43</w:t>
            </w:r>
            <w:r w:rsidR="008C6A7D" w:rsidRPr="00D876CC">
              <w:rPr>
                <w:sz w:val="22"/>
                <w:szCs w:val="22"/>
                <w:vertAlign w:val="superscript"/>
                <w:lang w:val="en-CA"/>
              </w:rPr>
              <w:t>**</w:t>
            </w:r>
          </w:p>
        </w:tc>
        <w:tc>
          <w:tcPr>
            <w:tcW w:w="1393" w:type="dxa"/>
            <w:vAlign w:val="bottom"/>
          </w:tcPr>
          <w:p w14:paraId="5E32AAB1" w14:textId="77FCEBC5"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0.54</w:t>
            </w:r>
            <w:r w:rsidR="008C6A7D" w:rsidRPr="00D876CC">
              <w:rPr>
                <w:sz w:val="22"/>
                <w:szCs w:val="22"/>
                <w:vertAlign w:val="superscript"/>
                <w:lang w:val="en-CA"/>
              </w:rPr>
              <w:t>**</w:t>
            </w:r>
          </w:p>
        </w:tc>
        <w:tc>
          <w:tcPr>
            <w:tcW w:w="1393" w:type="dxa"/>
            <w:vAlign w:val="bottom"/>
          </w:tcPr>
          <w:p w14:paraId="58CB2104" w14:textId="3CEDE09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0.77</w:t>
            </w:r>
            <w:r w:rsidR="008C6A7D" w:rsidRPr="00D876CC">
              <w:rPr>
                <w:sz w:val="22"/>
                <w:szCs w:val="22"/>
                <w:vertAlign w:val="superscript"/>
                <w:lang w:val="en-CA"/>
              </w:rPr>
              <w:t>***</w:t>
            </w:r>
          </w:p>
        </w:tc>
      </w:tr>
      <w:tr w:rsidR="00AA654B" w14:paraId="7B3C9C6E" w14:textId="77777777" w:rsidTr="00D21C2E">
        <w:tc>
          <w:tcPr>
            <w:tcW w:w="1539" w:type="dxa"/>
          </w:tcPr>
          <w:p w14:paraId="5A0E2C5B" w14:textId="33EEB44D" w:rsidR="00AA654B" w:rsidRPr="00AA654B" w:rsidRDefault="00AA654B" w:rsidP="00AA654B">
            <w:pPr>
              <w:rPr>
                <w:b/>
                <w:bCs/>
                <w:sz w:val="22"/>
                <w:szCs w:val="22"/>
              </w:rPr>
            </w:pPr>
            <w:r w:rsidRPr="00AA654B">
              <w:rPr>
                <w:b/>
                <w:bCs/>
                <w:sz w:val="22"/>
                <w:szCs w:val="22"/>
              </w:rPr>
              <w:t>4 A articles</w:t>
            </w:r>
          </w:p>
        </w:tc>
        <w:tc>
          <w:tcPr>
            <w:tcW w:w="1392" w:type="dxa"/>
          </w:tcPr>
          <w:p w14:paraId="6CC89392" w14:textId="77777777" w:rsidR="00AA654B" w:rsidRPr="008C6A7D" w:rsidRDefault="00AA654B" w:rsidP="008C6A7D">
            <w:pPr>
              <w:jc w:val="center"/>
              <w:rPr>
                <w:rFonts w:asciiTheme="majorBidi" w:hAnsiTheme="majorBidi" w:cstheme="majorBidi"/>
                <w:sz w:val="22"/>
                <w:szCs w:val="22"/>
              </w:rPr>
            </w:pPr>
          </w:p>
        </w:tc>
        <w:tc>
          <w:tcPr>
            <w:tcW w:w="1393" w:type="dxa"/>
          </w:tcPr>
          <w:p w14:paraId="65D2332F" w14:textId="77777777" w:rsidR="00AA654B" w:rsidRPr="008C6A7D" w:rsidRDefault="00AA654B" w:rsidP="008C6A7D">
            <w:pPr>
              <w:jc w:val="center"/>
              <w:rPr>
                <w:rFonts w:asciiTheme="majorBidi" w:hAnsiTheme="majorBidi" w:cstheme="majorBidi"/>
                <w:sz w:val="22"/>
                <w:szCs w:val="22"/>
              </w:rPr>
            </w:pPr>
          </w:p>
        </w:tc>
        <w:tc>
          <w:tcPr>
            <w:tcW w:w="1393" w:type="dxa"/>
          </w:tcPr>
          <w:p w14:paraId="4C0288AF" w14:textId="77777777" w:rsidR="00AA654B" w:rsidRPr="008C6A7D" w:rsidRDefault="00AA654B" w:rsidP="008C6A7D">
            <w:pPr>
              <w:jc w:val="center"/>
              <w:rPr>
                <w:rFonts w:asciiTheme="majorBidi" w:hAnsiTheme="majorBidi" w:cstheme="majorBidi"/>
                <w:sz w:val="22"/>
                <w:szCs w:val="22"/>
              </w:rPr>
            </w:pPr>
          </w:p>
        </w:tc>
        <w:tc>
          <w:tcPr>
            <w:tcW w:w="1393" w:type="dxa"/>
          </w:tcPr>
          <w:p w14:paraId="18429005" w14:textId="77777777" w:rsidR="00AA654B" w:rsidRPr="008C6A7D" w:rsidRDefault="00AA654B" w:rsidP="008C6A7D">
            <w:pPr>
              <w:jc w:val="center"/>
              <w:rPr>
                <w:rFonts w:asciiTheme="majorBidi" w:hAnsiTheme="majorBidi" w:cstheme="majorBidi"/>
                <w:sz w:val="22"/>
                <w:szCs w:val="22"/>
              </w:rPr>
            </w:pPr>
          </w:p>
        </w:tc>
        <w:tc>
          <w:tcPr>
            <w:tcW w:w="1393" w:type="dxa"/>
          </w:tcPr>
          <w:p w14:paraId="4C9BDF9D" w14:textId="77777777" w:rsidR="00AA654B" w:rsidRPr="008C6A7D" w:rsidRDefault="00AA654B" w:rsidP="008C6A7D">
            <w:pPr>
              <w:jc w:val="center"/>
              <w:rPr>
                <w:rFonts w:asciiTheme="majorBidi" w:hAnsiTheme="majorBidi" w:cstheme="majorBidi"/>
                <w:sz w:val="22"/>
                <w:szCs w:val="22"/>
              </w:rPr>
            </w:pPr>
          </w:p>
        </w:tc>
        <w:tc>
          <w:tcPr>
            <w:tcW w:w="1393" w:type="dxa"/>
          </w:tcPr>
          <w:p w14:paraId="12DE7509" w14:textId="77777777" w:rsidR="00AA654B" w:rsidRPr="008C6A7D" w:rsidRDefault="00AA654B" w:rsidP="008C6A7D">
            <w:pPr>
              <w:jc w:val="center"/>
              <w:rPr>
                <w:rFonts w:asciiTheme="majorBidi" w:hAnsiTheme="majorBidi" w:cstheme="majorBidi"/>
                <w:sz w:val="22"/>
                <w:szCs w:val="22"/>
              </w:rPr>
            </w:pPr>
          </w:p>
        </w:tc>
      </w:tr>
      <w:tr w:rsidR="00AA654B" w14:paraId="56647E67" w14:textId="77777777" w:rsidTr="00D21C2E">
        <w:tc>
          <w:tcPr>
            <w:tcW w:w="1539" w:type="dxa"/>
          </w:tcPr>
          <w:p w14:paraId="0C69823B" w14:textId="2C72765B" w:rsidR="00AA654B" w:rsidRDefault="00AA654B" w:rsidP="00AA654B">
            <w:pPr>
              <w:rPr>
                <w:sz w:val="22"/>
                <w:szCs w:val="22"/>
              </w:rPr>
            </w:pPr>
            <w:r>
              <w:rPr>
                <w:sz w:val="22"/>
                <w:szCs w:val="22"/>
              </w:rPr>
              <w:t>Top 20</w:t>
            </w:r>
          </w:p>
        </w:tc>
        <w:tc>
          <w:tcPr>
            <w:tcW w:w="1392" w:type="dxa"/>
            <w:vAlign w:val="bottom"/>
          </w:tcPr>
          <w:p w14:paraId="46B5D9F7" w14:textId="21597EB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w:t>
            </w:r>
          </w:p>
        </w:tc>
        <w:tc>
          <w:tcPr>
            <w:tcW w:w="1393" w:type="dxa"/>
            <w:vAlign w:val="bottom"/>
          </w:tcPr>
          <w:p w14:paraId="4977ABFA" w14:textId="015E525A"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4.61</w:t>
            </w:r>
          </w:p>
        </w:tc>
        <w:tc>
          <w:tcPr>
            <w:tcW w:w="1393" w:type="dxa"/>
            <w:vAlign w:val="bottom"/>
          </w:tcPr>
          <w:p w14:paraId="0F0D6818" w14:textId="1A89F87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4.97</w:t>
            </w:r>
          </w:p>
        </w:tc>
        <w:tc>
          <w:tcPr>
            <w:tcW w:w="1393" w:type="dxa"/>
            <w:vAlign w:val="bottom"/>
          </w:tcPr>
          <w:p w14:paraId="105F2522" w14:textId="3A0D1EA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5.45</w:t>
            </w:r>
          </w:p>
        </w:tc>
        <w:tc>
          <w:tcPr>
            <w:tcW w:w="1393" w:type="dxa"/>
            <w:vAlign w:val="bottom"/>
          </w:tcPr>
          <w:p w14:paraId="2D20369C" w14:textId="245CFD70"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5.77</w:t>
            </w:r>
          </w:p>
        </w:tc>
        <w:tc>
          <w:tcPr>
            <w:tcW w:w="1393" w:type="dxa"/>
            <w:vAlign w:val="bottom"/>
          </w:tcPr>
          <w:p w14:paraId="47DBCD6C" w14:textId="1E7385E9"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6.25</w:t>
            </w:r>
          </w:p>
        </w:tc>
      </w:tr>
      <w:tr w:rsidR="00AA654B" w14:paraId="684C3202" w14:textId="77777777" w:rsidTr="00D21C2E">
        <w:tc>
          <w:tcPr>
            <w:tcW w:w="1539" w:type="dxa"/>
          </w:tcPr>
          <w:p w14:paraId="6279ECF3" w14:textId="3E334B50" w:rsidR="00AA654B" w:rsidRDefault="00AA654B" w:rsidP="00AA654B">
            <w:pPr>
              <w:rPr>
                <w:sz w:val="22"/>
                <w:szCs w:val="22"/>
              </w:rPr>
            </w:pPr>
            <w:r>
              <w:rPr>
                <w:sz w:val="22"/>
                <w:szCs w:val="22"/>
              </w:rPr>
              <w:t>Top 51-100</w:t>
            </w:r>
          </w:p>
        </w:tc>
        <w:tc>
          <w:tcPr>
            <w:tcW w:w="1392" w:type="dxa"/>
            <w:vAlign w:val="bottom"/>
          </w:tcPr>
          <w:p w14:paraId="7A840BCD" w14:textId="6EEB35B4"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w:t>
            </w:r>
          </w:p>
        </w:tc>
        <w:tc>
          <w:tcPr>
            <w:tcW w:w="1393" w:type="dxa"/>
            <w:vAlign w:val="bottom"/>
          </w:tcPr>
          <w:p w14:paraId="36C5BC65" w14:textId="507838CB"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4.29</w:t>
            </w:r>
          </w:p>
        </w:tc>
        <w:tc>
          <w:tcPr>
            <w:tcW w:w="1393" w:type="dxa"/>
            <w:vAlign w:val="bottom"/>
          </w:tcPr>
          <w:p w14:paraId="5AD95185" w14:textId="2F27AE12"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4.47</w:t>
            </w:r>
          </w:p>
        </w:tc>
        <w:tc>
          <w:tcPr>
            <w:tcW w:w="1393" w:type="dxa"/>
            <w:vAlign w:val="bottom"/>
          </w:tcPr>
          <w:p w14:paraId="5E194B8F" w14:textId="204DB8B7"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4.65</w:t>
            </w:r>
          </w:p>
        </w:tc>
        <w:tc>
          <w:tcPr>
            <w:tcW w:w="1393" w:type="dxa"/>
            <w:vAlign w:val="bottom"/>
          </w:tcPr>
          <w:p w14:paraId="0B748A8A" w14:textId="60B40597"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4.88</w:t>
            </w:r>
          </w:p>
        </w:tc>
        <w:tc>
          <w:tcPr>
            <w:tcW w:w="1393" w:type="dxa"/>
            <w:vAlign w:val="bottom"/>
          </w:tcPr>
          <w:p w14:paraId="10F37E97" w14:textId="75476C23"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5.35</w:t>
            </w:r>
          </w:p>
        </w:tc>
      </w:tr>
      <w:tr w:rsidR="00AA654B" w14:paraId="1C937AA2" w14:textId="77777777" w:rsidTr="00D21C2E">
        <w:tc>
          <w:tcPr>
            <w:tcW w:w="1539" w:type="dxa"/>
          </w:tcPr>
          <w:p w14:paraId="09844921" w14:textId="60D447E8" w:rsidR="00AA654B" w:rsidRDefault="00AA654B" w:rsidP="00AA654B">
            <w:pPr>
              <w:rPr>
                <w:sz w:val="22"/>
                <w:szCs w:val="22"/>
              </w:rPr>
            </w:pPr>
            <w:r>
              <w:rPr>
                <w:sz w:val="22"/>
                <w:szCs w:val="22"/>
              </w:rPr>
              <w:t>Difference</w:t>
            </w:r>
          </w:p>
        </w:tc>
        <w:tc>
          <w:tcPr>
            <w:tcW w:w="1392" w:type="dxa"/>
            <w:vAlign w:val="bottom"/>
          </w:tcPr>
          <w:p w14:paraId="32F62419" w14:textId="003B0C3F" w:rsidR="00AA654B" w:rsidRPr="008C6A7D" w:rsidRDefault="008C6A7D" w:rsidP="008C6A7D">
            <w:pPr>
              <w:jc w:val="center"/>
              <w:rPr>
                <w:rFonts w:asciiTheme="majorBidi" w:hAnsiTheme="majorBidi" w:cstheme="majorBidi"/>
                <w:sz w:val="22"/>
                <w:szCs w:val="22"/>
              </w:rPr>
            </w:pPr>
            <w:r>
              <w:rPr>
                <w:rFonts w:asciiTheme="majorBidi" w:hAnsiTheme="majorBidi" w:cstheme="majorBidi"/>
                <w:color w:val="000000"/>
                <w:sz w:val="22"/>
                <w:szCs w:val="22"/>
              </w:rPr>
              <w:t>0</w:t>
            </w:r>
          </w:p>
        </w:tc>
        <w:tc>
          <w:tcPr>
            <w:tcW w:w="1393" w:type="dxa"/>
            <w:vAlign w:val="bottom"/>
          </w:tcPr>
          <w:p w14:paraId="27D393E6" w14:textId="1B23A9BE"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0.32</w:t>
            </w:r>
          </w:p>
        </w:tc>
        <w:tc>
          <w:tcPr>
            <w:tcW w:w="1393" w:type="dxa"/>
            <w:vAlign w:val="bottom"/>
          </w:tcPr>
          <w:p w14:paraId="7ADD9699" w14:textId="4233A907"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0.50</w:t>
            </w:r>
            <w:r w:rsidR="008C6A7D" w:rsidRPr="00D876CC">
              <w:rPr>
                <w:sz w:val="22"/>
                <w:szCs w:val="22"/>
                <w:vertAlign w:val="superscript"/>
                <w:lang w:val="en-CA"/>
              </w:rPr>
              <w:t>*</w:t>
            </w:r>
          </w:p>
        </w:tc>
        <w:tc>
          <w:tcPr>
            <w:tcW w:w="1393" w:type="dxa"/>
            <w:vAlign w:val="bottom"/>
          </w:tcPr>
          <w:p w14:paraId="21E766B1" w14:textId="339B2C0B"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0.80</w:t>
            </w:r>
            <w:r w:rsidR="008C6A7D" w:rsidRPr="00D876CC">
              <w:rPr>
                <w:sz w:val="22"/>
                <w:szCs w:val="22"/>
                <w:vertAlign w:val="superscript"/>
                <w:lang w:val="en-CA"/>
              </w:rPr>
              <w:t>**</w:t>
            </w:r>
          </w:p>
        </w:tc>
        <w:tc>
          <w:tcPr>
            <w:tcW w:w="1393" w:type="dxa"/>
            <w:vAlign w:val="bottom"/>
          </w:tcPr>
          <w:p w14:paraId="455B588F" w14:textId="7D40C20F"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0.89</w:t>
            </w:r>
            <w:r w:rsidR="008C6A7D" w:rsidRPr="00D876CC">
              <w:rPr>
                <w:sz w:val="22"/>
                <w:szCs w:val="22"/>
                <w:vertAlign w:val="superscript"/>
                <w:lang w:val="en-CA"/>
              </w:rPr>
              <w:t>**</w:t>
            </w:r>
          </w:p>
        </w:tc>
        <w:tc>
          <w:tcPr>
            <w:tcW w:w="1393" w:type="dxa"/>
            <w:vAlign w:val="bottom"/>
          </w:tcPr>
          <w:p w14:paraId="5C6151FF" w14:textId="034BB6C4" w:rsidR="00AA654B" w:rsidRPr="008C6A7D" w:rsidRDefault="00AA654B" w:rsidP="008C6A7D">
            <w:pPr>
              <w:jc w:val="center"/>
              <w:rPr>
                <w:rFonts w:asciiTheme="majorBidi" w:hAnsiTheme="majorBidi" w:cstheme="majorBidi"/>
                <w:sz w:val="22"/>
                <w:szCs w:val="22"/>
              </w:rPr>
            </w:pPr>
            <w:r w:rsidRPr="008C6A7D">
              <w:rPr>
                <w:rFonts w:asciiTheme="majorBidi" w:hAnsiTheme="majorBidi" w:cstheme="majorBidi"/>
                <w:color w:val="000000"/>
                <w:sz w:val="22"/>
                <w:szCs w:val="22"/>
              </w:rPr>
              <w:t>0.90</w:t>
            </w:r>
            <w:r w:rsidR="008C6A7D" w:rsidRPr="00D876CC">
              <w:rPr>
                <w:sz w:val="22"/>
                <w:szCs w:val="22"/>
                <w:vertAlign w:val="superscript"/>
                <w:lang w:val="en-CA"/>
              </w:rPr>
              <w:t>*</w:t>
            </w:r>
          </w:p>
        </w:tc>
      </w:tr>
    </w:tbl>
    <w:p w14:paraId="05EFA576" w14:textId="1D69F08F" w:rsidR="00FB5F14" w:rsidRDefault="00FB5F14"/>
    <w:p w14:paraId="043E5EEB" w14:textId="67CBFCFD" w:rsidR="00E2056C" w:rsidRDefault="00E2056C">
      <w:pPr>
        <w:spacing w:after="200" w:line="276" w:lineRule="auto"/>
      </w:pPr>
      <w:r>
        <w:br w:type="page"/>
      </w:r>
    </w:p>
    <w:p w14:paraId="2C1D70DB" w14:textId="6ABC2B37" w:rsidR="00D47A9D" w:rsidRDefault="00D47A9D">
      <w:pPr>
        <w:spacing w:after="200" w:line="276" w:lineRule="auto"/>
      </w:pPr>
    </w:p>
    <w:tbl>
      <w:tblPr>
        <w:tblStyle w:val="TableGrid"/>
        <w:tblW w:w="0" w:type="auto"/>
        <w:tblLook w:val="04A0" w:firstRow="1" w:lastRow="0" w:firstColumn="1" w:lastColumn="0" w:noHBand="0" w:noVBand="1"/>
      </w:tblPr>
      <w:tblGrid>
        <w:gridCol w:w="2869"/>
        <w:gridCol w:w="1376"/>
        <w:gridCol w:w="1376"/>
        <w:gridCol w:w="1376"/>
        <w:gridCol w:w="1376"/>
        <w:gridCol w:w="1376"/>
      </w:tblGrid>
      <w:tr w:rsidR="00E00EE1" w14:paraId="18D54796" w14:textId="77777777" w:rsidTr="00B34F33">
        <w:tc>
          <w:tcPr>
            <w:tcW w:w="9749" w:type="dxa"/>
            <w:gridSpan w:val="6"/>
            <w:tcBorders>
              <w:top w:val="nil"/>
              <w:left w:val="nil"/>
              <w:bottom w:val="single" w:sz="4" w:space="0" w:color="auto"/>
              <w:right w:val="nil"/>
            </w:tcBorders>
          </w:tcPr>
          <w:p w14:paraId="06DFA028" w14:textId="6587FC3F" w:rsidR="00E00EE1" w:rsidRPr="00B34F33" w:rsidRDefault="00774DDA" w:rsidP="004F4565">
            <w:pPr>
              <w:jc w:val="center"/>
              <w:rPr>
                <w:b/>
                <w:bCs/>
                <w:sz w:val="22"/>
                <w:szCs w:val="22"/>
              </w:rPr>
            </w:pPr>
            <w:r w:rsidRPr="00B34F33">
              <w:rPr>
                <w:b/>
                <w:bCs/>
                <w:sz w:val="22"/>
                <w:szCs w:val="22"/>
              </w:rPr>
              <w:t xml:space="preserve">Table </w:t>
            </w:r>
            <w:r w:rsidR="00F066B7">
              <w:rPr>
                <w:b/>
                <w:bCs/>
                <w:sz w:val="22"/>
                <w:szCs w:val="22"/>
              </w:rPr>
              <w:t>5</w:t>
            </w:r>
            <w:r w:rsidRPr="00B34F33">
              <w:rPr>
                <w:b/>
                <w:bCs/>
                <w:sz w:val="22"/>
                <w:szCs w:val="22"/>
              </w:rPr>
              <w:t xml:space="preserve">: Productivity in later career as a function of </w:t>
            </w:r>
            <w:r w:rsidR="004F4565">
              <w:rPr>
                <w:b/>
                <w:bCs/>
                <w:sz w:val="22"/>
                <w:szCs w:val="22"/>
              </w:rPr>
              <w:t>talent</w:t>
            </w:r>
            <w:r w:rsidRPr="00B34F33">
              <w:rPr>
                <w:b/>
                <w:bCs/>
                <w:sz w:val="22"/>
                <w:szCs w:val="22"/>
              </w:rPr>
              <w:t xml:space="preserve"> and nurture</w:t>
            </w:r>
          </w:p>
          <w:p w14:paraId="20B71CA6" w14:textId="2064A132" w:rsidR="00B34F33" w:rsidRDefault="00774DDA" w:rsidP="00B55DF8">
            <w:pPr>
              <w:jc w:val="both"/>
              <w:rPr>
                <w:sz w:val="22"/>
                <w:szCs w:val="22"/>
              </w:rPr>
            </w:pPr>
            <w:r>
              <w:rPr>
                <w:sz w:val="22"/>
                <w:szCs w:val="22"/>
              </w:rPr>
              <w:t xml:space="preserve">The table provides logit regression results, where the dependent variable is one if the author had an A publication </w:t>
            </w:r>
            <w:r w:rsidR="00B34F33">
              <w:rPr>
                <w:sz w:val="22"/>
                <w:szCs w:val="22"/>
              </w:rPr>
              <w:t>during</w:t>
            </w:r>
            <w:r>
              <w:rPr>
                <w:sz w:val="22"/>
                <w:szCs w:val="22"/>
              </w:rPr>
              <w:t xml:space="preserve"> the year, and 0 otherwise. Only author-year observations that come after tenure=5 are included in the </w:t>
            </w:r>
            <w:r w:rsidR="003E1EFB">
              <w:rPr>
                <w:sz w:val="22"/>
                <w:szCs w:val="22"/>
              </w:rPr>
              <w:t>estimation</w:t>
            </w:r>
            <w:r>
              <w:rPr>
                <w:sz w:val="22"/>
                <w:szCs w:val="22"/>
              </w:rPr>
              <w:t xml:space="preserve">. </w:t>
            </w:r>
            <w:r w:rsidR="004F4565">
              <w:rPr>
                <w:sz w:val="22"/>
                <w:szCs w:val="22"/>
              </w:rPr>
              <w:t>Talent</w:t>
            </w:r>
            <w:r>
              <w:rPr>
                <w:sz w:val="22"/>
                <w:szCs w:val="22"/>
              </w:rPr>
              <w:t xml:space="preserve"> is the number of A publication</w:t>
            </w:r>
            <w:r w:rsidR="00B34F33">
              <w:rPr>
                <w:sz w:val="22"/>
                <w:szCs w:val="22"/>
              </w:rPr>
              <w:t>s</w:t>
            </w:r>
            <w:r>
              <w:rPr>
                <w:sz w:val="22"/>
                <w:szCs w:val="22"/>
              </w:rPr>
              <w:t xml:space="preserve"> accumulated by the author till tenure=5; Nurture equals one if the author's first affiliation (</w:t>
            </w:r>
            <w:r w:rsidR="00B34F33">
              <w:rPr>
                <w:sz w:val="22"/>
                <w:szCs w:val="22"/>
              </w:rPr>
              <w:t>at</w:t>
            </w:r>
            <w:r>
              <w:rPr>
                <w:sz w:val="22"/>
                <w:szCs w:val="22"/>
              </w:rPr>
              <w:t xml:space="preserve"> tenure=1) is a top-tier university, and zero if it is a second-tier university. Tenure is the number of years elapsed since the author's first publication on WOS. </w:t>
            </w:r>
            <w:r w:rsidR="00B34F33">
              <w:rPr>
                <w:sz w:val="22"/>
                <w:szCs w:val="22"/>
              </w:rPr>
              <w:t xml:space="preserve">In specification (1)-(3) and (6)-(8), marginal coefficient at the means are provided. In specification (4)-(5) and (9)-(10) all independent variables are standardized in order to compute the lower bound for the </w:t>
            </w:r>
            <w:r w:rsidR="004F4565">
              <w:rPr>
                <w:sz w:val="22"/>
                <w:szCs w:val="22"/>
              </w:rPr>
              <w:t>nurture</w:t>
            </w:r>
            <w:r w:rsidR="00B34F33">
              <w:rPr>
                <w:sz w:val="22"/>
                <w:szCs w:val="22"/>
              </w:rPr>
              <w:t xml:space="preserve"> effect out of the total nature + nurture effect, which is listed in the last row for each sample of results. All specifications include an intercept, t-statics are provided in parenthesis.</w:t>
            </w:r>
            <w:r>
              <w:rPr>
                <w:sz w:val="22"/>
                <w:szCs w:val="22"/>
              </w:rPr>
              <w:t xml:space="preserve"> </w:t>
            </w:r>
            <w:r w:rsidR="00B34F33" w:rsidRPr="000301E9">
              <w:rPr>
                <w:sz w:val="22"/>
              </w:rPr>
              <w:t>*, **, and *** indicate significance at the 10%, 5%, and 1% level, respectively.</w:t>
            </w:r>
          </w:p>
          <w:p w14:paraId="45A2FD1E" w14:textId="4EBC2C73" w:rsidR="00774DDA" w:rsidRPr="00D47A9D" w:rsidRDefault="00774DDA" w:rsidP="00B34F33">
            <w:pPr>
              <w:jc w:val="both"/>
              <w:rPr>
                <w:sz w:val="22"/>
                <w:szCs w:val="22"/>
              </w:rPr>
            </w:pPr>
          </w:p>
        </w:tc>
      </w:tr>
      <w:tr w:rsidR="00D47A9D" w14:paraId="638D525D" w14:textId="77777777" w:rsidTr="00B34F33">
        <w:tc>
          <w:tcPr>
            <w:tcW w:w="2869" w:type="dxa"/>
            <w:tcBorders>
              <w:top w:val="single" w:sz="4" w:space="0" w:color="auto"/>
              <w:left w:val="nil"/>
              <w:bottom w:val="nil"/>
              <w:right w:val="nil"/>
            </w:tcBorders>
          </w:tcPr>
          <w:p w14:paraId="18D0C8F1" w14:textId="77777777" w:rsidR="00D47A9D" w:rsidRPr="00D47A9D" w:rsidRDefault="00D47A9D">
            <w:pPr>
              <w:rPr>
                <w:sz w:val="22"/>
                <w:szCs w:val="22"/>
              </w:rPr>
            </w:pPr>
          </w:p>
        </w:tc>
        <w:tc>
          <w:tcPr>
            <w:tcW w:w="6880" w:type="dxa"/>
            <w:gridSpan w:val="5"/>
            <w:tcBorders>
              <w:top w:val="single" w:sz="4" w:space="0" w:color="auto"/>
              <w:left w:val="nil"/>
              <w:bottom w:val="single" w:sz="4" w:space="0" w:color="auto"/>
              <w:right w:val="nil"/>
            </w:tcBorders>
          </w:tcPr>
          <w:p w14:paraId="3FBD7DBB" w14:textId="286E3D16" w:rsidR="00D47A9D" w:rsidRPr="00774DDA" w:rsidRDefault="00D47A9D" w:rsidP="00D47A9D">
            <w:pPr>
              <w:jc w:val="center"/>
              <w:rPr>
                <w:b/>
                <w:bCs/>
                <w:sz w:val="22"/>
                <w:szCs w:val="22"/>
              </w:rPr>
            </w:pPr>
            <w:r w:rsidRPr="00774DDA">
              <w:rPr>
                <w:b/>
                <w:bCs/>
                <w:sz w:val="22"/>
                <w:szCs w:val="22"/>
              </w:rPr>
              <w:t>Productivity in tenure 6-10 (Sample 1)</w:t>
            </w:r>
          </w:p>
        </w:tc>
      </w:tr>
      <w:tr w:rsidR="00B34F33" w14:paraId="6CB5A63A" w14:textId="77777777" w:rsidTr="00B34F33">
        <w:tc>
          <w:tcPr>
            <w:tcW w:w="2869" w:type="dxa"/>
            <w:tcBorders>
              <w:top w:val="single" w:sz="4" w:space="0" w:color="auto"/>
              <w:left w:val="nil"/>
              <w:bottom w:val="single" w:sz="4" w:space="0" w:color="auto"/>
              <w:right w:val="nil"/>
            </w:tcBorders>
          </w:tcPr>
          <w:p w14:paraId="59C37CAA" w14:textId="77777777" w:rsidR="00D47A9D" w:rsidRPr="00D47A9D" w:rsidRDefault="00D47A9D">
            <w:pPr>
              <w:rPr>
                <w:sz w:val="22"/>
                <w:szCs w:val="22"/>
              </w:rPr>
            </w:pPr>
          </w:p>
        </w:tc>
        <w:tc>
          <w:tcPr>
            <w:tcW w:w="1376" w:type="dxa"/>
            <w:tcBorders>
              <w:top w:val="single" w:sz="4" w:space="0" w:color="auto"/>
              <w:left w:val="nil"/>
              <w:bottom w:val="single" w:sz="4" w:space="0" w:color="auto"/>
              <w:right w:val="nil"/>
            </w:tcBorders>
          </w:tcPr>
          <w:p w14:paraId="3B925987" w14:textId="77777777" w:rsidR="00D47A9D" w:rsidRPr="00D47A9D" w:rsidRDefault="00D47A9D">
            <w:pPr>
              <w:rPr>
                <w:sz w:val="22"/>
                <w:szCs w:val="22"/>
              </w:rPr>
            </w:pPr>
          </w:p>
        </w:tc>
        <w:tc>
          <w:tcPr>
            <w:tcW w:w="1376" w:type="dxa"/>
            <w:tcBorders>
              <w:top w:val="single" w:sz="4" w:space="0" w:color="auto"/>
              <w:left w:val="nil"/>
              <w:bottom w:val="single" w:sz="4" w:space="0" w:color="auto"/>
              <w:right w:val="nil"/>
            </w:tcBorders>
          </w:tcPr>
          <w:p w14:paraId="78816CBA" w14:textId="77777777" w:rsidR="00D47A9D" w:rsidRPr="00D47A9D" w:rsidRDefault="00D47A9D">
            <w:pPr>
              <w:rPr>
                <w:sz w:val="22"/>
                <w:szCs w:val="22"/>
              </w:rPr>
            </w:pPr>
          </w:p>
        </w:tc>
        <w:tc>
          <w:tcPr>
            <w:tcW w:w="1376" w:type="dxa"/>
            <w:tcBorders>
              <w:top w:val="single" w:sz="4" w:space="0" w:color="auto"/>
              <w:left w:val="nil"/>
              <w:bottom w:val="single" w:sz="4" w:space="0" w:color="auto"/>
              <w:right w:val="nil"/>
            </w:tcBorders>
          </w:tcPr>
          <w:p w14:paraId="18350FDD" w14:textId="77777777" w:rsidR="00D47A9D" w:rsidRPr="00D47A9D" w:rsidRDefault="00D47A9D">
            <w:pPr>
              <w:rPr>
                <w:sz w:val="22"/>
                <w:szCs w:val="22"/>
              </w:rPr>
            </w:pPr>
          </w:p>
        </w:tc>
        <w:tc>
          <w:tcPr>
            <w:tcW w:w="2752" w:type="dxa"/>
            <w:gridSpan w:val="2"/>
            <w:tcBorders>
              <w:top w:val="single" w:sz="4" w:space="0" w:color="auto"/>
              <w:left w:val="nil"/>
              <w:bottom w:val="single" w:sz="4" w:space="0" w:color="auto"/>
              <w:right w:val="nil"/>
            </w:tcBorders>
          </w:tcPr>
          <w:p w14:paraId="2606C4B9" w14:textId="26F2B213" w:rsidR="00D47A9D" w:rsidRPr="00D47A9D" w:rsidRDefault="00D47A9D" w:rsidP="00D47A9D">
            <w:pPr>
              <w:jc w:val="center"/>
              <w:rPr>
                <w:sz w:val="22"/>
                <w:szCs w:val="22"/>
              </w:rPr>
            </w:pPr>
            <w:r>
              <w:rPr>
                <w:sz w:val="22"/>
                <w:szCs w:val="22"/>
              </w:rPr>
              <w:t>Standardized independent variable</w:t>
            </w:r>
          </w:p>
        </w:tc>
      </w:tr>
      <w:tr w:rsidR="00D47A9D" w14:paraId="2344FECE" w14:textId="77777777" w:rsidTr="00B34F33">
        <w:tc>
          <w:tcPr>
            <w:tcW w:w="2869" w:type="dxa"/>
            <w:tcBorders>
              <w:top w:val="single" w:sz="4" w:space="0" w:color="auto"/>
              <w:left w:val="nil"/>
              <w:bottom w:val="nil"/>
              <w:right w:val="nil"/>
            </w:tcBorders>
          </w:tcPr>
          <w:p w14:paraId="4927F73F" w14:textId="77777777" w:rsidR="00D47A9D" w:rsidRPr="00D47A9D" w:rsidRDefault="00D47A9D">
            <w:pPr>
              <w:rPr>
                <w:sz w:val="22"/>
                <w:szCs w:val="22"/>
              </w:rPr>
            </w:pPr>
          </w:p>
        </w:tc>
        <w:tc>
          <w:tcPr>
            <w:tcW w:w="1376" w:type="dxa"/>
            <w:tcBorders>
              <w:top w:val="single" w:sz="4" w:space="0" w:color="auto"/>
              <w:left w:val="nil"/>
              <w:bottom w:val="nil"/>
              <w:right w:val="nil"/>
            </w:tcBorders>
          </w:tcPr>
          <w:p w14:paraId="1D44F6BE" w14:textId="403D576B" w:rsidR="00D47A9D" w:rsidRPr="00D47A9D" w:rsidRDefault="00D47A9D" w:rsidP="00D47A9D">
            <w:pPr>
              <w:jc w:val="center"/>
              <w:rPr>
                <w:sz w:val="22"/>
                <w:szCs w:val="22"/>
              </w:rPr>
            </w:pPr>
            <w:r>
              <w:rPr>
                <w:sz w:val="22"/>
                <w:szCs w:val="22"/>
              </w:rPr>
              <w:t>(1)</w:t>
            </w:r>
          </w:p>
        </w:tc>
        <w:tc>
          <w:tcPr>
            <w:tcW w:w="1376" w:type="dxa"/>
            <w:tcBorders>
              <w:top w:val="single" w:sz="4" w:space="0" w:color="auto"/>
              <w:left w:val="nil"/>
              <w:bottom w:val="nil"/>
              <w:right w:val="nil"/>
            </w:tcBorders>
          </w:tcPr>
          <w:p w14:paraId="79BA9C1B" w14:textId="6DDF37E1" w:rsidR="00D47A9D" w:rsidRPr="00D47A9D" w:rsidRDefault="00D47A9D" w:rsidP="00D47A9D">
            <w:pPr>
              <w:jc w:val="center"/>
              <w:rPr>
                <w:sz w:val="22"/>
                <w:szCs w:val="22"/>
              </w:rPr>
            </w:pPr>
            <w:r>
              <w:rPr>
                <w:sz w:val="22"/>
                <w:szCs w:val="22"/>
              </w:rPr>
              <w:t>(2)</w:t>
            </w:r>
          </w:p>
        </w:tc>
        <w:tc>
          <w:tcPr>
            <w:tcW w:w="1376" w:type="dxa"/>
            <w:tcBorders>
              <w:top w:val="single" w:sz="4" w:space="0" w:color="auto"/>
              <w:left w:val="nil"/>
              <w:bottom w:val="nil"/>
              <w:right w:val="nil"/>
            </w:tcBorders>
          </w:tcPr>
          <w:p w14:paraId="0703A3C9" w14:textId="56D121BA" w:rsidR="00D47A9D" w:rsidRPr="00D47A9D" w:rsidRDefault="00D47A9D" w:rsidP="00D47A9D">
            <w:pPr>
              <w:jc w:val="center"/>
              <w:rPr>
                <w:sz w:val="22"/>
                <w:szCs w:val="22"/>
              </w:rPr>
            </w:pPr>
            <w:r>
              <w:rPr>
                <w:sz w:val="22"/>
                <w:szCs w:val="22"/>
              </w:rPr>
              <w:t>(3)</w:t>
            </w:r>
          </w:p>
        </w:tc>
        <w:tc>
          <w:tcPr>
            <w:tcW w:w="1376" w:type="dxa"/>
            <w:tcBorders>
              <w:top w:val="single" w:sz="4" w:space="0" w:color="auto"/>
              <w:left w:val="nil"/>
              <w:bottom w:val="nil"/>
              <w:right w:val="nil"/>
            </w:tcBorders>
          </w:tcPr>
          <w:p w14:paraId="31AEFFC1" w14:textId="08AAA181" w:rsidR="00D47A9D" w:rsidRPr="00D47A9D" w:rsidRDefault="00D47A9D" w:rsidP="00D47A9D">
            <w:pPr>
              <w:jc w:val="center"/>
              <w:rPr>
                <w:sz w:val="22"/>
                <w:szCs w:val="22"/>
              </w:rPr>
            </w:pPr>
            <w:r>
              <w:rPr>
                <w:sz w:val="22"/>
                <w:szCs w:val="22"/>
              </w:rPr>
              <w:t>(4)</w:t>
            </w:r>
          </w:p>
        </w:tc>
        <w:tc>
          <w:tcPr>
            <w:tcW w:w="1376" w:type="dxa"/>
            <w:tcBorders>
              <w:top w:val="single" w:sz="4" w:space="0" w:color="auto"/>
              <w:left w:val="nil"/>
              <w:bottom w:val="nil"/>
              <w:right w:val="nil"/>
            </w:tcBorders>
          </w:tcPr>
          <w:p w14:paraId="21966FA0" w14:textId="7590D3EF" w:rsidR="00D47A9D" w:rsidRPr="00D47A9D" w:rsidRDefault="00D47A9D" w:rsidP="00D47A9D">
            <w:pPr>
              <w:jc w:val="center"/>
              <w:rPr>
                <w:sz w:val="22"/>
                <w:szCs w:val="22"/>
              </w:rPr>
            </w:pPr>
            <w:r>
              <w:rPr>
                <w:sz w:val="22"/>
                <w:szCs w:val="22"/>
              </w:rPr>
              <w:t>(5)</w:t>
            </w:r>
          </w:p>
        </w:tc>
      </w:tr>
      <w:tr w:rsidR="00D47A9D" w14:paraId="632F0103" w14:textId="77777777" w:rsidTr="00B34F33">
        <w:tc>
          <w:tcPr>
            <w:tcW w:w="2869" w:type="dxa"/>
            <w:tcBorders>
              <w:top w:val="nil"/>
              <w:left w:val="nil"/>
              <w:bottom w:val="nil"/>
              <w:right w:val="nil"/>
            </w:tcBorders>
          </w:tcPr>
          <w:p w14:paraId="688FB504" w14:textId="23F6C28E" w:rsidR="00D47A9D" w:rsidRPr="00D47A9D" w:rsidRDefault="004F4565">
            <w:pPr>
              <w:rPr>
                <w:rFonts w:asciiTheme="majorBidi" w:hAnsiTheme="majorBidi" w:cstheme="majorBidi"/>
                <w:sz w:val="22"/>
                <w:szCs w:val="22"/>
              </w:rPr>
            </w:pPr>
            <w:r>
              <w:rPr>
                <w:rFonts w:asciiTheme="majorBidi" w:hAnsiTheme="majorBidi" w:cstheme="majorBidi"/>
                <w:sz w:val="22"/>
                <w:szCs w:val="22"/>
              </w:rPr>
              <w:t>Talent</w:t>
            </w:r>
          </w:p>
          <w:p w14:paraId="760D891C" w14:textId="47D8F083"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48978AFF" w14:textId="77777777" w:rsidTr="00D47A9D">
              <w:trPr>
                <w:trHeight w:val="255"/>
              </w:trPr>
              <w:tc>
                <w:tcPr>
                  <w:tcW w:w="1160" w:type="dxa"/>
                  <w:tcBorders>
                    <w:top w:val="nil"/>
                    <w:left w:val="nil"/>
                    <w:bottom w:val="nil"/>
                    <w:right w:val="nil"/>
                  </w:tcBorders>
                  <w:shd w:val="clear" w:color="auto" w:fill="auto"/>
                  <w:noWrap/>
                  <w:vAlign w:val="bottom"/>
                  <w:hideMark/>
                </w:tcPr>
                <w:p w14:paraId="00B55C03"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0.045***</w:t>
                  </w:r>
                </w:p>
              </w:tc>
            </w:tr>
            <w:tr w:rsidR="00D47A9D" w:rsidRPr="00D47A9D" w14:paraId="6972F23A" w14:textId="77777777" w:rsidTr="00D47A9D">
              <w:trPr>
                <w:trHeight w:val="255"/>
              </w:trPr>
              <w:tc>
                <w:tcPr>
                  <w:tcW w:w="1160" w:type="dxa"/>
                  <w:tcBorders>
                    <w:top w:val="nil"/>
                    <w:left w:val="nil"/>
                    <w:bottom w:val="nil"/>
                    <w:right w:val="nil"/>
                  </w:tcBorders>
                  <w:shd w:val="clear" w:color="auto" w:fill="auto"/>
                  <w:noWrap/>
                  <w:vAlign w:val="bottom"/>
                  <w:hideMark/>
                </w:tcPr>
                <w:p w14:paraId="78BC4368"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(22.57)</w:t>
                  </w:r>
                </w:p>
              </w:tc>
            </w:tr>
          </w:tbl>
          <w:p w14:paraId="0051F92D"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63D0EC84"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64F262D0" w14:textId="77777777" w:rsidTr="00D47A9D">
              <w:trPr>
                <w:trHeight w:val="255"/>
              </w:trPr>
              <w:tc>
                <w:tcPr>
                  <w:tcW w:w="1160" w:type="dxa"/>
                  <w:tcBorders>
                    <w:top w:val="nil"/>
                    <w:left w:val="nil"/>
                    <w:bottom w:val="nil"/>
                    <w:right w:val="nil"/>
                  </w:tcBorders>
                  <w:shd w:val="clear" w:color="auto" w:fill="auto"/>
                  <w:noWrap/>
                  <w:vAlign w:val="bottom"/>
                  <w:hideMark/>
                </w:tcPr>
                <w:p w14:paraId="2FEE52FC"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0.041***</w:t>
                  </w:r>
                </w:p>
              </w:tc>
            </w:tr>
            <w:tr w:rsidR="00D47A9D" w:rsidRPr="00D47A9D" w14:paraId="59919546" w14:textId="77777777" w:rsidTr="00D47A9D">
              <w:trPr>
                <w:trHeight w:val="255"/>
              </w:trPr>
              <w:tc>
                <w:tcPr>
                  <w:tcW w:w="1160" w:type="dxa"/>
                  <w:tcBorders>
                    <w:top w:val="nil"/>
                    <w:left w:val="nil"/>
                    <w:bottom w:val="nil"/>
                    <w:right w:val="nil"/>
                  </w:tcBorders>
                  <w:shd w:val="clear" w:color="auto" w:fill="auto"/>
                  <w:noWrap/>
                  <w:vAlign w:val="bottom"/>
                  <w:hideMark/>
                </w:tcPr>
                <w:p w14:paraId="41C5BA87"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(19.37)</w:t>
                  </w:r>
                </w:p>
              </w:tc>
            </w:tr>
          </w:tbl>
          <w:p w14:paraId="610E747F" w14:textId="77777777" w:rsidR="00D47A9D" w:rsidRPr="00D47A9D" w:rsidRDefault="00D47A9D">
            <w:pP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37B5368F" w14:textId="77777777" w:rsidTr="00D47A9D">
              <w:trPr>
                <w:trHeight w:val="255"/>
              </w:trPr>
              <w:tc>
                <w:tcPr>
                  <w:tcW w:w="1160" w:type="dxa"/>
                  <w:tcBorders>
                    <w:top w:val="nil"/>
                    <w:left w:val="nil"/>
                    <w:bottom w:val="nil"/>
                    <w:right w:val="nil"/>
                  </w:tcBorders>
                  <w:shd w:val="clear" w:color="auto" w:fill="auto"/>
                  <w:noWrap/>
                  <w:vAlign w:val="bottom"/>
                  <w:hideMark/>
                </w:tcPr>
                <w:p w14:paraId="7BE267CE"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0.607***</w:t>
                  </w:r>
                </w:p>
              </w:tc>
            </w:tr>
            <w:tr w:rsidR="00D47A9D" w:rsidRPr="00D47A9D" w14:paraId="5ACA6506" w14:textId="77777777" w:rsidTr="00D47A9D">
              <w:trPr>
                <w:trHeight w:val="255"/>
              </w:trPr>
              <w:tc>
                <w:tcPr>
                  <w:tcW w:w="1160" w:type="dxa"/>
                  <w:tcBorders>
                    <w:top w:val="nil"/>
                    <w:left w:val="nil"/>
                    <w:bottom w:val="nil"/>
                    <w:right w:val="nil"/>
                  </w:tcBorders>
                  <w:shd w:val="clear" w:color="auto" w:fill="auto"/>
                  <w:noWrap/>
                  <w:vAlign w:val="bottom"/>
                  <w:hideMark/>
                </w:tcPr>
                <w:p w14:paraId="3DFAD501"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(20.20)</w:t>
                  </w:r>
                </w:p>
              </w:tc>
            </w:tr>
          </w:tbl>
          <w:p w14:paraId="02980D9F" w14:textId="77777777" w:rsidR="00D47A9D" w:rsidRPr="00D47A9D" w:rsidRDefault="00D47A9D">
            <w:pP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13617FBB" w14:textId="77777777" w:rsidTr="00D47A9D">
              <w:trPr>
                <w:trHeight w:val="255"/>
              </w:trPr>
              <w:tc>
                <w:tcPr>
                  <w:tcW w:w="1160" w:type="dxa"/>
                  <w:tcBorders>
                    <w:top w:val="nil"/>
                    <w:left w:val="nil"/>
                    <w:bottom w:val="nil"/>
                    <w:right w:val="nil"/>
                  </w:tcBorders>
                  <w:shd w:val="clear" w:color="auto" w:fill="auto"/>
                  <w:noWrap/>
                  <w:vAlign w:val="bottom"/>
                  <w:hideMark/>
                </w:tcPr>
                <w:p w14:paraId="4D1E02E2"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0.958***</w:t>
                  </w:r>
                </w:p>
              </w:tc>
            </w:tr>
            <w:tr w:rsidR="00D47A9D" w:rsidRPr="00D47A9D" w14:paraId="78E10BFA" w14:textId="77777777" w:rsidTr="00D47A9D">
              <w:trPr>
                <w:trHeight w:val="255"/>
              </w:trPr>
              <w:tc>
                <w:tcPr>
                  <w:tcW w:w="1160" w:type="dxa"/>
                  <w:tcBorders>
                    <w:top w:val="nil"/>
                    <w:left w:val="nil"/>
                    <w:bottom w:val="nil"/>
                    <w:right w:val="nil"/>
                  </w:tcBorders>
                  <w:shd w:val="clear" w:color="auto" w:fill="auto"/>
                  <w:noWrap/>
                  <w:vAlign w:val="bottom"/>
                  <w:hideMark/>
                </w:tcPr>
                <w:p w14:paraId="1E6DE46E"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(14.28)</w:t>
                  </w:r>
                </w:p>
              </w:tc>
            </w:tr>
          </w:tbl>
          <w:p w14:paraId="1E4F4C4E" w14:textId="77777777" w:rsidR="00D47A9D" w:rsidRPr="00D47A9D" w:rsidRDefault="00D47A9D">
            <w:pPr>
              <w:rPr>
                <w:rFonts w:asciiTheme="majorBidi" w:hAnsiTheme="majorBidi" w:cstheme="majorBidi"/>
                <w:sz w:val="22"/>
                <w:szCs w:val="22"/>
                <w:lang w:bidi="he-IL"/>
              </w:rPr>
            </w:pPr>
          </w:p>
        </w:tc>
      </w:tr>
      <w:tr w:rsidR="00D47A9D" w14:paraId="63F800F7" w14:textId="77777777" w:rsidTr="00B34F33">
        <w:tc>
          <w:tcPr>
            <w:tcW w:w="2869" w:type="dxa"/>
            <w:tcBorders>
              <w:top w:val="nil"/>
              <w:left w:val="nil"/>
              <w:bottom w:val="nil"/>
              <w:right w:val="nil"/>
            </w:tcBorders>
          </w:tcPr>
          <w:p w14:paraId="04937E76" w14:textId="77777777" w:rsidR="00D47A9D" w:rsidRPr="00D47A9D" w:rsidRDefault="00D47A9D">
            <w:pPr>
              <w:rPr>
                <w:rFonts w:asciiTheme="majorBidi" w:hAnsiTheme="majorBidi" w:cstheme="majorBidi"/>
                <w:sz w:val="22"/>
                <w:szCs w:val="22"/>
              </w:rPr>
            </w:pPr>
            <w:r w:rsidRPr="00D47A9D">
              <w:rPr>
                <w:rFonts w:asciiTheme="majorBidi" w:hAnsiTheme="majorBidi" w:cstheme="majorBidi"/>
                <w:sz w:val="22"/>
                <w:szCs w:val="22"/>
              </w:rPr>
              <w:t>Nurture</w:t>
            </w:r>
          </w:p>
          <w:p w14:paraId="65573440" w14:textId="1BC8E204"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5D7C747C"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260601BA" w14:textId="77777777" w:rsidTr="00D47A9D">
              <w:trPr>
                <w:trHeight w:val="255"/>
              </w:trPr>
              <w:tc>
                <w:tcPr>
                  <w:tcW w:w="1160" w:type="dxa"/>
                  <w:tcBorders>
                    <w:top w:val="nil"/>
                    <w:left w:val="nil"/>
                    <w:bottom w:val="nil"/>
                    <w:right w:val="nil"/>
                  </w:tcBorders>
                  <w:shd w:val="clear" w:color="auto" w:fill="auto"/>
                  <w:noWrap/>
                  <w:vAlign w:val="bottom"/>
                  <w:hideMark/>
                </w:tcPr>
                <w:p w14:paraId="765B4228"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0.105***</w:t>
                  </w:r>
                </w:p>
              </w:tc>
            </w:tr>
            <w:tr w:rsidR="00D47A9D" w:rsidRPr="00D47A9D" w14:paraId="0A70273D" w14:textId="77777777" w:rsidTr="00D47A9D">
              <w:trPr>
                <w:trHeight w:val="255"/>
              </w:trPr>
              <w:tc>
                <w:tcPr>
                  <w:tcW w:w="1160" w:type="dxa"/>
                  <w:tcBorders>
                    <w:top w:val="nil"/>
                    <w:left w:val="nil"/>
                    <w:bottom w:val="nil"/>
                    <w:right w:val="nil"/>
                  </w:tcBorders>
                  <w:shd w:val="clear" w:color="auto" w:fill="auto"/>
                  <w:noWrap/>
                  <w:vAlign w:val="bottom"/>
                  <w:hideMark/>
                </w:tcPr>
                <w:p w14:paraId="4F7D0686"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(12.65)</w:t>
                  </w:r>
                </w:p>
              </w:tc>
            </w:tr>
          </w:tbl>
          <w:p w14:paraId="0A8D8ED8"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523E7523" w14:textId="77777777" w:rsidTr="00D47A9D">
              <w:trPr>
                <w:trHeight w:val="255"/>
              </w:trPr>
              <w:tc>
                <w:tcPr>
                  <w:tcW w:w="1160" w:type="dxa"/>
                  <w:tcBorders>
                    <w:top w:val="nil"/>
                    <w:left w:val="nil"/>
                    <w:bottom w:val="nil"/>
                    <w:right w:val="nil"/>
                  </w:tcBorders>
                  <w:shd w:val="clear" w:color="auto" w:fill="auto"/>
                  <w:noWrap/>
                  <w:vAlign w:val="bottom"/>
                  <w:hideMark/>
                </w:tcPr>
                <w:p w14:paraId="486B2A31"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0.056***</w:t>
                  </w:r>
                </w:p>
              </w:tc>
            </w:tr>
            <w:tr w:rsidR="00D47A9D" w:rsidRPr="00D47A9D" w14:paraId="1D19B275" w14:textId="77777777" w:rsidTr="00D47A9D">
              <w:trPr>
                <w:trHeight w:val="255"/>
              </w:trPr>
              <w:tc>
                <w:tcPr>
                  <w:tcW w:w="1160" w:type="dxa"/>
                  <w:tcBorders>
                    <w:top w:val="nil"/>
                    <w:left w:val="nil"/>
                    <w:bottom w:val="nil"/>
                    <w:right w:val="nil"/>
                  </w:tcBorders>
                  <w:shd w:val="clear" w:color="auto" w:fill="auto"/>
                  <w:noWrap/>
                  <w:vAlign w:val="bottom"/>
                  <w:hideMark/>
                </w:tcPr>
                <w:p w14:paraId="4120A9AA"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(6.58)</w:t>
                  </w:r>
                </w:p>
              </w:tc>
            </w:tr>
          </w:tbl>
          <w:p w14:paraId="73ADA71E" w14:textId="77777777" w:rsidR="00D47A9D" w:rsidRPr="00D47A9D" w:rsidRDefault="00D47A9D">
            <w:pP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7627A338" w14:textId="77777777" w:rsidTr="00D47A9D">
              <w:trPr>
                <w:trHeight w:val="255"/>
              </w:trPr>
              <w:tc>
                <w:tcPr>
                  <w:tcW w:w="1160" w:type="dxa"/>
                  <w:tcBorders>
                    <w:top w:val="nil"/>
                    <w:left w:val="nil"/>
                    <w:bottom w:val="nil"/>
                    <w:right w:val="nil"/>
                  </w:tcBorders>
                  <w:shd w:val="clear" w:color="auto" w:fill="auto"/>
                  <w:noWrap/>
                  <w:vAlign w:val="bottom"/>
                  <w:hideMark/>
                </w:tcPr>
                <w:p w14:paraId="2AC58262"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0.245***</w:t>
                  </w:r>
                </w:p>
              </w:tc>
            </w:tr>
            <w:tr w:rsidR="00D47A9D" w:rsidRPr="00D47A9D" w14:paraId="4260909D" w14:textId="77777777" w:rsidTr="00D47A9D">
              <w:trPr>
                <w:trHeight w:val="255"/>
              </w:trPr>
              <w:tc>
                <w:tcPr>
                  <w:tcW w:w="1160" w:type="dxa"/>
                  <w:tcBorders>
                    <w:top w:val="nil"/>
                    <w:left w:val="nil"/>
                    <w:bottom w:val="nil"/>
                    <w:right w:val="nil"/>
                  </w:tcBorders>
                  <w:shd w:val="clear" w:color="auto" w:fill="auto"/>
                  <w:noWrap/>
                  <w:vAlign w:val="bottom"/>
                  <w:hideMark/>
                </w:tcPr>
                <w:p w14:paraId="69AD8F55"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(6.56)</w:t>
                  </w:r>
                </w:p>
              </w:tc>
            </w:tr>
          </w:tbl>
          <w:p w14:paraId="67F12202" w14:textId="77777777" w:rsidR="00D47A9D" w:rsidRPr="00D47A9D" w:rsidRDefault="00D47A9D">
            <w:pP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23D10B05" w14:textId="77777777" w:rsidTr="00D47A9D">
              <w:trPr>
                <w:trHeight w:val="255"/>
              </w:trPr>
              <w:tc>
                <w:tcPr>
                  <w:tcW w:w="1160" w:type="dxa"/>
                  <w:tcBorders>
                    <w:top w:val="nil"/>
                    <w:left w:val="nil"/>
                    <w:bottom w:val="nil"/>
                    <w:right w:val="nil"/>
                  </w:tcBorders>
                  <w:shd w:val="clear" w:color="auto" w:fill="auto"/>
                  <w:noWrap/>
                  <w:vAlign w:val="bottom"/>
                  <w:hideMark/>
                </w:tcPr>
                <w:p w14:paraId="2121AC05"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0.485***</w:t>
                  </w:r>
                </w:p>
              </w:tc>
            </w:tr>
            <w:tr w:rsidR="00D47A9D" w:rsidRPr="00D47A9D" w14:paraId="1744D94F" w14:textId="77777777" w:rsidTr="00D47A9D">
              <w:trPr>
                <w:trHeight w:val="255"/>
              </w:trPr>
              <w:tc>
                <w:tcPr>
                  <w:tcW w:w="1160" w:type="dxa"/>
                  <w:tcBorders>
                    <w:top w:val="nil"/>
                    <w:left w:val="nil"/>
                    <w:bottom w:val="nil"/>
                    <w:right w:val="nil"/>
                  </w:tcBorders>
                  <w:shd w:val="clear" w:color="auto" w:fill="auto"/>
                  <w:noWrap/>
                  <w:vAlign w:val="bottom"/>
                  <w:hideMark/>
                </w:tcPr>
                <w:p w14:paraId="25A07212"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(8.55)</w:t>
                  </w:r>
                </w:p>
              </w:tc>
            </w:tr>
          </w:tbl>
          <w:p w14:paraId="28B28729" w14:textId="77777777" w:rsidR="00D47A9D" w:rsidRPr="00D47A9D" w:rsidRDefault="00D47A9D">
            <w:pPr>
              <w:rPr>
                <w:rFonts w:asciiTheme="majorBidi" w:hAnsiTheme="majorBidi" w:cstheme="majorBidi"/>
                <w:sz w:val="22"/>
                <w:szCs w:val="22"/>
                <w:lang w:bidi="he-IL"/>
              </w:rPr>
            </w:pPr>
          </w:p>
        </w:tc>
      </w:tr>
      <w:tr w:rsidR="00D47A9D" w14:paraId="10BFDF2F" w14:textId="77777777" w:rsidTr="00B34F33">
        <w:tc>
          <w:tcPr>
            <w:tcW w:w="2869" w:type="dxa"/>
            <w:tcBorders>
              <w:top w:val="nil"/>
              <w:left w:val="nil"/>
              <w:bottom w:val="nil"/>
              <w:right w:val="nil"/>
            </w:tcBorders>
          </w:tcPr>
          <w:p w14:paraId="1657D2FC" w14:textId="79ADB545" w:rsidR="00D47A9D" w:rsidRPr="00D47A9D" w:rsidRDefault="004F4565">
            <w:pPr>
              <w:rPr>
                <w:rFonts w:asciiTheme="majorBidi" w:hAnsiTheme="majorBidi" w:cstheme="majorBidi"/>
                <w:sz w:val="22"/>
                <w:szCs w:val="22"/>
              </w:rPr>
            </w:pPr>
            <w:r>
              <w:rPr>
                <w:rFonts w:asciiTheme="majorBidi" w:hAnsiTheme="majorBidi" w:cstheme="majorBidi"/>
                <w:sz w:val="22"/>
                <w:szCs w:val="22"/>
              </w:rPr>
              <w:t>Talent</w:t>
            </w:r>
            <w:r w:rsidR="00D47A9D" w:rsidRPr="00D47A9D">
              <w:rPr>
                <w:rFonts w:asciiTheme="majorBidi" w:hAnsiTheme="majorBidi" w:cstheme="majorBidi"/>
                <w:sz w:val="22"/>
                <w:szCs w:val="22"/>
              </w:rPr>
              <w:t xml:space="preserve"> × Nurture</w:t>
            </w:r>
          </w:p>
          <w:p w14:paraId="472909BB" w14:textId="7F5C633B"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0C673017"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6DAC9E12"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12390FD4" w14:textId="77777777" w:rsidR="00D47A9D" w:rsidRPr="00D47A9D" w:rsidRDefault="00D47A9D" w:rsidP="00D47A9D">
            <w:pPr>
              <w:jc w:val="center"/>
              <w:rPr>
                <w:rFonts w:asciiTheme="majorBidi" w:hAnsiTheme="majorBidi" w:cstheme="majorBidi"/>
                <w:sz w:val="22"/>
                <w:szCs w:val="22"/>
                <w:lang w:bidi="he-IL"/>
              </w:rPr>
            </w:pPr>
          </w:p>
        </w:tc>
        <w:tc>
          <w:tcPr>
            <w:tcW w:w="1376" w:type="dxa"/>
            <w:tcBorders>
              <w:top w:val="nil"/>
              <w:left w:val="nil"/>
              <w:bottom w:val="nil"/>
              <w:right w:val="nil"/>
            </w:tcBorders>
          </w:tcPr>
          <w:p w14:paraId="3220F216" w14:textId="77777777" w:rsidR="00D47A9D" w:rsidRPr="00D47A9D" w:rsidRDefault="00D47A9D" w:rsidP="00D47A9D">
            <w:pPr>
              <w:jc w:val="cente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2794DB19" w14:textId="77777777" w:rsidTr="00D47A9D">
              <w:trPr>
                <w:trHeight w:val="255"/>
              </w:trPr>
              <w:tc>
                <w:tcPr>
                  <w:tcW w:w="1160" w:type="dxa"/>
                  <w:tcBorders>
                    <w:top w:val="nil"/>
                    <w:left w:val="nil"/>
                    <w:bottom w:val="nil"/>
                    <w:right w:val="nil"/>
                  </w:tcBorders>
                  <w:shd w:val="clear" w:color="auto" w:fill="auto"/>
                  <w:noWrap/>
                  <w:vAlign w:val="bottom"/>
                  <w:hideMark/>
                </w:tcPr>
                <w:p w14:paraId="74D196D8"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-0.443***</w:t>
                  </w:r>
                </w:p>
              </w:tc>
            </w:tr>
            <w:tr w:rsidR="00D47A9D" w:rsidRPr="00D47A9D" w14:paraId="4533DBF5" w14:textId="77777777" w:rsidTr="00D47A9D">
              <w:trPr>
                <w:trHeight w:val="255"/>
              </w:trPr>
              <w:tc>
                <w:tcPr>
                  <w:tcW w:w="1160" w:type="dxa"/>
                  <w:tcBorders>
                    <w:top w:val="nil"/>
                    <w:left w:val="nil"/>
                    <w:bottom w:val="nil"/>
                    <w:right w:val="nil"/>
                  </w:tcBorders>
                  <w:shd w:val="clear" w:color="auto" w:fill="auto"/>
                  <w:noWrap/>
                  <w:vAlign w:val="bottom"/>
                  <w:hideMark/>
                </w:tcPr>
                <w:p w14:paraId="14A62706"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(-5.89)</w:t>
                  </w:r>
                </w:p>
              </w:tc>
            </w:tr>
          </w:tbl>
          <w:p w14:paraId="34F40711" w14:textId="77777777" w:rsidR="00D47A9D" w:rsidRPr="00D47A9D" w:rsidRDefault="00D47A9D" w:rsidP="00D47A9D">
            <w:pPr>
              <w:jc w:val="center"/>
              <w:rPr>
                <w:rFonts w:asciiTheme="majorBidi" w:hAnsiTheme="majorBidi" w:cstheme="majorBidi"/>
                <w:sz w:val="22"/>
                <w:szCs w:val="22"/>
                <w:lang w:bidi="he-IL"/>
              </w:rPr>
            </w:pPr>
          </w:p>
        </w:tc>
      </w:tr>
      <w:tr w:rsidR="00D47A9D" w14:paraId="6534221D" w14:textId="77777777" w:rsidTr="00B34F33">
        <w:tc>
          <w:tcPr>
            <w:tcW w:w="2869" w:type="dxa"/>
            <w:tcBorders>
              <w:top w:val="nil"/>
              <w:left w:val="nil"/>
              <w:bottom w:val="nil"/>
              <w:right w:val="nil"/>
            </w:tcBorders>
          </w:tcPr>
          <w:p w14:paraId="2E103A53" w14:textId="7E9A345A" w:rsidR="00D47A9D" w:rsidRPr="00D47A9D" w:rsidRDefault="00D47A9D">
            <w:pPr>
              <w:rPr>
                <w:rFonts w:asciiTheme="majorBidi" w:hAnsiTheme="majorBidi" w:cstheme="majorBidi"/>
                <w:sz w:val="22"/>
                <w:szCs w:val="22"/>
              </w:rPr>
            </w:pPr>
            <w:r w:rsidRPr="00D47A9D">
              <w:rPr>
                <w:rFonts w:asciiTheme="majorBidi" w:hAnsiTheme="majorBidi" w:cstheme="majorBidi"/>
                <w:sz w:val="22"/>
                <w:szCs w:val="22"/>
              </w:rPr>
              <w:t>Tenure</w:t>
            </w:r>
          </w:p>
        </w:tc>
        <w:tc>
          <w:tcPr>
            <w:tcW w:w="1376" w:type="dxa"/>
            <w:tcBorders>
              <w:top w:val="nil"/>
              <w:left w:val="nil"/>
              <w:bottom w:val="nil"/>
              <w:right w:val="nil"/>
            </w:tcBorders>
          </w:tcPr>
          <w:p w14:paraId="3F9A4810"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1CCB5359" w14:textId="77777777" w:rsidR="00D47A9D" w:rsidRPr="00D47A9D" w:rsidRDefault="00D47A9D">
            <w:pPr>
              <w:rPr>
                <w:rFonts w:asciiTheme="majorBidi" w:hAnsiTheme="majorBidi" w:cstheme="majorBidi"/>
                <w:sz w:val="22"/>
                <w:szCs w:val="22"/>
              </w:rPr>
            </w:pPr>
          </w:p>
        </w:tc>
        <w:tc>
          <w:tcPr>
            <w:tcW w:w="1376" w:type="dxa"/>
            <w:tcBorders>
              <w:top w:val="nil"/>
              <w:left w:val="nil"/>
              <w:bottom w:val="nil"/>
              <w:right w:val="nil"/>
            </w:tcBorders>
          </w:tcPr>
          <w:p w14:paraId="3F494663" w14:textId="77777777" w:rsidR="00D47A9D" w:rsidRPr="00D47A9D" w:rsidRDefault="00D47A9D" w:rsidP="00D47A9D">
            <w:pPr>
              <w:jc w:val="center"/>
              <w:rPr>
                <w:rFonts w:asciiTheme="majorBidi" w:hAnsiTheme="majorBidi" w:cstheme="majorBidi"/>
                <w:sz w:val="22"/>
                <w:szCs w:val="22"/>
                <w:lang w:bidi="he-IL"/>
              </w:rPr>
            </w:pPr>
          </w:p>
        </w:tc>
        <w:tc>
          <w:tcPr>
            <w:tcW w:w="1376" w:type="dxa"/>
            <w:tcBorders>
              <w:top w:val="nil"/>
              <w:left w:val="nil"/>
              <w:bottom w:val="nil"/>
              <w:right w:val="nil"/>
            </w:tcBorders>
          </w:tcPr>
          <w:p w14:paraId="791E219F" w14:textId="77777777" w:rsidR="00D47A9D" w:rsidRPr="00D47A9D" w:rsidRDefault="00D47A9D" w:rsidP="00D47A9D">
            <w:pPr>
              <w:jc w:val="center"/>
              <w:rPr>
                <w:rFonts w:asciiTheme="majorBidi" w:hAnsiTheme="majorBidi" w:cstheme="majorBidi"/>
                <w:sz w:val="22"/>
                <w:szCs w:val="22"/>
                <w:lang w:bidi="he-IL"/>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D47A9D" w:rsidRPr="00D47A9D" w14:paraId="17557BED" w14:textId="77777777" w:rsidTr="00D47A9D">
              <w:trPr>
                <w:trHeight w:val="255"/>
              </w:trPr>
              <w:tc>
                <w:tcPr>
                  <w:tcW w:w="1160" w:type="dxa"/>
                  <w:tcBorders>
                    <w:top w:val="nil"/>
                    <w:left w:val="nil"/>
                    <w:bottom w:val="nil"/>
                    <w:right w:val="nil"/>
                  </w:tcBorders>
                  <w:shd w:val="clear" w:color="auto" w:fill="auto"/>
                  <w:noWrap/>
                  <w:vAlign w:val="bottom"/>
                  <w:hideMark/>
                </w:tcPr>
                <w:p w14:paraId="3BC889A6"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-0.044</w:t>
                  </w:r>
                </w:p>
              </w:tc>
            </w:tr>
            <w:tr w:rsidR="00D47A9D" w:rsidRPr="00D47A9D" w14:paraId="569AE8A0" w14:textId="77777777" w:rsidTr="00D47A9D">
              <w:trPr>
                <w:trHeight w:val="255"/>
              </w:trPr>
              <w:tc>
                <w:tcPr>
                  <w:tcW w:w="1160" w:type="dxa"/>
                  <w:tcBorders>
                    <w:top w:val="nil"/>
                    <w:left w:val="nil"/>
                    <w:bottom w:val="nil"/>
                    <w:right w:val="nil"/>
                  </w:tcBorders>
                  <w:shd w:val="clear" w:color="auto" w:fill="auto"/>
                  <w:noWrap/>
                  <w:vAlign w:val="bottom"/>
                  <w:hideMark/>
                </w:tcPr>
                <w:p w14:paraId="457FE5AD" w14:textId="77777777" w:rsidR="00D47A9D" w:rsidRPr="00D47A9D" w:rsidRDefault="00D47A9D" w:rsidP="00D47A9D">
                  <w:pPr>
                    <w:jc w:val="center"/>
                    <w:rPr>
                      <w:rFonts w:asciiTheme="majorBidi" w:hAnsiTheme="majorBidi" w:cstheme="majorBidi"/>
                      <w:sz w:val="22"/>
                      <w:szCs w:val="22"/>
                      <w:lang w:bidi="he-IL"/>
                    </w:rPr>
                  </w:pPr>
                  <w:r w:rsidRPr="00D47A9D">
                    <w:rPr>
                      <w:rFonts w:asciiTheme="majorBidi" w:hAnsiTheme="majorBidi" w:cstheme="majorBidi"/>
                      <w:sz w:val="22"/>
                      <w:szCs w:val="22"/>
                      <w:lang w:bidi="he-IL"/>
                    </w:rPr>
                    <w:t>(-1.31)</w:t>
                  </w:r>
                </w:p>
              </w:tc>
            </w:tr>
          </w:tbl>
          <w:p w14:paraId="13FCD2EA" w14:textId="77777777" w:rsidR="00D47A9D" w:rsidRPr="00D47A9D" w:rsidRDefault="00D47A9D" w:rsidP="00D47A9D">
            <w:pPr>
              <w:jc w:val="center"/>
              <w:rPr>
                <w:rFonts w:asciiTheme="majorBidi" w:hAnsiTheme="majorBidi" w:cstheme="majorBidi"/>
                <w:sz w:val="22"/>
                <w:szCs w:val="22"/>
                <w:lang w:bidi="he-IL"/>
              </w:rPr>
            </w:pPr>
          </w:p>
        </w:tc>
      </w:tr>
      <w:tr w:rsidR="00E00EE1" w14:paraId="4B19DABD" w14:textId="77777777" w:rsidTr="00B34F33">
        <w:tc>
          <w:tcPr>
            <w:tcW w:w="2869" w:type="dxa"/>
            <w:tcBorders>
              <w:top w:val="nil"/>
              <w:left w:val="nil"/>
              <w:bottom w:val="nil"/>
              <w:right w:val="nil"/>
            </w:tcBorders>
          </w:tcPr>
          <w:p w14:paraId="0B056342" w14:textId="2DD99768" w:rsidR="00E00EE1" w:rsidRPr="00D47A9D" w:rsidRDefault="00E00EE1">
            <w:pPr>
              <w:rPr>
                <w:rFonts w:asciiTheme="majorBidi" w:hAnsiTheme="majorBidi" w:cstheme="majorBidi"/>
                <w:sz w:val="22"/>
                <w:szCs w:val="22"/>
              </w:rPr>
            </w:pPr>
            <w:r>
              <w:rPr>
                <w:rFonts w:asciiTheme="majorBidi" w:hAnsiTheme="majorBidi" w:cstheme="majorBidi"/>
                <w:sz w:val="22"/>
                <w:szCs w:val="22"/>
              </w:rPr>
              <w:t>Pseudo R squared</w:t>
            </w:r>
          </w:p>
        </w:tc>
        <w:tc>
          <w:tcPr>
            <w:tcW w:w="1376" w:type="dxa"/>
            <w:tcBorders>
              <w:top w:val="nil"/>
              <w:left w:val="nil"/>
              <w:bottom w:val="nil"/>
              <w:right w:val="nil"/>
            </w:tcBorders>
          </w:tcPr>
          <w:p w14:paraId="68BD8EFA" w14:textId="2A70037D" w:rsidR="00E00EE1" w:rsidRPr="00D47A9D" w:rsidRDefault="00774DDA" w:rsidP="00774DDA">
            <w:pPr>
              <w:jc w:val="center"/>
              <w:rPr>
                <w:rFonts w:asciiTheme="majorBidi" w:hAnsiTheme="majorBidi" w:cstheme="majorBidi"/>
                <w:sz w:val="22"/>
                <w:szCs w:val="22"/>
              </w:rPr>
            </w:pPr>
            <w:r>
              <w:rPr>
                <w:rFonts w:asciiTheme="majorBidi" w:hAnsiTheme="majorBidi" w:cstheme="majorBidi"/>
                <w:sz w:val="22"/>
                <w:szCs w:val="22"/>
              </w:rPr>
              <w:t>0.0805</w:t>
            </w:r>
          </w:p>
        </w:tc>
        <w:tc>
          <w:tcPr>
            <w:tcW w:w="1376" w:type="dxa"/>
            <w:tcBorders>
              <w:top w:val="nil"/>
              <w:left w:val="nil"/>
              <w:bottom w:val="nil"/>
              <w:right w:val="nil"/>
            </w:tcBorders>
          </w:tcPr>
          <w:p w14:paraId="4B22E8E8" w14:textId="0B02A9E2" w:rsidR="00E00EE1" w:rsidRPr="00D47A9D" w:rsidRDefault="00774DDA" w:rsidP="00774DDA">
            <w:pPr>
              <w:jc w:val="center"/>
              <w:rPr>
                <w:rFonts w:asciiTheme="majorBidi" w:hAnsiTheme="majorBidi" w:cstheme="majorBidi"/>
                <w:sz w:val="22"/>
                <w:szCs w:val="22"/>
              </w:rPr>
            </w:pPr>
            <w:r>
              <w:rPr>
                <w:rFonts w:asciiTheme="majorBidi" w:hAnsiTheme="majorBidi" w:cstheme="majorBidi"/>
                <w:sz w:val="22"/>
                <w:szCs w:val="22"/>
              </w:rPr>
              <w:t>0.0242</w:t>
            </w:r>
          </w:p>
        </w:tc>
        <w:tc>
          <w:tcPr>
            <w:tcW w:w="1376" w:type="dxa"/>
            <w:tcBorders>
              <w:top w:val="nil"/>
              <w:left w:val="nil"/>
              <w:bottom w:val="nil"/>
              <w:right w:val="nil"/>
            </w:tcBorders>
          </w:tcPr>
          <w:p w14:paraId="154DEF31" w14:textId="40B125B2" w:rsidR="00E00EE1" w:rsidRPr="00D47A9D" w:rsidRDefault="00774DDA" w:rsidP="00774DDA">
            <w:pPr>
              <w:jc w:val="center"/>
              <w:rPr>
                <w:rFonts w:asciiTheme="majorBidi" w:hAnsiTheme="majorBidi" w:cstheme="majorBidi"/>
                <w:sz w:val="22"/>
                <w:szCs w:val="22"/>
                <w:lang w:bidi="he-IL"/>
              </w:rPr>
            </w:pPr>
            <w:r>
              <w:rPr>
                <w:rFonts w:asciiTheme="majorBidi" w:hAnsiTheme="majorBidi" w:cstheme="majorBidi"/>
                <w:sz w:val="22"/>
                <w:szCs w:val="22"/>
                <w:lang w:bidi="he-IL"/>
              </w:rPr>
              <w:t>0.0872</w:t>
            </w:r>
          </w:p>
        </w:tc>
        <w:tc>
          <w:tcPr>
            <w:tcW w:w="1376" w:type="dxa"/>
            <w:tcBorders>
              <w:top w:val="nil"/>
              <w:left w:val="nil"/>
              <w:bottom w:val="nil"/>
              <w:right w:val="nil"/>
            </w:tcBorders>
          </w:tcPr>
          <w:p w14:paraId="69DDD548" w14:textId="23D6DC02" w:rsidR="00E00EE1" w:rsidRPr="00D47A9D" w:rsidRDefault="00774DDA" w:rsidP="00774DDA">
            <w:pPr>
              <w:jc w:val="center"/>
              <w:rPr>
                <w:rFonts w:asciiTheme="majorBidi" w:hAnsiTheme="majorBidi" w:cstheme="majorBidi"/>
                <w:sz w:val="22"/>
                <w:szCs w:val="22"/>
                <w:lang w:bidi="he-IL"/>
              </w:rPr>
            </w:pPr>
            <w:r>
              <w:rPr>
                <w:rFonts w:asciiTheme="majorBidi" w:hAnsiTheme="majorBidi" w:cstheme="majorBidi"/>
                <w:sz w:val="22"/>
                <w:szCs w:val="22"/>
                <w:lang w:bidi="he-IL"/>
              </w:rPr>
              <w:t>0.0872</w:t>
            </w:r>
          </w:p>
        </w:tc>
        <w:tc>
          <w:tcPr>
            <w:tcW w:w="1376" w:type="dxa"/>
            <w:tcBorders>
              <w:top w:val="nil"/>
              <w:left w:val="nil"/>
              <w:bottom w:val="nil"/>
              <w:right w:val="nil"/>
            </w:tcBorders>
          </w:tcPr>
          <w:p w14:paraId="7E4C2AFB" w14:textId="7F0C40FD" w:rsidR="00E00EE1" w:rsidRPr="00D47A9D" w:rsidRDefault="00774DDA" w:rsidP="00774DDA">
            <w:pPr>
              <w:jc w:val="center"/>
              <w:rPr>
                <w:rFonts w:asciiTheme="majorBidi" w:hAnsiTheme="majorBidi" w:cstheme="majorBidi"/>
                <w:sz w:val="22"/>
                <w:szCs w:val="22"/>
                <w:lang w:bidi="he-IL"/>
              </w:rPr>
            </w:pPr>
            <w:r>
              <w:rPr>
                <w:rFonts w:asciiTheme="majorBidi" w:hAnsiTheme="majorBidi" w:cstheme="majorBidi"/>
                <w:sz w:val="22"/>
                <w:szCs w:val="22"/>
                <w:lang w:bidi="he-IL"/>
              </w:rPr>
              <w:t>0.0929</w:t>
            </w:r>
          </w:p>
        </w:tc>
      </w:tr>
      <w:tr w:rsidR="00E00EE1" w14:paraId="51588442" w14:textId="77777777" w:rsidTr="00B34F33">
        <w:tc>
          <w:tcPr>
            <w:tcW w:w="2869" w:type="dxa"/>
            <w:tcBorders>
              <w:top w:val="nil"/>
              <w:left w:val="nil"/>
              <w:bottom w:val="nil"/>
              <w:right w:val="nil"/>
            </w:tcBorders>
          </w:tcPr>
          <w:p w14:paraId="302A768C" w14:textId="425CE1C3" w:rsidR="00E00EE1" w:rsidRDefault="00E00EE1" w:rsidP="00E00EE1">
            <w:pPr>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obs</w:t>
            </w:r>
            <w:proofErr w:type="spellEnd"/>
          </w:p>
        </w:tc>
        <w:tc>
          <w:tcPr>
            <w:tcW w:w="1376" w:type="dxa"/>
            <w:tcBorders>
              <w:top w:val="nil"/>
              <w:left w:val="nil"/>
              <w:bottom w:val="nil"/>
              <w:right w:val="nil"/>
            </w:tcBorders>
          </w:tcPr>
          <w:p w14:paraId="6812B578" w14:textId="2405C2EA" w:rsidR="00E00EE1" w:rsidRPr="00D47A9D" w:rsidRDefault="00E00EE1" w:rsidP="00B0691A">
            <w:pPr>
              <w:jc w:val="center"/>
              <w:rPr>
                <w:rFonts w:asciiTheme="majorBidi" w:hAnsiTheme="majorBidi" w:cstheme="majorBidi"/>
                <w:sz w:val="22"/>
                <w:szCs w:val="22"/>
              </w:rPr>
            </w:pPr>
            <w:r>
              <w:rPr>
                <w:rFonts w:asciiTheme="majorBidi" w:hAnsiTheme="majorBidi" w:cstheme="majorBidi"/>
                <w:sz w:val="22"/>
                <w:szCs w:val="22"/>
              </w:rPr>
              <w:t>7,860</w:t>
            </w:r>
          </w:p>
        </w:tc>
        <w:tc>
          <w:tcPr>
            <w:tcW w:w="1376" w:type="dxa"/>
            <w:tcBorders>
              <w:top w:val="nil"/>
              <w:left w:val="nil"/>
              <w:bottom w:val="nil"/>
              <w:right w:val="nil"/>
            </w:tcBorders>
          </w:tcPr>
          <w:p w14:paraId="30C8A9EA" w14:textId="3EDE49CF" w:rsidR="00E00EE1" w:rsidRPr="00D47A9D" w:rsidRDefault="00E00EE1" w:rsidP="00B0691A">
            <w:pPr>
              <w:jc w:val="center"/>
              <w:rPr>
                <w:rFonts w:asciiTheme="majorBidi" w:hAnsiTheme="majorBidi" w:cstheme="majorBidi"/>
                <w:sz w:val="22"/>
                <w:szCs w:val="22"/>
              </w:rPr>
            </w:pPr>
            <w:r>
              <w:rPr>
                <w:rFonts w:asciiTheme="majorBidi" w:hAnsiTheme="majorBidi" w:cstheme="majorBidi"/>
                <w:sz w:val="22"/>
                <w:szCs w:val="22"/>
              </w:rPr>
              <w:t>7,860</w:t>
            </w:r>
          </w:p>
        </w:tc>
        <w:tc>
          <w:tcPr>
            <w:tcW w:w="1376" w:type="dxa"/>
            <w:tcBorders>
              <w:top w:val="nil"/>
              <w:left w:val="nil"/>
              <w:bottom w:val="nil"/>
              <w:right w:val="nil"/>
            </w:tcBorders>
          </w:tcPr>
          <w:p w14:paraId="1D2B5060" w14:textId="70C2721F" w:rsidR="00E00EE1" w:rsidRPr="00D47A9D" w:rsidRDefault="00E00EE1" w:rsidP="00B0691A">
            <w:pPr>
              <w:jc w:val="center"/>
              <w:rPr>
                <w:rFonts w:asciiTheme="majorBidi" w:hAnsiTheme="majorBidi" w:cstheme="majorBidi"/>
                <w:sz w:val="22"/>
                <w:szCs w:val="22"/>
                <w:lang w:bidi="he-IL"/>
              </w:rPr>
            </w:pPr>
            <w:r>
              <w:rPr>
                <w:rFonts w:asciiTheme="majorBidi" w:hAnsiTheme="majorBidi" w:cstheme="majorBidi"/>
                <w:sz w:val="22"/>
                <w:szCs w:val="22"/>
              </w:rPr>
              <w:t>7,860</w:t>
            </w:r>
          </w:p>
        </w:tc>
        <w:tc>
          <w:tcPr>
            <w:tcW w:w="1376" w:type="dxa"/>
            <w:tcBorders>
              <w:top w:val="nil"/>
              <w:left w:val="nil"/>
              <w:bottom w:val="nil"/>
              <w:right w:val="nil"/>
            </w:tcBorders>
          </w:tcPr>
          <w:p w14:paraId="21B7289A" w14:textId="6EA10CFD" w:rsidR="00E00EE1" w:rsidRPr="00D47A9D" w:rsidRDefault="00E00EE1" w:rsidP="00B0691A">
            <w:pPr>
              <w:jc w:val="center"/>
              <w:rPr>
                <w:rFonts w:asciiTheme="majorBidi" w:hAnsiTheme="majorBidi" w:cstheme="majorBidi"/>
                <w:sz w:val="22"/>
                <w:szCs w:val="22"/>
                <w:lang w:bidi="he-IL"/>
              </w:rPr>
            </w:pPr>
            <w:r>
              <w:rPr>
                <w:rFonts w:asciiTheme="majorBidi" w:hAnsiTheme="majorBidi" w:cstheme="majorBidi"/>
                <w:sz w:val="22"/>
                <w:szCs w:val="22"/>
              </w:rPr>
              <w:t>7,860</w:t>
            </w:r>
          </w:p>
        </w:tc>
        <w:tc>
          <w:tcPr>
            <w:tcW w:w="1376" w:type="dxa"/>
            <w:tcBorders>
              <w:top w:val="nil"/>
              <w:left w:val="nil"/>
              <w:bottom w:val="nil"/>
              <w:right w:val="nil"/>
            </w:tcBorders>
          </w:tcPr>
          <w:p w14:paraId="0A9D587E" w14:textId="337C3E52" w:rsidR="00E00EE1" w:rsidRPr="00D47A9D" w:rsidRDefault="00E00EE1" w:rsidP="00B0691A">
            <w:pPr>
              <w:jc w:val="center"/>
              <w:rPr>
                <w:rFonts w:asciiTheme="majorBidi" w:hAnsiTheme="majorBidi" w:cstheme="majorBidi"/>
                <w:sz w:val="22"/>
                <w:szCs w:val="22"/>
                <w:lang w:bidi="he-IL"/>
              </w:rPr>
            </w:pPr>
            <w:r>
              <w:rPr>
                <w:rFonts w:asciiTheme="majorBidi" w:hAnsiTheme="majorBidi" w:cstheme="majorBidi"/>
                <w:sz w:val="22"/>
                <w:szCs w:val="22"/>
              </w:rPr>
              <w:t>7,860</w:t>
            </w:r>
          </w:p>
        </w:tc>
      </w:tr>
      <w:tr w:rsidR="00B0691A" w14:paraId="5189F31D" w14:textId="77777777" w:rsidTr="00B34F33">
        <w:tc>
          <w:tcPr>
            <w:tcW w:w="6997" w:type="dxa"/>
            <w:gridSpan w:val="4"/>
            <w:tcBorders>
              <w:top w:val="nil"/>
              <w:left w:val="nil"/>
              <w:bottom w:val="single" w:sz="4" w:space="0" w:color="auto"/>
              <w:right w:val="nil"/>
            </w:tcBorders>
          </w:tcPr>
          <w:p w14:paraId="5575BD8E" w14:textId="638E8E3D" w:rsidR="00B0691A" w:rsidRDefault="00B0691A" w:rsidP="004F4565">
            <w:pPr>
              <w:rPr>
                <w:rFonts w:asciiTheme="majorBidi" w:hAnsiTheme="majorBidi" w:cstheme="majorBidi"/>
                <w:sz w:val="22"/>
                <w:szCs w:val="22"/>
              </w:rPr>
            </w:pPr>
            <w:r>
              <w:rPr>
                <w:rFonts w:asciiTheme="majorBidi" w:hAnsiTheme="majorBidi" w:cstheme="majorBidi"/>
                <w:sz w:val="22"/>
                <w:szCs w:val="22"/>
              </w:rPr>
              <w:t xml:space="preserve">Lower bound for </w:t>
            </w:r>
            <w:r w:rsidR="004F4565">
              <w:rPr>
                <w:rFonts w:asciiTheme="majorBidi" w:hAnsiTheme="majorBidi" w:cstheme="majorBidi"/>
                <w:sz w:val="22"/>
                <w:szCs w:val="22"/>
              </w:rPr>
              <w:t>nurture</w:t>
            </w:r>
            <w:r>
              <w:rPr>
                <w:rFonts w:asciiTheme="majorBidi" w:hAnsiTheme="majorBidi" w:cstheme="majorBidi"/>
                <w:sz w:val="22"/>
                <w:szCs w:val="22"/>
              </w:rPr>
              <w:t xml:space="preserve"> </w:t>
            </w:r>
            <w:r w:rsidR="00B34F33">
              <w:rPr>
                <w:rFonts w:asciiTheme="majorBidi" w:hAnsiTheme="majorBidi" w:cstheme="majorBidi"/>
                <w:sz w:val="22"/>
                <w:szCs w:val="22"/>
              </w:rPr>
              <w:t xml:space="preserve">effect; i.e., </w:t>
            </w:r>
            <w:r>
              <w:rPr>
                <w:rFonts w:asciiTheme="majorBidi" w:hAnsiTheme="majorBidi" w:cstheme="majorBidi"/>
                <w:sz w:val="22"/>
                <w:szCs w:val="22"/>
              </w:rPr>
              <w:t>b</w:t>
            </w:r>
            <w:r w:rsidR="00B34F33">
              <w:rPr>
                <w:rFonts w:asciiTheme="majorBidi" w:hAnsiTheme="majorBidi" w:cstheme="majorBidi"/>
                <w:sz w:val="22"/>
                <w:szCs w:val="22"/>
              </w:rPr>
              <w:t>[</w:t>
            </w:r>
            <w:r>
              <w:rPr>
                <w:rFonts w:asciiTheme="majorBidi" w:hAnsiTheme="majorBidi" w:cstheme="majorBidi"/>
                <w:sz w:val="22"/>
                <w:szCs w:val="22"/>
              </w:rPr>
              <w:t>nurture</w:t>
            </w:r>
            <w:r w:rsidR="00B34F33">
              <w:rPr>
                <w:rFonts w:asciiTheme="majorBidi" w:hAnsiTheme="majorBidi" w:cstheme="majorBidi"/>
                <w:sz w:val="22"/>
                <w:szCs w:val="22"/>
              </w:rPr>
              <w:t>]</w:t>
            </w:r>
            <w:r>
              <w:rPr>
                <w:rFonts w:asciiTheme="majorBidi" w:hAnsiTheme="majorBidi" w:cstheme="majorBidi"/>
                <w:sz w:val="22"/>
                <w:szCs w:val="22"/>
              </w:rPr>
              <w:t>/</w:t>
            </w:r>
            <w:r w:rsidR="00B34F33">
              <w:rPr>
                <w:rFonts w:asciiTheme="majorBidi" w:hAnsiTheme="majorBidi" w:cstheme="majorBidi"/>
                <w:sz w:val="22"/>
                <w:szCs w:val="22"/>
              </w:rPr>
              <w:t>(</w:t>
            </w:r>
            <w:r>
              <w:rPr>
                <w:rFonts w:asciiTheme="majorBidi" w:hAnsiTheme="majorBidi" w:cstheme="majorBidi"/>
                <w:sz w:val="22"/>
                <w:szCs w:val="22"/>
              </w:rPr>
              <w:t>b</w:t>
            </w:r>
            <w:r w:rsidR="00B34F33">
              <w:rPr>
                <w:rFonts w:asciiTheme="majorBidi" w:hAnsiTheme="majorBidi" w:cstheme="majorBidi"/>
                <w:sz w:val="22"/>
                <w:szCs w:val="22"/>
              </w:rPr>
              <w:t>[</w:t>
            </w:r>
            <w:r w:rsidR="004F4565">
              <w:rPr>
                <w:rFonts w:asciiTheme="majorBidi" w:hAnsiTheme="majorBidi" w:cstheme="majorBidi"/>
                <w:sz w:val="22"/>
                <w:szCs w:val="22"/>
              </w:rPr>
              <w:t>talent</w:t>
            </w:r>
            <w:r w:rsidR="00B34F33">
              <w:rPr>
                <w:rFonts w:asciiTheme="majorBidi" w:hAnsiTheme="majorBidi" w:cstheme="majorBidi"/>
                <w:sz w:val="22"/>
                <w:szCs w:val="22"/>
              </w:rPr>
              <w:t>]</w:t>
            </w:r>
            <w:r>
              <w:rPr>
                <w:rFonts w:asciiTheme="majorBidi" w:hAnsiTheme="majorBidi" w:cstheme="majorBidi"/>
                <w:sz w:val="22"/>
                <w:szCs w:val="22"/>
              </w:rPr>
              <w:t>+b</w:t>
            </w:r>
            <w:r w:rsidR="00B34F33">
              <w:rPr>
                <w:rFonts w:asciiTheme="majorBidi" w:hAnsiTheme="majorBidi" w:cstheme="majorBidi"/>
                <w:sz w:val="22"/>
                <w:szCs w:val="22"/>
              </w:rPr>
              <w:t>[</w:t>
            </w:r>
            <w:r>
              <w:rPr>
                <w:rFonts w:asciiTheme="majorBidi" w:hAnsiTheme="majorBidi" w:cstheme="majorBidi"/>
                <w:sz w:val="22"/>
                <w:szCs w:val="22"/>
              </w:rPr>
              <w:t>nurture]</w:t>
            </w:r>
            <w:r w:rsidR="00B34F33">
              <w:rPr>
                <w:rFonts w:asciiTheme="majorBidi" w:hAnsiTheme="majorBidi" w:cstheme="majorBidi"/>
                <w:sz w:val="22"/>
                <w:szCs w:val="22"/>
              </w:rPr>
              <w:t>)</w:t>
            </w:r>
          </w:p>
        </w:tc>
        <w:tc>
          <w:tcPr>
            <w:tcW w:w="1376" w:type="dxa"/>
            <w:tcBorders>
              <w:top w:val="nil"/>
              <w:left w:val="nil"/>
              <w:bottom w:val="single" w:sz="4" w:space="0" w:color="auto"/>
              <w:right w:val="nil"/>
            </w:tcBorders>
          </w:tcPr>
          <w:p w14:paraId="20F5CEC6" w14:textId="1F7417C7" w:rsidR="00B0691A" w:rsidRPr="00B34F33" w:rsidRDefault="00B058C6" w:rsidP="00E00EE1">
            <w:pPr>
              <w:jc w:val="center"/>
              <w:rPr>
                <w:rFonts w:asciiTheme="majorBidi" w:hAnsiTheme="majorBidi" w:cstheme="majorBidi"/>
                <w:b/>
                <w:bCs/>
                <w:sz w:val="22"/>
                <w:szCs w:val="22"/>
              </w:rPr>
            </w:pPr>
            <w:r>
              <w:rPr>
                <w:rFonts w:asciiTheme="majorBidi" w:hAnsiTheme="majorBidi" w:cstheme="majorBidi"/>
                <w:b/>
                <w:bCs/>
                <w:sz w:val="22"/>
                <w:szCs w:val="22"/>
              </w:rPr>
              <w:t>29%</w:t>
            </w:r>
          </w:p>
        </w:tc>
        <w:tc>
          <w:tcPr>
            <w:tcW w:w="1376" w:type="dxa"/>
            <w:tcBorders>
              <w:top w:val="nil"/>
              <w:left w:val="nil"/>
              <w:bottom w:val="single" w:sz="4" w:space="0" w:color="auto"/>
              <w:right w:val="nil"/>
            </w:tcBorders>
          </w:tcPr>
          <w:p w14:paraId="110A41C6" w14:textId="4E0DE981" w:rsidR="00B0691A" w:rsidRPr="00B34F33" w:rsidRDefault="00B058C6" w:rsidP="00E00EE1">
            <w:pPr>
              <w:jc w:val="center"/>
              <w:rPr>
                <w:rFonts w:asciiTheme="majorBidi" w:hAnsiTheme="majorBidi" w:cstheme="majorBidi"/>
                <w:b/>
                <w:bCs/>
                <w:sz w:val="22"/>
                <w:szCs w:val="22"/>
              </w:rPr>
            </w:pPr>
            <w:r>
              <w:rPr>
                <w:rFonts w:asciiTheme="majorBidi" w:hAnsiTheme="majorBidi" w:cstheme="majorBidi"/>
                <w:b/>
                <w:bCs/>
                <w:sz w:val="22"/>
                <w:szCs w:val="22"/>
              </w:rPr>
              <w:t>34%</w:t>
            </w:r>
          </w:p>
        </w:tc>
      </w:tr>
      <w:tr w:rsidR="00B0691A" w14:paraId="450B67BB" w14:textId="77777777" w:rsidTr="00B34F33">
        <w:tc>
          <w:tcPr>
            <w:tcW w:w="2869" w:type="dxa"/>
            <w:tcBorders>
              <w:top w:val="single" w:sz="4" w:space="0" w:color="auto"/>
              <w:left w:val="nil"/>
              <w:bottom w:val="nil"/>
              <w:right w:val="nil"/>
            </w:tcBorders>
          </w:tcPr>
          <w:p w14:paraId="6AE90C20" w14:textId="77777777" w:rsidR="00B0691A" w:rsidRDefault="00B0691A" w:rsidP="00E00EE1">
            <w:pPr>
              <w:rPr>
                <w:rFonts w:asciiTheme="majorBidi" w:hAnsiTheme="majorBidi" w:cstheme="majorBidi"/>
                <w:sz w:val="22"/>
                <w:szCs w:val="22"/>
              </w:rPr>
            </w:pPr>
          </w:p>
        </w:tc>
        <w:tc>
          <w:tcPr>
            <w:tcW w:w="6880" w:type="dxa"/>
            <w:gridSpan w:val="5"/>
            <w:tcBorders>
              <w:top w:val="single" w:sz="4" w:space="0" w:color="auto"/>
              <w:left w:val="nil"/>
              <w:bottom w:val="single" w:sz="4" w:space="0" w:color="auto"/>
              <w:right w:val="nil"/>
            </w:tcBorders>
          </w:tcPr>
          <w:p w14:paraId="3126AFAC" w14:textId="77777777" w:rsidR="00B34F33" w:rsidRDefault="00B34F33" w:rsidP="00B0691A">
            <w:pPr>
              <w:jc w:val="center"/>
              <w:rPr>
                <w:b/>
                <w:bCs/>
                <w:sz w:val="22"/>
                <w:szCs w:val="22"/>
              </w:rPr>
            </w:pPr>
          </w:p>
          <w:p w14:paraId="7D29BB82" w14:textId="5D1CB3B3" w:rsidR="00B0691A" w:rsidRDefault="00B0691A" w:rsidP="00B0691A">
            <w:pPr>
              <w:jc w:val="center"/>
              <w:rPr>
                <w:rFonts w:asciiTheme="majorBidi" w:hAnsiTheme="majorBidi" w:cstheme="majorBidi"/>
                <w:sz w:val="22"/>
                <w:szCs w:val="22"/>
              </w:rPr>
            </w:pPr>
            <w:r w:rsidRPr="00774DDA">
              <w:rPr>
                <w:b/>
                <w:bCs/>
                <w:sz w:val="22"/>
                <w:szCs w:val="22"/>
              </w:rPr>
              <w:t>Productivity in tenure 6-10 (Sample 2)</w:t>
            </w:r>
          </w:p>
        </w:tc>
      </w:tr>
      <w:tr w:rsidR="00774DDA" w14:paraId="7C8D9E10" w14:textId="77777777" w:rsidTr="00B34F33">
        <w:tc>
          <w:tcPr>
            <w:tcW w:w="2869" w:type="dxa"/>
            <w:tcBorders>
              <w:top w:val="single" w:sz="4" w:space="0" w:color="auto"/>
              <w:left w:val="nil"/>
              <w:bottom w:val="single" w:sz="4" w:space="0" w:color="auto"/>
              <w:right w:val="nil"/>
            </w:tcBorders>
          </w:tcPr>
          <w:p w14:paraId="0B92F565" w14:textId="77777777" w:rsidR="00774DDA" w:rsidRDefault="00774DDA" w:rsidP="00774DDA">
            <w:pPr>
              <w:rPr>
                <w:rFonts w:asciiTheme="majorBidi" w:hAnsiTheme="majorBidi" w:cstheme="majorBidi"/>
                <w:sz w:val="22"/>
                <w:szCs w:val="22"/>
              </w:rPr>
            </w:pPr>
          </w:p>
        </w:tc>
        <w:tc>
          <w:tcPr>
            <w:tcW w:w="1376" w:type="dxa"/>
            <w:tcBorders>
              <w:top w:val="single" w:sz="4" w:space="0" w:color="auto"/>
              <w:left w:val="nil"/>
              <w:bottom w:val="single" w:sz="4" w:space="0" w:color="auto"/>
              <w:right w:val="nil"/>
            </w:tcBorders>
          </w:tcPr>
          <w:p w14:paraId="1FDCE615" w14:textId="77777777" w:rsidR="00774DDA" w:rsidRDefault="00774DDA" w:rsidP="00774DDA">
            <w:pPr>
              <w:jc w:val="center"/>
              <w:rPr>
                <w:rFonts w:asciiTheme="majorBidi" w:hAnsiTheme="majorBidi" w:cstheme="majorBidi"/>
                <w:sz w:val="22"/>
                <w:szCs w:val="22"/>
              </w:rPr>
            </w:pPr>
          </w:p>
        </w:tc>
        <w:tc>
          <w:tcPr>
            <w:tcW w:w="1376" w:type="dxa"/>
            <w:tcBorders>
              <w:top w:val="single" w:sz="4" w:space="0" w:color="auto"/>
              <w:left w:val="nil"/>
              <w:bottom w:val="single" w:sz="4" w:space="0" w:color="auto"/>
              <w:right w:val="nil"/>
            </w:tcBorders>
          </w:tcPr>
          <w:p w14:paraId="7873648E" w14:textId="77777777" w:rsidR="00774DDA" w:rsidRDefault="00774DDA" w:rsidP="00774DDA">
            <w:pPr>
              <w:jc w:val="center"/>
              <w:rPr>
                <w:rFonts w:asciiTheme="majorBidi" w:hAnsiTheme="majorBidi" w:cstheme="majorBidi"/>
                <w:sz w:val="22"/>
                <w:szCs w:val="22"/>
              </w:rPr>
            </w:pPr>
          </w:p>
        </w:tc>
        <w:tc>
          <w:tcPr>
            <w:tcW w:w="1376" w:type="dxa"/>
            <w:tcBorders>
              <w:top w:val="single" w:sz="4" w:space="0" w:color="auto"/>
              <w:left w:val="nil"/>
              <w:bottom w:val="single" w:sz="4" w:space="0" w:color="auto"/>
              <w:right w:val="nil"/>
            </w:tcBorders>
          </w:tcPr>
          <w:p w14:paraId="7DE58CE0" w14:textId="77777777" w:rsidR="00774DDA" w:rsidRDefault="00774DDA" w:rsidP="00774DDA">
            <w:pPr>
              <w:jc w:val="center"/>
              <w:rPr>
                <w:rFonts w:asciiTheme="majorBidi" w:hAnsiTheme="majorBidi" w:cstheme="majorBidi"/>
                <w:sz w:val="22"/>
                <w:szCs w:val="22"/>
              </w:rPr>
            </w:pPr>
          </w:p>
        </w:tc>
        <w:tc>
          <w:tcPr>
            <w:tcW w:w="2752" w:type="dxa"/>
            <w:gridSpan w:val="2"/>
            <w:tcBorders>
              <w:top w:val="single" w:sz="4" w:space="0" w:color="auto"/>
              <w:left w:val="nil"/>
              <w:bottom w:val="single" w:sz="4" w:space="0" w:color="auto"/>
              <w:right w:val="nil"/>
            </w:tcBorders>
          </w:tcPr>
          <w:p w14:paraId="2819B04F" w14:textId="35BD8250" w:rsidR="00774DDA" w:rsidRDefault="00774DDA" w:rsidP="00774DDA">
            <w:pPr>
              <w:jc w:val="center"/>
              <w:rPr>
                <w:rFonts w:asciiTheme="majorBidi" w:hAnsiTheme="majorBidi" w:cstheme="majorBidi"/>
                <w:sz w:val="22"/>
                <w:szCs w:val="22"/>
              </w:rPr>
            </w:pPr>
            <w:r>
              <w:rPr>
                <w:sz w:val="22"/>
                <w:szCs w:val="22"/>
              </w:rPr>
              <w:t>Standardized independent variable</w:t>
            </w:r>
          </w:p>
        </w:tc>
      </w:tr>
      <w:tr w:rsidR="00774DDA" w14:paraId="47DEC5D3" w14:textId="77777777" w:rsidTr="00B34F33">
        <w:tc>
          <w:tcPr>
            <w:tcW w:w="2869" w:type="dxa"/>
            <w:tcBorders>
              <w:top w:val="single" w:sz="4" w:space="0" w:color="auto"/>
              <w:left w:val="nil"/>
              <w:bottom w:val="nil"/>
              <w:right w:val="nil"/>
            </w:tcBorders>
          </w:tcPr>
          <w:p w14:paraId="7D5A7CCC" w14:textId="77777777" w:rsidR="00774DDA" w:rsidRDefault="00774DDA" w:rsidP="00774DDA">
            <w:pPr>
              <w:rPr>
                <w:rFonts w:asciiTheme="majorBidi" w:hAnsiTheme="majorBidi" w:cstheme="majorBidi"/>
                <w:sz w:val="22"/>
                <w:szCs w:val="22"/>
              </w:rPr>
            </w:pPr>
          </w:p>
        </w:tc>
        <w:tc>
          <w:tcPr>
            <w:tcW w:w="1376" w:type="dxa"/>
            <w:tcBorders>
              <w:top w:val="single" w:sz="4" w:space="0" w:color="auto"/>
              <w:left w:val="nil"/>
              <w:bottom w:val="nil"/>
              <w:right w:val="nil"/>
            </w:tcBorders>
          </w:tcPr>
          <w:p w14:paraId="13728B95" w14:textId="66843367"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(6)</w:t>
            </w:r>
          </w:p>
        </w:tc>
        <w:tc>
          <w:tcPr>
            <w:tcW w:w="1376" w:type="dxa"/>
            <w:tcBorders>
              <w:top w:val="single" w:sz="4" w:space="0" w:color="auto"/>
              <w:left w:val="nil"/>
              <w:bottom w:val="nil"/>
              <w:right w:val="nil"/>
            </w:tcBorders>
          </w:tcPr>
          <w:p w14:paraId="2C619524" w14:textId="7C095DA6"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(7)</w:t>
            </w:r>
          </w:p>
        </w:tc>
        <w:tc>
          <w:tcPr>
            <w:tcW w:w="1376" w:type="dxa"/>
            <w:tcBorders>
              <w:top w:val="single" w:sz="4" w:space="0" w:color="auto"/>
              <w:left w:val="nil"/>
              <w:bottom w:val="nil"/>
              <w:right w:val="nil"/>
            </w:tcBorders>
          </w:tcPr>
          <w:p w14:paraId="36A360E4" w14:textId="0178CC4D"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(8)</w:t>
            </w:r>
          </w:p>
        </w:tc>
        <w:tc>
          <w:tcPr>
            <w:tcW w:w="1376" w:type="dxa"/>
            <w:tcBorders>
              <w:top w:val="single" w:sz="4" w:space="0" w:color="auto"/>
              <w:left w:val="nil"/>
              <w:bottom w:val="nil"/>
              <w:right w:val="nil"/>
            </w:tcBorders>
          </w:tcPr>
          <w:p w14:paraId="34C8EA5D" w14:textId="58DC32B3"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(9)</w:t>
            </w:r>
          </w:p>
        </w:tc>
        <w:tc>
          <w:tcPr>
            <w:tcW w:w="1376" w:type="dxa"/>
            <w:tcBorders>
              <w:top w:val="single" w:sz="4" w:space="0" w:color="auto"/>
              <w:left w:val="nil"/>
              <w:bottom w:val="nil"/>
              <w:right w:val="nil"/>
            </w:tcBorders>
          </w:tcPr>
          <w:p w14:paraId="1AD3BBF7" w14:textId="279D3994"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(10)</w:t>
            </w:r>
          </w:p>
        </w:tc>
      </w:tr>
      <w:tr w:rsidR="00774DDA" w14:paraId="56DAB357" w14:textId="77777777" w:rsidTr="00B34F33">
        <w:tc>
          <w:tcPr>
            <w:tcW w:w="2869" w:type="dxa"/>
            <w:tcBorders>
              <w:top w:val="nil"/>
              <w:left w:val="nil"/>
              <w:bottom w:val="nil"/>
              <w:right w:val="nil"/>
            </w:tcBorders>
          </w:tcPr>
          <w:p w14:paraId="3ADB0CDA" w14:textId="77777777" w:rsidR="004F4565" w:rsidRPr="00D47A9D" w:rsidRDefault="004F4565" w:rsidP="004F4565">
            <w:pPr>
              <w:rPr>
                <w:rFonts w:asciiTheme="majorBidi" w:hAnsiTheme="majorBidi" w:cstheme="majorBidi"/>
                <w:sz w:val="22"/>
                <w:szCs w:val="22"/>
              </w:rPr>
            </w:pPr>
            <w:r>
              <w:rPr>
                <w:rFonts w:asciiTheme="majorBidi" w:hAnsiTheme="majorBidi" w:cstheme="majorBidi"/>
                <w:sz w:val="22"/>
                <w:szCs w:val="22"/>
              </w:rPr>
              <w:t>Talent</w:t>
            </w:r>
          </w:p>
          <w:p w14:paraId="42092EC8"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7987D516" w14:textId="77777777" w:rsidTr="00B0691A">
              <w:trPr>
                <w:trHeight w:val="255"/>
              </w:trPr>
              <w:tc>
                <w:tcPr>
                  <w:tcW w:w="1160" w:type="dxa"/>
                  <w:tcBorders>
                    <w:top w:val="nil"/>
                    <w:left w:val="nil"/>
                    <w:bottom w:val="nil"/>
                    <w:right w:val="nil"/>
                  </w:tcBorders>
                  <w:shd w:val="clear" w:color="auto" w:fill="auto"/>
                  <w:noWrap/>
                  <w:vAlign w:val="bottom"/>
                  <w:hideMark/>
                </w:tcPr>
                <w:p w14:paraId="1356870E"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0.033***</w:t>
                  </w:r>
                </w:p>
              </w:tc>
            </w:tr>
            <w:tr w:rsidR="00774DDA" w:rsidRPr="00B0691A" w14:paraId="78FE769E" w14:textId="77777777" w:rsidTr="00B0691A">
              <w:trPr>
                <w:trHeight w:val="255"/>
              </w:trPr>
              <w:tc>
                <w:tcPr>
                  <w:tcW w:w="1160" w:type="dxa"/>
                  <w:tcBorders>
                    <w:top w:val="nil"/>
                    <w:left w:val="nil"/>
                    <w:bottom w:val="nil"/>
                    <w:right w:val="nil"/>
                  </w:tcBorders>
                  <w:shd w:val="clear" w:color="auto" w:fill="auto"/>
                  <w:noWrap/>
                  <w:vAlign w:val="bottom"/>
                  <w:hideMark/>
                </w:tcPr>
                <w:p w14:paraId="6B06A540"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(25.57)</w:t>
                  </w:r>
                </w:p>
              </w:tc>
            </w:tr>
          </w:tbl>
          <w:p w14:paraId="75547B75"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45112F50"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39556740" w14:textId="77777777" w:rsidTr="00B0691A">
              <w:trPr>
                <w:trHeight w:val="255"/>
              </w:trPr>
              <w:tc>
                <w:tcPr>
                  <w:tcW w:w="1160" w:type="dxa"/>
                  <w:tcBorders>
                    <w:top w:val="nil"/>
                    <w:left w:val="nil"/>
                    <w:bottom w:val="nil"/>
                    <w:right w:val="nil"/>
                  </w:tcBorders>
                  <w:shd w:val="clear" w:color="auto" w:fill="auto"/>
                  <w:noWrap/>
                  <w:vAlign w:val="bottom"/>
                  <w:hideMark/>
                </w:tcPr>
                <w:p w14:paraId="519E19ED"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0.030***</w:t>
                  </w:r>
                </w:p>
              </w:tc>
            </w:tr>
            <w:tr w:rsidR="00774DDA" w:rsidRPr="00B0691A" w14:paraId="2DEE745F" w14:textId="77777777" w:rsidTr="00B0691A">
              <w:trPr>
                <w:trHeight w:val="255"/>
              </w:trPr>
              <w:tc>
                <w:tcPr>
                  <w:tcW w:w="1160" w:type="dxa"/>
                  <w:tcBorders>
                    <w:top w:val="nil"/>
                    <w:left w:val="nil"/>
                    <w:bottom w:val="nil"/>
                    <w:right w:val="nil"/>
                  </w:tcBorders>
                  <w:shd w:val="clear" w:color="auto" w:fill="auto"/>
                  <w:noWrap/>
                  <w:vAlign w:val="bottom"/>
                  <w:hideMark/>
                </w:tcPr>
                <w:p w14:paraId="1C66C709"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(21.88)</w:t>
                  </w:r>
                </w:p>
              </w:tc>
            </w:tr>
          </w:tbl>
          <w:p w14:paraId="3F50FAFC"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7613C633" w14:textId="77777777" w:rsidTr="00B0691A">
              <w:trPr>
                <w:trHeight w:val="255"/>
              </w:trPr>
              <w:tc>
                <w:tcPr>
                  <w:tcW w:w="1160" w:type="dxa"/>
                  <w:tcBorders>
                    <w:top w:val="nil"/>
                    <w:left w:val="nil"/>
                    <w:bottom w:val="nil"/>
                    <w:right w:val="nil"/>
                  </w:tcBorders>
                  <w:shd w:val="clear" w:color="auto" w:fill="auto"/>
                  <w:noWrap/>
                  <w:vAlign w:val="bottom"/>
                  <w:hideMark/>
                </w:tcPr>
                <w:p w14:paraId="6474F625"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0.546***</w:t>
                  </w:r>
                </w:p>
              </w:tc>
            </w:tr>
            <w:tr w:rsidR="00774DDA" w:rsidRPr="00B0691A" w14:paraId="09F72A38" w14:textId="77777777" w:rsidTr="00B0691A">
              <w:trPr>
                <w:trHeight w:val="255"/>
              </w:trPr>
              <w:tc>
                <w:tcPr>
                  <w:tcW w:w="1160" w:type="dxa"/>
                  <w:tcBorders>
                    <w:top w:val="nil"/>
                    <w:left w:val="nil"/>
                    <w:bottom w:val="nil"/>
                    <w:right w:val="nil"/>
                  </w:tcBorders>
                  <w:shd w:val="clear" w:color="auto" w:fill="auto"/>
                  <w:noWrap/>
                  <w:vAlign w:val="bottom"/>
                  <w:hideMark/>
                </w:tcPr>
                <w:p w14:paraId="6FA78DC8"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(22.37)</w:t>
                  </w:r>
                </w:p>
              </w:tc>
            </w:tr>
          </w:tbl>
          <w:p w14:paraId="20B9771B"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42002227" w14:textId="77777777" w:rsidTr="00B0691A">
              <w:trPr>
                <w:trHeight w:val="255"/>
              </w:trPr>
              <w:tc>
                <w:tcPr>
                  <w:tcW w:w="1160" w:type="dxa"/>
                  <w:tcBorders>
                    <w:top w:val="nil"/>
                    <w:left w:val="nil"/>
                    <w:bottom w:val="nil"/>
                    <w:right w:val="nil"/>
                  </w:tcBorders>
                  <w:shd w:val="clear" w:color="auto" w:fill="auto"/>
                  <w:noWrap/>
                  <w:vAlign w:val="bottom"/>
                  <w:hideMark/>
                </w:tcPr>
                <w:p w14:paraId="1C31EA8F"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0.926***</w:t>
                  </w:r>
                </w:p>
              </w:tc>
            </w:tr>
            <w:tr w:rsidR="00774DDA" w:rsidRPr="00B0691A" w14:paraId="7EBDCE50" w14:textId="77777777" w:rsidTr="00B0691A">
              <w:trPr>
                <w:trHeight w:val="255"/>
              </w:trPr>
              <w:tc>
                <w:tcPr>
                  <w:tcW w:w="1160" w:type="dxa"/>
                  <w:tcBorders>
                    <w:top w:val="nil"/>
                    <w:left w:val="nil"/>
                    <w:bottom w:val="nil"/>
                    <w:right w:val="nil"/>
                  </w:tcBorders>
                  <w:shd w:val="clear" w:color="auto" w:fill="auto"/>
                  <w:noWrap/>
                  <w:vAlign w:val="bottom"/>
                  <w:hideMark/>
                </w:tcPr>
                <w:p w14:paraId="1A2B0078" w14:textId="77777777" w:rsidR="00774DDA" w:rsidRPr="00B0691A" w:rsidRDefault="00774DDA" w:rsidP="00774DDA">
                  <w:pPr>
                    <w:rPr>
                      <w:rFonts w:asciiTheme="majorBidi" w:hAnsiTheme="majorBidi" w:cstheme="majorBidi"/>
                      <w:sz w:val="22"/>
                      <w:szCs w:val="22"/>
                    </w:rPr>
                  </w:pPr>
                  <w:r w:rsidRPr="00B0691A">
                    <w:rPr>
                      <w:rFonts w:asciiTheme="majorBidi" w:hAnsiTheme="majorBidi" w:cstheme="majorBidi"/>
                      <w:sz w:val="22"/>
                      <w:szCs w:val="22"/>
                    </w:rPr>
                    <w:t>(13.03)</w:t>
                  </w:r>
                </w:p>
              </w:tc>
            </w:tr>
          </w:tbl>
          <w:p w14:paraId="061B0D52" w14:textId="77777777" w:rsidR="00774DDA" w:rsidRDefault="00774DDA" w:rsidP="00774DDA">
            <w:pPr>
              <w:rPr>
                <w:rFonts w:asciiTheme="majorBidi" w:hAnsiTheme="majorBidi" w:cstheme="majorBidi"/>
                <w:sz w:val="22"/>
                <w:szCs w:val="22"/>
              </w:rPr>
            </w:pPr>
          </w:p>
        </w:tc>
      </w:tr>
      <w:tr w:rsidR="00774DDA" w14:paraId="34A0982F" w14:textId="77777777" w:rsidTr="00B34F33">
        <w:tc>
          <w:tcPr>
            <w:tcW w:w="2869" w:type="dxa"/>
            <w:tcBorders>
              <w:top w:val="nil"/>
              <w:left w:val="nil"/>
              <w:bottom w:val="nil"/>
              <w:right w:val="nil"/>
            </w:tcBorders>
          </w:tcPr>
          <w:p w14:paraId="08312F37" w14:textId="77777777" w:rsidR="00774DDA" w:rsidRPr="00D47A9D" w:rsidRDefault="00774DDA" w:rsidP="00774DDA">
            <w:pPr>
              <w:rPr>
                <w:rFonts w:asciiTheme="majorBidi" w:hAnsiTheme="majorBidi" w:cstheme="majorBidi"/>
                <w:sz w:val="22"/>
                <w:szCs w:val="22"/>
              </w:rPr>
            </w:pPr>
            <w:r w:rsidRPr="00D47A9D">
              <w:rPr>
                <w:rFonts w:asciiTheme="majorBidi" w:hAnsiTheme="majorBidi" w:cstheme="majorBidi"/>
                <w:sz w:val="22"/>
                <w:szCs w:val="22"/>
              </w:rPr>
              <w:t>Nurture</w:t>
            </w:r>
          </w:p>
          <w:p w14:paraId="4AF95B03"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5B255CC0"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2A7A0C62" w14:textId="77777777" w:rsidTr="00B0691A">
              <w:trPr>
                <w:trHeight w:val="255"/>
              </w:trPr>
              <w:tc>
                <w:tcPr>
                  <w:tcW w:w="1160" w:type="dxa"/>
                  <w:tcBorders>
                    <w:top w:val="nil"/>
                    <w:left w:val="nil"/>
                    <w:bottom w:val="nil"/>
                    <w:right w:val="nil"/>
                  </w:tcBorders>
                  <w:shd w:val="clear" w:color="auto" w:fill="auto"/>
                  <w:noWrap/>
                  <w:vAlign w:val="bottom"/>
                  <w:hideMark/>
                </w:tcPr>
                <w:p w14:paraId="1A8CE6AC"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0.085***</w:t>
                  </w:r>
                </w:p>
              </w:tc>
            </w:tr>
            <w:tr w:rsidR="00774DDA" w:rsidRPr="00B0691A" w14:paraId="7049D292" w14:textId="77777777" w:rsidTr="00B0691A">
              <w:trPr>
                <w:trHeight w:val="255"/>
              </w:trPr>
              <w:tc>
                <w:tcPr>
                  <w:tcW w:w="1160" w:type="dxa"/>
                  <w:tcBorders>
                    <w:top w:val="nil"/>
                    <w:left w:val="nil"/>
                    <w:bottom w:val="nil"/>
                    <w:right w:val="nil"/>
                  </w:tcBorders>
                  <w:shd w:val="clear" w:color="auto" w:fill="auto"/>
                  <w:noWrap/>
                  <w:vAlign w:val="bottom"/>
                  <w:hideMark/>
                </w:tcPr>
                <w:p w14:paraId="2739D269"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(13.35)</w:t>
                  </w:r>
                </w:p>
              </w:tc>
            </w:tr>
          </w:tbl>
          <w:p w14:paraId="436429B6"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6D4F15EA" w14:textId="77777777" w:rsidTr="00B0691A">
              <w:trPr>
                <w:trHeight w:val="255"/>
              </w:trPr>
              <w:tc>
                <w:tcPr>
                  <w:tcW w:w="1160" w:type="dxa"/>
                  <w:tcBorders>
                    <w:top w:val="nil"/>
                    <w:left w:val="nil"/>
                    <w:bottom w:val="nil"/>
                    <w:right w:val="nil"/>
                  </w:tcBorders>
                  <w:shd w:val="clear" w:color="auto" w:fill="auto"/>
                  <w:noWrap/>
                  <w:vAlign w:val="bottom"/>
                  <w:hideMark/>
                </w:tcPr>
                <w:p w14:paraId="489A94E6"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0.046***</w:t>
                  </w:r>
                </w:p>
              </w:tc>
            </w:tr>
            <w:tr w:rsidR="00774DDA" w:rsidRPr="00B0691A" w14:paraId="7EFFCF7B" w14:textId="77777777" w:rsidTr="00B0691A">
              <w:trPr>
                <w:trHeight w:val="255"/>
              </w:trPr>
              <w:tc>
                <w:tcPr>
                  <w:tcW w:w="1160" w:type="dxa"/>
                  <w:tcBorders>
                    <w:top w:val="nil"/>
                    <w:left w:val="nil"/>
                    <w:bottom w:val="nil"/>
                    <w:right w:val="nil"/>
                  </w:tcBorders>
                  <w:shd w:val="clear" w:color="auto" w:fill="auto"/>
                  <w:noWrap/>
                  <w:vAlign w:val="bottom"/>
                  <w:hideMark/>
                </w:tcPr>
                <w:p w14:paraId="0E08B476"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(7.10)</w:t>
                  </w:r>
                </w:p>
              </w:tc>
            </w:tr>
          </w:tbl>
          <w:p w14:paraId="74A0FD89"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6E0A8E2C" w14:textId="77777777" w:rsidTr="00B0691A">
              <w:trPr>
                <w:trHeight w:val="255"/>
              </w:trPr>
              <w:tc>
                <w:tcPr>
                  <w:tcW w:w="1160" w:type="dxa"/>
                  <w:tcBorders>
                    <w:top w:val="nil"/>
                    <w:left w:val="nil"/>
                    <w:bottom w:val="nil"/>
                    <w:right w:val="nil"/>
                  </w:tcBorders>
                  <w:shd w:val="clear" w:color="auto" w:fill="auto"/>
                  <w:noWrap/>
                  <w:vAlign w:val="bottom"/>
                  <w:hideMark/>
                </w:tcPr>
                <w:p w14:paraId="00162EB5"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0.238***</w:t>
                  </w:r>
                </w:p>
              </w:tc>
            </w:tr>
            <w:tr w:rsidR="00774DDA" w:rsidRPr="00B0691A" w14:paraId="7B9735C4" w14:textId="77777777" w:rsidTr="00B0691A">
              <w:trPr>
                <w:trHeight w:val="255"/>
              </w:trPr>
              <w:tc>
                <w:tcPr>
                  <w:tcW w:w="1160" w:type="dxa"/>
                  <w:tcBorders>
                    <w:top w:val="nil"/>
                    <w:left w:val="nil"/>
                    <w:bottom w:val="nil"/>
                    <w:right w:val="nil"/>
                  </w:tcBorders>
                  <w:shd w:val="clear" w:color="auto" w:fill="auto"/>
                  <w:noWrap/>
                  <w:vAlign w:val="bottom"/>
                  <w:hideMark/>
                </w:tcPr>
                <w:p w14:paraId="25FD2593"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(7.02)</w:t>
                  </w:r>
                </w:p>
              </w:tc>
            </w:tr>
          </w:tbl>
          <w:p w14:paraId="5F2B697A"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6E9AB4E7" w14:textId="77777777" w:rsidTr="00B0691A">
              <w:trPr>
                <w:trHeight w:val="255"/>
              </w:trPr>
              <w:tc>
                <w:tcPr>
                  <w:tcW w:w="1160" w:type="dxa"/>
                  <w:tcBorders>
                    <w:top w:val="nil"/>
                    <w:left w:val="nil"/>
                    <w:bottom w:val="nil"/>
                    <w:right w:val="nil"/>
                  </w:tcBorders>
                  <w:shd w:val="clear" w:color="auto" w:fill="auto"/>
                  <w:noWrap/>
                  <w:vAlign w:val="bottom"/>
                  <w:hideMark/>
                </w:tcPr>
                <w:p w14:paraId="6662927D"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0.434***</w:t>
                  </w:r>
                </w:p>
              </w:tc>
            </w:tr>
            <w:tr w:rsidR="00774DDA" w:rsidRPr="00B0691A" w14:paraId="630B6099" w14:textId="77777777" w:rsidTr="00B0691A">
              <w:trPr>
                <w:trHeight w:val="255"/>
              </w:trPr>
              <w:tc>
                <w:tcPr>
                  <w:tcW w:w="1160" w:type="dxa"/>
                  <w:tcBorders>
                    <w:top w:val="nil"/>
                    <w:left w:val="nil"/>
                    <w:bottom w:val="nil"/>
                    <w:right w:val="nil"/>
                  </w:tcBorders>
                  <w:shd w:val="clear" w:color="auto" w:fill="auto"/>
                  <w:noWrap/>
                  <w:vAlign w:val="bottom"/>
                  <w:hideMark/>
                </w:tcPr>
                <w:p w14:paraId="401AE68C"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(8.59)</w:t>
                  </w:r>
                </w:p>
              </w:tc>
            </w:tr>
          </w:tbl>
          <w:p w14:paraId="1F7A5F24" w14:textId="77777777" w:rsidR="00774DDA" w:rsidRDefault="00774DDA" w:rsidP="00774DDA">
            <w:pPr>
              <w:jc w:val="center"/>
              <w:rPr>
                <w:rFonts w:asciiTheme="majorBidi" w:hAnsiTheme="majorBidi" w:cstheme="majorBidi"/>
                <w:sz w:val="22"/>
                <w:szCs w:val="22"/>
              </w:rPr>
            </w:pPr>
          </w:p>
        </w:tc>
      </w:tr>
      <w:tr w:rsidR="00774DDA" w14:paraId="37DCC3D8" w14:textId="77777777" w:rsidTr="00B34F33">
        <w:tc>
          <w:tcPr>
            <w:tcW w:w="2869" w:type="dxa"/>
            <w:tcBorders>
              <w:top w:val="nil"/>
              <w:left w:val="nil"/>
              <w:bottom w:val="nil"/>
              <w:right w:val="nil"/>
            </w:tcBorders>
          </w:tcPr>
          <w:p w14:paraId="2B521740" w14:textId="1148D5DA" w:rsidR="00774DDA" w:rsidRPr="00D47A9D" w:rsidRDefault="004F4565" w:rsidP="004F4565">
            <w:pPr>
              <w:rPr>
                <w:rFonts w:asciiTheme="majorBidi" w:hAnsiTheme="majorBidi" w:cstheme="majorBidi"/>
                <w:sz w:val="22"/>
                <w:szCs w:val="22"/>
              </w:rPr>
            </w:pPr>
            <w:r>
              <w:rPr>
                <w:rFonts w:asciiTheme="majorBidi" w:hAnsiTheme="majorBidi" w:cstheme="majorBidi"/>
                <w:sz w:val="22"/>
                <w:szCs w:val="22"/>
              </w:rPr>
              <w:t xml:space="preserve">Talent </w:t>
            </w:r>
            <w:r w:rsidR="00774DDA" w:rsidRPr="00D47A9D">
              <w:rPr>
                <w:rFonts w:asciiTheme="majorBidi" w:hAnsiTheme="majorBidi" w:cstheme="majorBidi"/>
                <w:sz w:val="22"/>
                <w:szCs w:val="22"/>
              </w:rPr>
              <w:t>× Nurture</w:t>
            </w:r>
          </w:p>
          <w:p w14:paraId="4924784C" w14:textId="77777777" w:rsidR="00774DDA" w:rsidRPr="00D47A9D"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1727E376"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704DF643"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79ED64B8"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p w14:paraId="233DD4C4"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5F8569B6" w14:textId="77777777" w:rsidTr="00B0691A">
              <w:trPr>
                <w:trHeight w:val="255"/>
              </w:trPr>
              <w:tc>
                <w:tcPr>
                  <w:tcW w:w="1160" w:type="dxa"/>
                  <w:tcBorders>
                    <w:top w:val="nil"/>
                    <w:left w:val="nil"/>
                    <w:bottom w:val="nil"/>
                    <w:right w:val="nil"/>
                  </w:tcBorders>
                  <w:shd w:val="clear" w:color="auto" w:fill="auto"/>
                  <w:noWrap/>
                  <w:vAlign w:val="bottom"/>
                  <w:hideMark/>
                </w:tcPr>
                <w:p w14:paraId="17B03F9F"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-0.435***</w:t>
                  </w:r>
                </w:p>
              </w:tc>
            </w:tr>
            <w:tr w:rsidR="00774DDA" w:rsidRPr="00B0691A" w14:paraId="459A1A89" w14:textId="77777777" w:rsidTr="00B0691A">
              <w:trPr>
                <w:trHeight w:val="255"/>
              </w:trPr>
              <w:tc>
                <w:tcPr>
                  <w:tcW w:w="1160" w:type="dxa"/>
                  <w:tcBorders>
                    <w:top w:val="nil"/>
                    <w:left w:val="nil"/>
                    <w:bottom w:val="nil"/>
                    <w:right w:val="nil"/>
                  </w:tcBorders>
                  <w:shd w:val="clear" w:color="auto" w:fill="auto"/>
                  <w:noWrap/>
                  <w:vAlign w:val="bottom"/>
                  <w:hideMark/>
                </w:tcPr>
                <w:p w14:paraId="1C3558BD"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(-5.67)</w:t>
                  </w:r>
                </w:p>
              </w:tc>
            </w:tr>
          </w:tbl>
          <w:p w14:paraId="161828AA" w14:textId="77777777" w:rsidR="00774DDA" w:rsidRDefault="00774DDA" w:rsidP="00774DDA">
            <w:pPr>
              <w:jc w:val="center"/>
              <w:rPr>
                <w:rFonts w:asciiTheme="majorBidi" w:hAnsiTheme="majorBidi" w:cstheme="majorBidi"/>
                <w:sz w:val="22"/>
                <w:szCs w:val="22"/>
              </w:rPr>
            </w:pPr>
          </w:p>
        </w:tc>
      </w:tr>
      <w:tr w:rsidR="00774DDA" w14:paraId="30DB8C72" w14:textId="77777777" w:rsidTr="00B34F33">
        <w:tc>
          <w:tcPr>
            <w:tcW w:w="2869" w:type="dxa"/>
            <w:tcBorders>
              <w:top w:val="nil"/>
              <w:left w:val="nil"/>
              <w:bottom w:val="nil"/>
              <w:right w:val="nil"/>
            </w:tcBorders>
          </w:tcPr>
          <w:p w14:paraId="0BA8D3A1" w14:textId="71A7CCE6" w:rsidR="00774DDA" w:rsidRPr="00D47A9D" w:rsidRDefault="00774DDA" w:rsidP="00774DDA">
            <w:pPr>
              <w:rPr>
                <w:rFonts w:asciiTheme="majorBidi" w:hAnsiTheme="majorBidi" w:cstheme="majorBidi"/>
                <w:sz w:val="22"/>
                <w:szCs w:val="22"/>
              </w:rPr>
            </w:pPr>
            <w:r w:rsidRPr="00D47A9D">
              <w:rPr>
                <w:rFonts w:asciiTheme="majorBidi" w:hAnsiTheme="majorBidi" w:cstheme="majorBidi"/>
                <w:sz w:val="22"/>
                <w:szCs w:val="22"/>
              </w:rPr>
              <w:t>Tenure</w:t>
            </w:r>
          </w:p>
        </w:tc>
        <w:tc>
          <w:tcPr>
            <w:tcW w:w="1376" w:type="dxa"/>
            <w:tcBorders>
              <w:top w:val="nil"/>
              <w:left w:val="nil"/>
              <w:bottom w:val="nil"/>
              <w:right w:val="nil"/>
            </w:tcBorders>
          </w:tcPr>
          <w:p w14:paraId="66CB83F4"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289217E3" w14:textId="77777777" w:rsidR="00774DDA" w:rsidRDefault="00774DDA" w:rsidP="00774DDA">
            <w:pPr>
              <w:rPr>
                <w:rFonts w:asciiTheme="majorBidi" w:hAnsiTheme="majorBidi" w:cstheme="majorBidi"/>
                <w:sz w:val="22"/>
                <w:szCs w:val="22"/>
              </w:rPr>
            </w:pPr>
          </w:p>
        </w:tc>
        <w:tc>
          <w:tcPr>
            <w:tcW w:w="1376" w:type="dxa"/>
            <w:tcBorders>
              <w:top w:val="nil"/>
              <w:left w:val="nil"/>
              <w:bottom w:val="nil"/>
              <w:right w:val="nil"/>
            </w:tcBorders>
          </w:tcPr>
          <w:p w14:paraId="07AB16B1"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p w14:paraId="499232C2" w14:textId="77777777" w:rsidR="00774DDA" w:rsidRDefault="00774DDA" w:rsidP="00774DDA">
            <w:pPr>
              <w:jc w:val="center"/>
              <w:rPr>
                <w:rFonts w:asciiTheme="majorBidi" w:hAnsiTheme="majorBidi" w:cstheme="majorBidi"/>
                <w:sz w:val="22"/>
                <w:szCs w:val="22"/>
              </w:rPr>
            </w:pPr>
          </w:p>
        </w:tc>
        <w:tc>
          <w:tcPr>
            <w:tcW w:w="1376" w:type="dxa"/>
            <w:tcBorders>
              <w:top w:val="nil"/>
              <w:left w:val="nil"/>
              <w:bottom w:val="nil"/>
              <w:right w:val="nil"/>
            </w:tcBorders>
          </w:tcPr>
          <w:tbl>
            <w:tblPr>
              <w:tblW w:w="1160" w:type="dxa"/>
              <w:tblLook w:val="04A0" w:firstRow="1" w:lastRow="0" w:firstColumn="1" w:lastColumn="0" w:noHBand="0" w:noVBand="1"/>
            </w:tblPr>
            <w:tblGrid>
              <w:gridCol w:w="1160"/>
            </w:tblGrid>
            <w:tr w:rsidR="00774DDA" w:rsidRPr="00B0691A" w14:paraId="399AA289" w14:textId="77777777" w:rsidTr="00B0691A">
              <w:trPr>
                <w:trHeight w:val="255"/>
              </w:trPr>
              <w:tc>
                <w:tcPr>
                  <w:tcW w:w="1160" w:type="dxa"/>
                  <w:tcBorders>
                    <w:top w:val="nil"/>
                    <w:left w:val="nil"/>
                    <w:bottom w:val="nil"/>
                    <w:right w:val="nil"/>
                  </w:tcBorders>
                  <w:shd w:val="clear" w:color="auto" w:fill="auto"/>
                  <w:noWrap/>
                  <w:vAlign w:val="bottom"/>
                  <w:hideMark/>
                </w:tcPr>
                <w:p w14:paraId="50BE8FAC"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-0.076***</w:t>
                  </w:r>
                </w:p>
              </w:tc>
            </w:tr>
            <w:tr w:rsidR="00774DDA" w:rsidRPr="00B0691A" w14:paraId="2AB977D9" w14:textId="77777777" w:rsidTr="00B0691A">
              <w:trPr>
                <w:trHeight w:val="255"/>
              </w:trPr>
              <w:tc>
                <w:tcPr>
                  <w:tcW w:w="1160" w:type="dxa"/>
                  <w:tcBorders>
                    <w:top w:val="nil"/>
                    <w:left w:val="nil"/>
                    <w:bottom w:val="nil"/>
                    <w:right w:val="nil"/>
                  </w:tcBorders>
                  <w:shd w:val="clear" w:color="auto" w:fill="auto"/>
                  <w:noWrap/>
                  <w:vAlign w:val="bottom"/>
                  <w:hideMark/>
                </w:tcPr>
                <w:p w14:paraId="7C5A2E91" w14:textId="77777777" w:rsidR="00774DDA" w:rsidRPr="00B0691A" w:rsidRDefault="00774DDA" w:rsidP="00774DDA">
                  <w:pPr>
                    <w:jc w:val="center"/>
                    <w:rPr>
                      <w:rFonts w:asciiTheme="majorBidi" w:hAnsiTheme="majorBidi" w:cstheme="majorBidi"/>
                      <w:sz w:val="22"/>
                      <w:szCs w:val="22"/>
                    </w:rPr>
                  </w:pPr>
                  <w:r w:rsidRPr="00B0691A">
                    <w:rPr>
                      <w:rFonts w:asciiTheme="majorBidi" w:hAnsiTheme="majorBidi" w:cstheme="majorBidi"/>
                      <w:sz w:val="22"/>
                      <w:szCs w:val="22"/>
                    </w:rPr>
                    <w:t>(-2.66)</w:t>
                  </w:r>
                </w:p>
              </w:tc>
            </w:tr>
          </w:tbl>
          <w:p w14:paraId="08B207A2" w14:textId="77777777" w:rsidR="00774DDA" w:rsidRDefault="00774DDA" w:rsidP="00774DDA">
            <w:pPr>
              <w:jc w:val="center"/>
              <w:rPr>
                <w:rFonts w:asciiTheme="majorBidi" w:hAnsiTheme="majorBidi" w:cstheme="majorBidi"/>
                <w:sz w:val="22"/>
                <w:szCs w:val="22"/>
              </w:rPr>
            </w:pPr>
          </w:p>
        </w:tc>
      </w:tr>
      <w:tr w:rsidR="00774DDA" w14:paraId="4B783B35" w14:textId="77777777" w:rsidTr="00B34F33">
        <w:tc>
          <w:tcPr>
            <w:tcW w:w="2869" w:type="dxa"/>
            <w:tcBorders>
              <w:top w:val="nil"/>
              <w:left w:val="nil"/>
              <w:bottom w:val="nil"/>
              <w:right w:val="nil"/>
            </w:tcBorders>
          </w:tcPr>
          <w:p w14:paraId="736DAC36" w14:textId="5E843273" w:rsidR="00774DDA" w:rsidRPr="00D47A9D" w:rsidRDefault="00774DDA" w:rsidP="00774DDA">
            <w:pPr>
              <w:rPr>
                <w:rFonts w:asciiTheme="majorBidi" w:hAnsiTheme="majorBidi" w:cstheme="majorBidi"/>
                <w:sz w:val="22"/>
                <w:szCs w:val="22"/>
              </w:rPr>
            </w:pPr>
            <w:r>
              <w:rPr>
                <w:rFonts w:asciiTheme="majorBidi" w:hAnsiTheme="majorBidi" w:cstheme="majorBidi"/>
                <w:sz w:val="22"/>
                <w:szCs w:val="22"/>
              </w:rPr>
              <w:t>Pseudo R squared</w:t>
            </w:r>
          </w:p>
        </w:tc>
        <w:tc>
          <w:tcPr>
            <w:tcW w:w="1376" w:type="dxa"/>
            <w:tcBorders>
              <w:top w:val="nil"/>
              <w:left w:val="nil"/>
              <w:bottom w:val="nil"/>
              <w:right w:val="nil"/>
            </w:tcBorders>
          </w:tcPr>
          <w:p w14:paraId="51749ADD" w14:textId="5B27E396"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0.0671</w:t>
            </w:r>
          </w:p>
        </w:tc>
        <w:tc>
          <w:tcPr>
            <w:tcW w:w="1376" w:type="dxa"/>
            <w:tcBorders>
              <w:top w:val="nil"/>
              <w:left w:val="nil"/>
              <w:bottom w:val="nil"/>
              <w:right w:val="nil"/>
            </w:tcBorders>
          </w:tcPr>
          <w:p w14:paraId="0165E4E2" w14:textId="041D5E59"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0.0198</w:t>
            </w:r>
          </w:p>
        </w:tc>
        <w:tc>
          <w:tcPr>
            <w:tcW w:w="1376" w:type="dxa"/>
            <w:tcBorders>
              <w:top w:val="nil"/>
              <w:left w:val="nil"/>
              <w:bottom w:val="nil"/>
              <w:right w:val="nil"/>
            </w:tcBorders>
          </w:tcPr>
          <w:p w14:paraId="3D0A685A" w14:textId="2B49BA78"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0.0728</w:t>
            </w:r>
          </w:p>
        </w:tc>
        <w:tc>
          <w:tcPr>
            <w:tcW w:w="1376" w:type="dxa"/>
            <w:tcBorders>
              <w:top w:val="nil"/>
              <w:left w:val="nil"/>
              <w:bottom w:val="nil"/>
              <w:right w:val="nil"/>
            </w:tcBorders>
          </w:tcPr>
          <w:p w14:paraId="53520BA7" w14:textId="78885AE1"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0.0728</w:t>
            </w:r>
          </w:p>
        </w:tc>
        <w:tc>
          <w:tcPr>
            <w:tcW w:w="1376" w:type="dxa"/>
            <w:tcBorders>
              <w:top w:val="nil"/>
              <w:left w:val="nil"/>
              <w:bottom w:val="nil"/>
              <w:right w:val="nil"/>
            </w:tcBorders>
          </w:tcPr>
          <w:p w14:paraId="0D95EB80" w14:textId="2087A8F2"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0.077</w:t>
            </w:r>
          </w:p>
        </w:tc>
      </w:tr>
      <w:tr w:rsidR="00774DDA" w14:paraId="31771E34" w14:textId="77777777" w:rsidTr="00B34F33">
        <w:tc>
          <w:tcPr>
            <w:tcW w:w="2869" w:type="dxa"/>
            <w:tcBorders>
              <w:top w:val="nil"/>
              <w:left w:val="nil"/>
              <w:bottom w:val="nil"/>
              <w:right w:val="nil"/>
            </w:tcBorders>
          </w:tcPr>
          <w:p w14:paraId="64777337" w14:textId="41CE7B85" w:rsidR="00774DDA" w:rsidRDefault="00774DDA" w:rsidP="00774DDA">
            <w:pPr>
              <w:rPr>
                <w:rFonts w:asciiTheme="majorBidi" w:hAnsiTheme="majorBidi" w:cstheme="majorBidi"/>
                <w:sz w:val="22"/>
                <w:szCs w:val="22"/>
              </w:rPr>
            </w:pPr>
            <w:r>
              <w:rPr>
                <w:rFonts w:asciiTheme="majorBidi" w:hAnsiTheme="majorBidi" w:cstheme="majorBidi"/>
                <w:sz w:val="22"/>
                <w:szCs w:val="22"/>
              </w:rPr>
              <w:t xml:space="preserve"># </w:t>
            </w:r>
            <w:proofErr w:type="spellStart"/>
            <w:r>
              <w:rPr>
                <w:rFonts w:asciiTheme="majorBidi" w:hAnsiTheme="majorBidi" w:cstheme="majorBidi"/>
                <w:sz w:val="22"/>
                <w:szCs w:val="22"/>
              </w:rPr>
              <w:t>obs</w:t>
            </w:r>
            <w:proofErr w:type="spellEnd"/>
          </w:p>
        </w:tc>
        <w:tc>
          <w:tcPr>
            <w:tcW w:w="1376" w:type="dxa"/>
            <w:tcBorders>
              <w:top w:val="nil"/>
              <w:left w:val="nil"/>
              <w:bottom w:val="nil"/>
              <w:right w:val="nil"/>
            </w:tcBorders>
          </w:tcPr>
          <w:p w14:paraId="558BFE23" w14:textId="396518B5" w:rsidR="00774DDA" w:rsidRDefault="00774DDA" w:rsidP="00774DDA">
            <w:pPr>
              <w:jc w:val="center"/>
              <w:rPr>
                <w:rFonts w:asciiTheme="majorBidi" w:hAnsiTheme="majorBidi" w:cstheme="majorBidi"/>
                <w:sz w:val="22"/>
                <w:szCs w:val="22"/>
              </w:rPr>
            </w:pPr>
            <w:r>
              <w:rPr>
                <w:rFonts w:asciiTheme="majorBidi" w:hAnsiTheme="majorBidi" w:cstheme="majorBidi"/>
                <w:sz w:val="22"/>
                <w:szCs w:val="22"/>
              </w:rPr>
              <w:t>12.810</w:t>
            </w:r>
          </w:p>
        </w:tc>
        <w:tc>
          <w:tcPr>
            <w:tcW w:w="1376" w:type="dxa"/>
            <w:tcBorders>
              <w:top w:val="nil"/>
              <w:left w:val="nil"/>
              <w:bottom w:val="nil"/>
              <w:right w:val="nil"/>
            </w:tcBorders>
          </w:tcPr>
          <w:p w14:paraId="76A179E6" w14:textId="4A7D3735" w:rsidR="00774DDA" w:rsidRDefault="00774DDA" w:rsidP="00774DDA">
            <w:pPr>
              <w:jc w:val="center"/>
              <w:rPr>
                <w:rFonts w:asciiTheme="majorBidi" w:hAnsiTheme="majorBidi" w:cstheme="majorBidi"/>
                <w:sz w:val="22"/>
                <w:szCs w:val="22"/>
              </w:rPr>
            </w:pPr>
            <w:r w:rsidRPr="00E55B37">
              <w:rPr>
                <w:rFonts w:asciiTheme="majorBidi" w:hAnsiTheme="majorBidi" w:cstheme="majorBidi"/>
                <w:sz w:val="22"/>
                <w:szCs w:val="22"/>
              </w:rPr>
              <w:t>12.810</w:t>
            </w:r>
          </w:p>
        </w:tc>
        <w:tc>
          <w:tcPr>
            <w:tcW w:w="1376" w:type="dxa"/>
            <w:tcBorders>
              <w:top w:val="nil"/>
              <w:left w:val="nil"/>
              <w:bottom w:val="nil"/>
              <w:right w:val="nil"/>
            </w:tcBorders>
          </w:tcPr>
          <w:p w14:paraId="2BCE700E" w14:textId="40BBC977" w:rsidR="00774DDA" w:rsidRDefault="00774DDA" w:rsidP="00774DDA">
            <w:pPr>
              <w:jc w:val="center"/>
              <w:rPr>
                <w:rFonts w:asciiTheme="majorBidi" w:hAnsiTheme="majorBidi" w:cstheme="majorBidi"/>
                <w:sz w:val="22"/>
                <w:szCs w:val="22"/>
              </w:rPr>
            </w:pPr>
            <w:r w:rsidRPr="00E55B37">
              <w:rPr>
                <w:rFonts w:asciiTheme="majorBidi" w:hAnsiTheme="majorBidi" w:cstheme="majorBidi"/>
                <w:sz w:val="22"/>
                <w:szCs w:val="22"/>
              </w:rPr>
              <w:t>12.810</w:t>
            </w:r>
          </w:p>
        </w:tc>
        <w:tc>
          <w:tcPr>
            <w:tcW w:w="1376" w:type="dxa"/>
            <w:tcBorders>
              <w:top w:val="nil"/>
              <w:left w:val="nil"/>
              <w:bottom w:val="nil"/>
              <w:right w:val="nil"/>
            </w:tcBorders>
          </w:tcPr>
          <w:p w14:paraId="29AD9A89" w14:textId="7F2CB291" w:rsidR="00774DDA" w:rsidRDefault="00774DDA" w:rsidP="00774DDA">
            <w:pPr>
              <w:jc w:val="center"/>
              <w:rPr>
                <w:rFonts w:asciiTheme="majorBidi" w:hAnsiTheme="majorBidi" w:cstheme="majorBidi"/>
                <w:sz w:val="22"/>
                <w:szCs w:val="22"/>
              </w:rPr>
            </w:pPr>
            <w:r w:rsidRPr="00E55B37">
              <w:rPr>
                <w:rFonts w:asciiTheme="majorBidi" w:hAnsiTheme="majorBidi" w:cstheme="majorBidi"/>
                <w:sz w:val="22"/>
                <w:szCs w:val="22"/>
              </w:rPr>
              <w:t>12.810</w:t>
            </w:r>
          </w:p>
        </w:tc>
        <w:tc>
          <w:tcPr>
            <w:tcW w:w="1376" w:type="dxa"/>
            <w:tcBorders>
              <w:top w:val="nil"/>
              <w:left w:val="nil"/>
              <w:bottom w:val="nil"/>
              <w:right w:val="nil"/>
            </w:tcBorders>
          </w:tcPr>
          <w:p w14:paraId="040E3E42" w14:textId="70CB6ACB" w:rsidR="00774DDA" w:rsidRDefault="00774DDA" w:rsidP="00774DDA">
            <w:pPr>
              <w:jc w:val="center"/>
              <w:rPr>
                <w:rFonts w:asciiTheme="majorBidi" w:hAnsiTheme="majorBidi" w:cstheme="majorBidi"/>
                <w:sz w:val="22"/>
                <w:szCs w:val="22"/>
              </w:rPr>
            </w:pPr>
            <w:r w:rsidRPr="00E55B37">
              <w:rPr>
                <w:rFonts w:asciiTheme="majorBidi" w:hAnsiTheme="majorBidi" w:cstheme="majorBidi"/>
                <w:sz w:val="22"/>
                <w:szCs w:val="22"/>
              </w:rPr>
              <w:t>12.810</w:t>
            </w:r>
          </w:p>
        </w:tc>
      </w:tr>
      <w:tr w:rsidR="00B34F33" w14:paraId="5CC75A83" w14:textId="77777777" w:rsidTr="00B34F33">
        <w:tc>
          <w:tcPr>
            <w:tcW w:w="6997" w:type="dxa"/>
            <w:gridSpan w:val="4"/>
            <w:tcBorders>
              <w:top w:val="nil"/>
              <w:left w:val="nil"/>
              <w:bottom w:val="single" w:sz="4" w:space="0" w:color="auto"/>
              <w:right w:val="nil"/>
            </w:tcBorders>
          </w:tcPr>
          <w:p w14:paraId="30268DCE" w14:textId="7069E6A5" w:rsidR="00B34F33" w:rsidRPr="00E55B37" w:rsidRDefault="00B34F33" w:rsidP="004F4565">
            <w:pPr>
              <w:rPr>
                <w:rFonts w:asciiTheme="majorBidi" w:hAnsiTheme="majorBidi" w:cstheme="majorBidi"/>
                <w:sz w:val="22"/>
                <w:szCs w:val="22"/>
              </w:rPr>
            </w:pPr>
            <w:r>
              <w:rPr>
                <w:rFonts w:asciiTheme="majorBidi" w:hAnsiTheme="majorBidi" w:cstheme="majorBidi"/>
                <w:sz w:val="22"/>
                <w:szCs w:val="22"/>
              </w:rPr>
              <w:t xml:space="preserve">Lower bound for </w:t>
            </w:r>
            <w:r w:rsidR="004F4565">
              <w:rPr>
                <w:rFonts w:asciiTheme="majorBidi" w:hAnsiTheme="majorBidi" w:cstheme="majorBidi"/>
                <w:sz w:val="22"/>
                <w:szCs w:val="22"/>
              </w:rPr>
              <w:t>nurture</w:t>
            </w:r>
            <w:r>
              <w:rPr>
                <w:rFonts w:asciiTheme="majorBidi" w:hAnsiTheme="majorBidi" w:cstheme="majorBidi"/>
                <w:sz w:val="22"/>
                <w:szCs w:val="22"/>
              </w:rPr>
              <w:t xml:space="preserve"> effect; i.e., b[nurture]/(b[</w:t>
            </w:r>
            <w:r w:rsidR="004F4565">
              <w:rPr>
                <w:rFonts w:asciiTheme="majorBidi" w:hAnsiTheme="majorBidi" w:cstheme="majorBidi"/>
                <w:sz w:val="22"/>
                <w:szCs w:val="22"/>
              </w:rPr>
              <w:t>talent</w:t>
            </w:r>
            <w:r>
              <w:rPr>
                <w:rFonts w:asciiTheme="majorBidi" w:hAnsiTheme="majorBidi" w:cstheme="majorBidi"/>
                <w:sz w:val="22"/>
                <w:szCs w:val="22"/>
              </w:rPr>
              <w:t>]+b[nurture])</w:t>
            </w:r>
          </w:p>
        </w:tc>
        <w:tc>
          <w:tcPr>
            <w:tcW w:w="1376" w:type="dxa"/>
            <w:tcBorders>
              <w:top w:val="nil"/>
              <w:left w:val="nil"/>
              <w:bottom w:val="single" w:sz="4" w:space="0" w:color="auto"/>
              <w:right w:val="nil"/>
            </w:tcBorders>
          </w:tcPr>
          <w:p w14:paraId="521AE995" w14:textId="19B91ED0" w:rsidR="00B34F33" w:rsidRPr="00B34F33" w:rsidRDefault="00B058C6" w:rsidP="00B34F33">
            <w:pPr>
              <w:jc w:val="center"/>
              <w:rPr>
                <w:rFonts w:asciiTheme="majorBidi" w:hAnsiTheme="majorBidi" w:cstheme="majorBidi"/>
                <w:b/>
                <w:bCs/>
                <w:sz w:val="22"/>
                <w:szCs w:val="22"/>
              </w:rPr>
            </w:pPr>
            <w:r>
              <w:rPr>
                <w:rFonts w:asciiTheme="majorBidi" w:hAnsiTheme="majorBidi" w:cstheme="majorBidi"/>
                <w:b/>
                <w:bCs/>
                <w:sz w:val="22"/>
                <w:szCs w:val="22"/>
              </w:rPr>
              <w:t>30%</w:t>
            </w:r>
          </w:p>
        </w:tc>
        <w:tc>
          <w:tcPr>
            <w:tcW w:w="1376" w:type="dxa"/>
            <w:tcBorders>
              <w:top w:val="nil"/>
              <w:left w:val="nil"/>
              <w:bottom w:val="single" w:sz="4" w:space="0" w:color="auto"/>
              <w:right w:val="nil"/>
            </w:tcBorders>
          </w:tcPr>
          <w:p w14:paraId="6D7FD97C" w14:textId="0B9577B5" w:rsidR="00B34F33" w:rsidRPr="00B34F33" w:rsidRDefault="00B058C6" w:rsidP="00B34F33">
            <w:pPr>
              <w:jc w:val="center"/>
              <w:rPr>
                <w:rFonts w:asciiTheme="majorBidi" w:hAnsiTheme="majorBidi" w:cstheme="majorBidi"/>
                <w:b/>
                <w:bCs/>
                <w:sz w:val="22"/>
                <w:szCs w:val="22"/>
              </w:rPr>
            </w:pPr>
            <w:r>
              <w:rPr>
                <w:rFonts w:asciiTheme="majorBidi" w:hAnsiTheme="majorBidi" w:cstheme="majorBidi"/>
                <w:b/>
                <w:bCs/>
                <w:sz w:val="22"/>
                <w:szCs w:val="22"/>
              </w:rPr>
              <w:t>32%</w:t>
            </w:r>
          </w:p>
        </w:tc>
      </w:tr>
    </w:tbl>
    <w:p w14:paraId="3511C70D" w14:textId="77777777" w:rsidR="00D47A9D" w:rsidRDefault="00D47A9D"/>
    <w:sectPr w:rsidR="00D47A9D" w:rsidSect="00B87565">
      <w:footerReference w:type="default" r:id="rId13"/>
      <w:pgSz w:w="12240" w:h="15840" w:code="1"/>
      <w:pgMar w:top="1440" w:right="1041"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E2046" w14:textId="77777777" w:rsidR="008F58DD" w:rsidRDefault="008F58DD">
      <w:r>
        <w:separator/>
      </w:r>
    </w:p>
  </w:endnote>
  <w:endnote w:type="continuationSeparator" w:id="0">
    <w:p w14:paraId="202991D6" w14:textId="77777777" w:rsidR="008F58DD" w:rsidRDefault="008F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964031"/>
      <w:docPartObj>
        <w:docPartGallery w:val="Page Numbers (Bottom of Page)"/>
        <w:docPartUnique/>
      </w:docPartObj>
    </w:sdtPr>
    <w:sdtEndPr>
      <w:rPr>
        <w:noProof/>
      </w:rPr>
    </w:sdtEndPr>
    <w:sdtContent>
      <w:p w14:paraId="3C052DA7" w14:textId="6D296DFB" w:rsidR="002624EB" w:rsidRDefault="002624EB">
        <w:pPr>
          <w:pStyle w:val="Footer"/>
          <w:jc w:val="center"/>
        </w:pPr>
        <w:r>
          <w:fldChar w:fldCharType="begin"/>
        </w:r>
        <w:r>
          <w:instrText xml:space="preserve"> PAGE   \* MERGEFORMAT </w:instrText>
        </w:r>
        <w:r>
          <w:fldChar w:fldCharType="separate"/>
        </w:r>
        <w:r w:rsidR="00DF65AF">
          <w:rPr>
            <w:noProof/>
          </w:rPr>
          <w:t>30</w:t>
        </w:r>
        <w:r>
          <w:rPr>
            <w:noProof/>
          </w:rPr>
          <w:fldChar w:fldCharType="end"/>
        </w:r>
      </w:p>
    </w:sdtContent>
  </w:sdt>
  <w:p w14:paraId="436E539C" w14:textId="77777777" w:rsidR="002624EB" w:rsidRDefault="002624EB">
    <w:pPr>
      <w:pStyle w:val="Footer"/>
    </w:pPr>
  </w:p>
  <w:p w14:paraId="7772389E" w14:textId="77777777" w:rsidR="002624EB" w:rsidRDefault="002624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1E30" w14:textId="77777777" w:rsidR="008F58DD" w:rsidRDefault="008F58DD" w:rsidP="00B06883">
      <w:r>
        <w:separator/>
      </w:r>
    </w:p>
  </w:footnote>
  <w:footnote w:type="continuationSeparator" w:id="0">
    <w:p w14:paraId="15881E75" w14:textId="77777777" w:rsidR="008F58DD" w:rsidRDefault="008F58DD" w:rsidP="00B06883">
      <w:r>
        <w:continuationSeparator/>
      </w:r>
    </w:p>
  </w:footnote>
  <w:footnote w:id="1">
    <w:p w14:paraId="6738992D" w14:textId="2FD9D42B" w:rsidR="002624EB" w:rsidRDefault="002624EB" w:rsidP="00566837">
      <w:pPr>
        <w:pStyle w:val="FootnoteText"/>
        <w:jc w:val="both"/>
        <w:rPr>
          <w:szCs w:val="18"/>
        </w:rPr>
      </w:pPr>
      <w:r>
        <w:rPr>
          <w:rStyle w:val="FootnoteReference"/>
        </w:rPr>
        <w:t>*</w:t>
      </w:r>
      <w:r>
        <w:rPr>
          <w:szCs w:val="18"/>
        </w:rPr>
        <w:t>Amir</w:t>
      </w:r>
      <w:r w:rsidRPr="009E042F">
        <w:rPr>
          <w:szCs w:val="18"/>
        </w:rPr>
        <w:t xml:space="preserve"> is from Simon Fraser University</w:t>
      </w:r>
      <w:r>
        <w:rPr>
          <w:szCs w:val="18"/>
        </w:rPr>
        <w:t xml:space="preserve"> (Canada)</w:t>
      </w:r>
      <w:r w:rsidRPr="009E042F">
        <w:rPr>
          <w:szCs w:val="18"/>
        </w:rPr>
        <w:t xml:space="preserve"> and IDC</w:t>
      </w:r>
      <w:r>
        <w:rPr>
          <w:szCs w:val="18"/>
        </w:rPr>
        <w:t xml:space="preserve"> (Israel). Email: </w:t>
      </w:r>
      <w:r w:rsidRPr="00566837">
        <w:rPr>
          <w:szCs w:val="18"/>
        </w:rPr>
        <w:t>arubin@sfu.ca</w:t>
      </w:r>
      <w:r>
        <w:rPr>
          <w:szCs w:val="18"/>
        </w:rPr>
        <w:t xml:space="preserve">. </w:t>
      </w:r>
      <w:proofErr w:type="spellStart"/>
      <w:r>
        <w:rPr>
          <w:szCs w:val="18"/>
        </w:rPr>
        <w:t>Beedie</w:t>
      </w:r>
      <w:proofErr w:type="spellEnd"/>
      <w:r>
        <w:rPr>
          <w:szCs w:val="18"/>
        </w:rPr>
        <w:t xml:space="preserve"> School of Business, </w:t>
      </w:r>
      <w:r w:rsidRPr="00566837">
        <w:rPr>
          <w:szCs w:val="18"/>
        </w:rPr>
        <w:t>Simon Fraser University,</w:t>
      </w:r>
      <w:r>
        <w:rPr>
          <w:szCs w:val="18"/>
        </w:rPr>
        <w:t xml:space="preserve"> Burnaby, </w:t>
      </w:r>
      <w:r w:rsidRPr="00566837">
        <w:rPr>
          <w:szCs w:val="18"/>
        </w:rPr>
        <w:t>BC</w:t>
      </w:r>
      <w:r>
        <w:rPr>
          <w:szCs w:val="18"/>
        </w:rPr>
        <w:t xml:space="preserve">, </w:t>
      </w:r>
      <w:r w:rsidRPr="00566837">
        <w:rPr>
          <w:szCs w:val="18"/>
        </w:rPr>
        <w:t>V5A1S6</w:t>
      </w:r>
      <w:r>
        <w:rPr>
          <w:szCs w:val="18"/>
        </w:rPr>
        <w:t xml:space="preserve"> </w:t>
      </w:r>
      <w:r w:rsidRPr="00566837">
        <w:rPr>
          <w:szCs w:val="18"/>
        </w:rPr>
        <w:t>Canada</w:t>
      </w:r>
      <w:r>
        <w:rPr>
          <w:szCs w:val="18"/>
        </w:rPr>
        <w:t xml:space="preserve"> </w:t>
      </w:r>
      <w:r w:rsidRPr="00566837">
        <w:rPr>
          <w:szCs w:val="18"/>
        </w:rPr>
        <w:t xml:space="preserve">Tel: </w:t>
      </w:r>
      <w:r>
        <w:rPr>
          <w:szCs w:val="18"/>
        </w:rPr>
        <w:t>1-</w:t>
      </w:r>
      <w:r w:rsidRPr="00566837">
        <w:rPr>
          <w:szCs w:val="18"/>
        </w:rPr>
        <w:t>778-7825834</w:t>
      </w:r>
      <w:r>
        <w:rPr>
          <w:szCs w:val="18"/>
        </w:rPr>
        <w:t xml:space="preserve">: Fax: </w:t>
      </w:r>
      <w:r w:rsidRPr="00566837">
        <w:rPr>
          <w:szCs w:val="18"/>
        </w:rPr>
        <w:t>1 778 782 4920</w:t>
      </w:r>
      <w:r>
        <w:rPr>
          <w:szCs w:val="18"/>
        </w:rPr>
        <w:t>.</w:t>
      </w:r>
    </w:p>
    <w:p w14:paraId="2F494881" w14:textId="30786A31" w:rsidR="002624EB" w:rsidRDefault="002624EB" w:rsidP="00484B42">
      <w:pPr>
        <w:pStyle w:val="FootnoteText"/>
        <w:jc w:val="both"/>
        <w:rPr>
          <w:szCs w:val="18"/>
        </w:rPr>
      </w:pPr>
      <w:r>
        <w:rPr>
          <w:szCs w:val="18"/>
        </w:rPr>
        <w:t xml:space="preserve">Eran is from the University of Akron, College of Business Administration, </w:t>
      </w:r>
      <w:r w:rsidRPr="00484B42">
        <w:rPr>
          <w:szCs w:val="18"/>
        </w:rPr>
        <w:t>259 S Broadway St, Akron, OH 44325, USA</w:t>
      </w:r>
      <w:r>
        <w:rPr>
          <w:szCs w:val="18"/>
        </w:rPr>
        <w:t xml:space="preserve"> </w:t>
      </w:r>
      <w:r w:rsidRPr="00566837">
        <w:rPr>
          <w:szCs w:val="18"/>
        </w:rPr>
        <w:t xml:space="preserve">Tel: </w:t>
      </w:r>
      <w:r>
        <w:rPr>
          <w:szCs w:val="18"/>
        </w:rPr>
        <w:t>1-40</w:t>
      </w:r>
      <w:r w:rsidRPr="00566837">
        <w:rPr>
          <w:szCs w:val="18"/>
        </w:rPr>
        <w:t>8-</w:t>
      </w:r>
      <w:r>
        <w:rPr>
          <w:szCs w:val="18"/>
        </w:rPr>
        <w:t xml:space="preserve">9723648 </w:t>
      </w:r>
      <w:proofErr w:type="gramStart"/>
      <w:r>
        <w:rPr>
          <w:szCs w:val="18"/>
        </w:rPr>
        <w:t>Email:</w:t>
      </w:r>
      <w:r w:rsidRPr="00484B42">
        <w:rPr>
          <w:szCs w:val="18"/>
        </w:rPr>
        <w:t>erubin@uakron.edu</w:t>
      </w:r>
      <w:proofErr w:type="gramEnd"/>
      <w:r>
        <w:rPr>
          <w:szCs w:val="18"/>
        </w:rPr>
        <w:t>.</w:t>
      </w:r>
    </w:p>
    <w:p w14:paraId="61DDA19D" w14:textId="40C237B1" w:rsidR="002624EB" w:rsidRDefault="002624EB" w:rsidP="00566837">
      <w:pPr>
        <w:pStyle w:val="FootnoteText"/>
        <w:jc w:val="both"/>
      </w:pPr>
    </w:p>
  </w:footnote>
  <w:footnote w:id="2">
    <w:p w14:paraId="46AAF42E" w14:textId="77777777" w:rsidR="002624EB" w:rsidRDefault="002624EB" w:rsidP="00212A29">
      <w:pPr>
        <w:pStyle w:val="FootnoteText"/>
        <w:jc w:val="both"/>
      </w:pPr>
      <w:r>
        <w:rPr>
          <w:rStyle w:val="FootnoteReference"/>
        </w:rPr>
        <w:footnoteRef/>
      </w:r>
      <w:r>
        <w:t xml:space="preserve"> In this paper "Talent" refers to the combination of innate ability, education, and experience that an individual possess at PhD completion.  </w:t>
      </w:r>
    </w:p>
  </w:footnote>
  <w:footnote w:id="3">
    <w:p w14:paraId="291BCE70" w14:textId="5D59833C" w:rsidR="002624EB" w:rsidRDefault="002624EB" w:rsidP="003B3877">
      <w:pPr>
        <w:pStyle w:val="FootnoteText"/>
        <w:jc w:val="both"/>
      </w:pPr>
      <w:r>
        <w:rPr>
          <w:rStyle w:val="FootnoteReference"/>
        </w:rPr>
        <w:footnoteRef/>
      </w:r>
      <w:r>
        <w:t xml:space="preserve"> </w:t>
      </w:r>
      <w:r w:rsidRPr="006C4482">
        <w:rPr>
          <w:bCs/>
          <w:sz w:val="18"/>
          <w:szCs w:val="18"/>
          <w:lang w:bidi="he-IL"/>
        </w:rPr>
        <w:t xml:space="preserve">Of course, </w:t>
      </w:r>
      <w:r>
        <w:rPr>
          <w:bCs/>
          <w:sz w:val="18"/>
          <w:szCs w:val="18"/>
          <w:lang w:bidi="he-IL"/>
        </w:rPr>
        <w:t xml:space="preserve">Albert </w:t>
      </w:r>
      <w:r w:rsidRPr="006C4482">
        <w:rPr>
          <w:bCs/>
          <w:sz w:val="18"/>
          <w:szCs w:val="18"/>
          <w:lang w:bidi="he-IL"/>
        </w:rPr>
        <w:t xml:space="preserve">Einstein did not even have the support of a lower ranked university as he was only able to </w:t>
      </w:r>
      <w:r>
        <w:rPr>
          <w:bCs/>
          <w:sz w:val="18"/>
          <w:szCs w:val="18"/>
          <w:lang w:bidi="he-IL"/>
        </w:rPr>
        <w:t>obtain</w:t>
      </w:r>
      <w:r w:rsidRPr="006C4482">
        <w:rPr>
          <w:bCs/>
          <w:sz w:val="18"/>
          <w:szCs w:val="18"/>
          <w:lang w:bidi="he-IL"/>
        </w:rPr>
        <w:t xml:space="preserve"> a job at the Swiss Patent Office</w:t>
      </w:r>
      <w:r>
        <w:rPr>
          <w:bCs/>
          <w:sz w:val="18"/>
          <w:szCs w:val="18"/>
          <w:lang w:bidi="he-IL"/>
        </w:rPr>
        <w:t>.</w:t>
      </w:r>
    </w:p>
  </w:footnote>
  <w:footnote w:id="4">
    <w:p w14:paraId="55B92CED" w14:textId="6A3EA708" w:rsidR="002624EB" w:rsidRDefault="002624EB" w:rsidP="005F39BB">
      <w:pPr>
        <w:pStyle w:val="FootnoteText"/>
        <w:jc w:val="both"/>
      </w:pPr>
      <w:r>
        <w:rPr>
          <w:rStyle w:val="FootnoteReference"/>
        </w:rPr>
        <w:footnoteRef/>
      </w:r>
      <w:r>
        <w:t xml:space="preserve"> </w:t>
      </w:r>
      <w:r w:rsidRPr="00946F92">
        <w:rPr>
          <w:bCs/>
          <w:sz w:val="18"/>
          <w:szCs w:val="18"/>
          <w:lang w:bidi="he-IL"/>
        </w:rPr>
        <w:t xml:space="preserve">The finance field provides a fitting setting for the purpose of our study because it is sufficiently narrow to allow us to compare scholarly activity within the field. Comparing productivity across different areas is difficult as the standards across different disciplines </w:t>
      </w:r>
      <w:r>
        <w:rPr>
          <w:bCs/>
          <w:sz w:val="18"/>
          <w:szCs w:val="18"/>
          <w:lang w:bidi="he-IL"/>
        </w:rPr>
        <w:t>vary</w:t>
      </w:r>
      <w:r w:rsidRPr="00946F92">
        <w:rPr>
          <w:bCs/>
          <w:sz w:val="18"/>
          <w:szCs w:val="18"/>
          <w:lang w:bidi="he-IL"/>
        </w:rPr>
        <w:t>.</w:t>
      </w:r>
      <w:r>
        <w:t xml:space="preserve"> </w:t>
      </w:r>
    </w:p>
  </w:footnote>
  <w:footnote w:id="5">
    <w:p w14:paraId="58F2FAB3" w14:textId="209F3CD9" w:rsidR="002624EB" w:rsidRDefault="002624EB" w:rsidP="00990F0D">
      <w:pPr>
        <w:pStyle w:val="FootnoteText"/>
        <w:jc w:val="both"/>
      </w:pPr>
      <w:r>
        <w:rPr>
          <w:rStyle w:val="FootnoteReference"/>
        </w:rPr>
        <w:footnoteRef/>
      </w:r>
      <w:r>
        <w:t xml:space="preserve"> </w:t>
      </w:r>
      <w:r w:rsidRPr="00D9449A">
        <w:rPr>
          <w:bCs/>
          <w:sz w:val="18"/>
          <w:szCs w:val="18"/>
          <w:lang w:bidi="he-IL"/>
        </w:rPr>
        <w:t xml:space="preserve">The </w:t>
      </w:r>
      <w:r>
        <w:rPr>
          <w:bCs/>
          <w:sz w:val="18"/>
          <w:szCs w:val="18"/>
          <w:lang w:bidi="he-IL"/>
        </w:rPr>
        <w:t>use of the initial five-year productivity as a proxy for talent</w:t>
      </w:r>
      <w:r w:rsidRPr="00D9449A">
        <w:rPr>
          <w:bCs/>
          <w:sz w:val="18"/>
          <w:szCs w:val="18"/>
          <w:lang w:bidi="he-IL"/>
        </w:rPr>
        <w:t xml:space="preserve"> </w:t>
      </w:r>
      <w:r>
        <w:rPr>
          <w:bCs/>
          <w:sz w:val="18"/>
          <w:szCs w:val="18"/>
          <w:lang w:bidi="he-IL"/>
        </w:rPr>
        <w:t>is based on the premise that</w:t>
      </w:r>
      <w:r w:rsidRPr="00D9449A">
        <w:rPr>
          <w:bCs/>
          <w:sz w:val="18"/>
          <w:szCs w:val="18"/>
          <w:lang w:bidi="he-IL"/>
        </w:rPr>
        <w:t xml:space="preserve"> during the first five years</w:t>
      </w:r>
      <w:r>
        <w:rPr>
          <w:bCs/>
          <w:sz w:val="18"/>
          <w:szCs w:val="18"/>
          <w:lang w:bidi="he-IL"/>
        </w:rPr>
        <w:t>,</w:t>
      </w:r>
      <w:r w:rsidRPr="00D9449A">
        <w:rPr>
          <w:bCs/>
          <w:sz w:val="18"/>
          <w:szCs w:val="18"/>
          <w:lang w:bidi="he-IL"/>
        </w:rPr>
        <w:t xml:space="preserve"> </w:t>
      </w:r>
      <w:r>
        <w:rPr>
          <w:bCs/>
          <w:sz w:val="18"/>
          <w:szCs w:val="18"/>
          <w:lang w:bidi="he-IL"/>
        </w:rPr>
        <w:t>a</w:t>
      </w:r>
      <w:r w:rsidRPr="00D9449A">
        <w:rPr>
          <w:bCs/>
          <w:sz w:val="18"/>
          <w:szCs w:val="18"/>
          <w:lang w:bidi="he-IL"/>
        </w:rPr>
        <w:t xml:space="preserve"> researcher's productivity is driven mostly by talent</w:t>
      </w:r>
      <w:r>
        <w:rPr>
          <w:bCs/>
          <w:sz w:val="18"/>
          <w:szCs w:val="18"/>
          <w:lang w:bidi="he-IL"/>
        </w:rPr>
        <w:t>,</w:t>
      </w:r>
      <w:r w:rsidRPr="00D9449A">
        <w:rPr>
          <w:bCs/>
          <w:sz w:val="18"/>
          <w:szCs w:val="18"/>
          <w:lang w:bidi="he-IL"/>
        </w:rPr>
        <w:t xml:space="preserve"> and the effect of the first affiliation</w:t>
      </w:r>
      <w:r>
        <w:rPr>
          <w:bCs/>
          <w:sz w:val="18"/>
          <w:szCs w:val="18"/>
          <w:lang w:bidi="he-IL"/>
        </w:rPr>
        <w:t xml:space="preserve"> on publication during this period </w:t>
      </w:r>
      <w:r w:rsidRPr="00D9449A">
        <w:rPr>
          <w:bCs/>
          <w:sz w:val="18"/>
          <w:szCs w:val="18"/>
          <w:lang w:bidi="he-IL"/>
        </w:rPr>
        <w:t>(the nurturing of the new employer) is limited</w:t>
      </w:r>
      <w:r>
        <w:rPr>
          <w:bCs/>
          <w:sz w:val="18"/>
          <w:szCs w:val="18"/>
          <w:lang w:bidi="he-IL"/>
        </w:rPr>
        <w:t xml:space="preserve"> (i.e. would rather manifest itself a few years later)</w:t>
      </w:r>
      <w:r w:rsidRPr="00D9449A">
        <w:rPr>
          <w:bCs/>
          <w:sz w:val="18"/>
          <w:szCs w:val="18"/>
          <w:lang w:bidi="he-IL"/>
        </w:rPr>
        <w:t xml:space="preserve">. </w:t>
      </w:r>
    </w:p>
  </w:footnote>
  <w:footnote w:id="6">
    <w:p w14:paraId="53DB349F" w14:textId="77777777" w:rsidR="002624EB" w:rsidRDefault="002624EB" w:rsidP="00232C63">
      <w:pPr>
        <w:pStyle w:val="FootnoteText"/>
        <w:jc w:val="both"/>
      </w:pPr>
      <w:r>
        <w:rPr>
          <w:rStyle w:val="FootnoteReference"/>
        </w:rPr>
        <w:footnoteRef/>
      </w:r>
      <w:r>
        <w:t xml:space="preserve"> </w:t>
      </w:r>
      <w:r w:rsidRPr="002624EB">
        <w:rPr>
          <w:bCs/>
          <w:sz w:val="18"/>
          <w:szCs w:val="18"/>
          <w:lang w:bidi="he-IL"/>
        </w:rPr>
        <w:t>For example, the NHL draft has been shown to have biases according to players’ birth date due to the timing of the draft (</w:t>
      </w:r>
      <w:proofErr w:type="spellStart"/>
      <w:r w:rsidRPr="002624EB">
        <w:rPr>
          <w:bCs/>
          <w:sz w:val="18"/>
          <w:szCs w:val="18"/>
          <w:lang w:bidi="he-IL"/>
        </w:rPr>
        <w:t>Deaner</w:t>
      </w:r>
      <w:proofErr w:type="spellEnd"/>
      <w:r w:rsidRPr="002624EB">
        <w:rPr>
          <w:bCs/>
          <w:sz w:val="18"/>
          <w:szCs w:val="18"/>
          <w:lang w:bidi="he-IL"/>
        </w:rPr>
        <w:t xml:space="preserve"> et al., 2013); individuals with noble-sounding surnames are found to work more often as managers than as employees (</w:t>
      </w:r>
      <w:proofErr w:type="spellStart"/>
      <w:r w:rsidRPr="002624EB">
        <w:rPr>
          <w:bCs/>
          <w:sz w:val="18"/>
          <w:szCs w:val="18"/>
          <w:lang w:bidi="he-IL"/>
        </w:rPr>
        <w:t>Silberzahn</w:t>
      </w:r>
      <w:proofErr w:type="spellEnd"/>
      <w:r w:rsidRPr="002624EB">
        <w:rPr>
          <w:bCs/>
          <w:sz w:val="18"/>
          <w:szCs w:val="18"/>
          <w:lang w:bidi="he-IL"/>
        </w:rPr>
        <w:t xml:space="preserve"> and Uhlmann, 2013); people with easy-to-pronounce names are judged more positively than those with difficult-to-pronounce names (</w:t>
      </w:r>
      <w:proofErr w:type="spellStart"/>
      <w:r w:rsidRPr="002624EB">
        <w:rPr>
          <w:bCs/>
          <w:sz w:val="18"/>
          <w:szCs w:val="18"/>
          <w:lang w:bidi="he-IL"/>
        </w:rPr>
        <w:t>Laham</w:t>
      </w:r>
      <w:proofErr w:type="spellEnd"/>
      <w:r w:rsidRPr="002624EB">
        <w:rPr>
          <w:bCs/>
          <w:sz w:val="18"/>
          <w:szCs w:val="18"/>
          <w:lang w:bidi="he-IL"/>
        </w:rPr>
        <w:t xml:space="preserve"> et al., 2012); and faculty members whose name appears earlier in the alphabet are significantly more likely to receive tenure at top departments (</w:t>
      </w:r>
      <w:proofErr w:type="spellStart"/>
      <w:r w:rsidRPr="002624EB">
        <w:rPr>
          <w:bCs/>
          <w:sz w:val="18"/>
          <w:szCs w:val="18"/>
          <w:lang w:bidi="he-IL"/>
        </w:rPr>
        <w:t>Einav</w:t>
      </w:r>
      <w:proofErr w:type="spellEnd"/>
      <w:r w:rsidRPr="002624EB">
        <w:rPr>
          <w:bCs/>
          <w:sz w:val="18"/>
          <w:szCs w:val="18"/>
          <w:lang w:bidi="he-IL"/>
        </w:rPr>
        <w:t xml:space="preserve"> and Yariv, 2006).</w:t>
      </w:r>
    </w:p>
  </w:footnote>
  <w:footnote w:id="7">
    <w:p w14:paraId="7C888874" w14:textId="222F02DD" w:rsidR="002624EB" w:rsidRDefault="002624EB" w:rsidP="006270AE">
      <w:pPr>
        <w:pStyle w:val="FootnoteText"/>
        <w:jc w:val="both"/>
      </w:pPr>
      <w:r>
        <w:rPr>
          <w:rStyle w:val="FootnoteReference"/>
        </w:rPr>
        <w:footnoteRef/>
      </w:r>
      <w:r>
        <w:t xml:space="preserve"> </w:t>
      </w:r>
      <w:r w:rsidRPr="00742872">
        <w:rPr>
          <w:bCs/>
          <w:sz w:val="18"/>
          <w:szCs w:val="18"/>
          <w:lang w:bidi="he-IL"/>
        </w:rPr>
        <w:t xml:space="preserve">For </w:t>
      </w:r>
      <w:r w:rsidRPr="002624EB">
        <w:rPr>
          <w:bCs/>
          <w:sz w:val="18"/>
          <w:szCs w:val="18"/>
          <w:lang w:bidi="he-IL"/>
        </w:rPr>
        <w:t xml:space="preserve">example, outcomes that were considered in the past to be driven only by good nurturing, have be shown to be related to born qualities. Genes have been shown to be associated with educational attainment (Rietveld et al., 2013, </w:t>
      </w:r>
      <w:proofErr w:type="spellStart"/>
      <w:r w:rsidRPr="002624EB">
        <w:rPr>
          <w:bCs/>
          <w:sz w:val="18"/>
          <w:szCs w:val="18"/>
          <w:lang w:bidi="he-IL"/>
        </w:rPr>
        <w:t>Okbay</w:t>
      </w:r>
      <w:proofErr w:type="spellEnd"/>
      <w:r w:rsidRPr="002624EB">
        <w:rPr>
          <w:bCs/>
          <w:sz w:val="18"/>
          <w:szCs w:val="18"/>
          <w:lang w:bidi="he-IL"/>
        </w:rPr>
        <w:t xml:space="preserve"> et al., 2016), political attitudes (Fowler et al., 2008), gambling (Coming 1998</w:t>
      </w:r>
      <w:r>
        <w:rPr>
          <w:bCs/>
          <w:sz w:val="18"/>
          <w:szCs w:val="18"/>
          <w:lang w:bidi="he-IL"/>
        </w:rPr>
        <w:t>), and economic behavior (</w:t>
      </w:r>
      <w:r w:rsidRPr="002624EB">
        <w:rPr>
          <w:bCs/>
          <w:sz w:val="18"/>
          <w:szCs w:val="18"/>
          <w:lang w:bidi="he-IL"/>
        </w:rPr>
        <w:t xml:space="preserve">e.g.; </w:t>
      </w:r>
      <w:proofErr w:type="spellStart"/>
      <w:r w:rsidRPr="002624EB">
        <w:rPr>
          <w:bCs/>
          <w:sz w:val="18"/>
          <w:szCs w:val="18"/>
          <w:lang w:bidi="he-IL"/>
        </w:rPr>
        <w:t>Dreber</w:t>
      </w:r>
      <w:proofErr w:type="spellEnd"/>
      <w:r w:rsidRPr="002624EB">
        <w:rPr>
          <w:bCs/>
          <w:sz w:val="18"/>
          <w:szCs w:val="18"/>
          <w:lang w:bidi="he-IL"/>
        </w:rPr>
        <w:t xml:space="preserve"> et al., 2009; </w:t>
      </w:r>
      <w:proofErr w:type="spellStart"/>
      <w:r w:rsidRPr="002624EB">
        <w:rPr>
          <w:bCs/>
          <w:sz w:val="18"/>
          <w:szCs w:val="18"/>
          <w:lang w:bidi="he-IL"/>
        </w:rPr>
        <w:t>Kuhnen</w:t>
      </w:r>
      <w:proofErr w:type="spellEnd"/>
      <w:r w:rsidRPr="002624EB">
        <w:rPr>
          <w:bCs/>
          <w:sz w:val="18"/>
          <w:szCs w:val="18"/>
          <w:lang w:bidi="he-IL"/>
        </w:rPr>
        <w:t xml:space="preserve"> and </w:t>
      </w:r>
      <w:proofErr w:type="spellStart"/>
      <w:r w:rsidRPr="002624EB">
        <w:rPr>
          <w:bCs/>
          <w:sz w:val="18"/>
          <w:szCs w:val="18"/>
          <w:lang w:bidi="he-IL"/>
        </w:rPr>
        <w:t>Chiao</w:t>
      </w:r>
      <w:proofErr w:type="spellEnd"/>
      <w:r w:rsidRPr="002624EB">
        <w:rPr>
          <w:bCs/>
          <w:sz w:val="18"/>
          <w:szCs w:val="18"/>
          <w:lang w:bidi="he-IL"/>
        </w:rPr>
        <w:t xml:space="preserve">, 2009; </w:t>
      </w:r>
      <w:proofErr w:type="spellStart"/>
      <w:r w:rsidRPr="002624EB">
        <w:rPr>
          <w:bCs/>
          <w:sz w:val="18"/>
          <w:szCs w:val="18"/>
          <w:lang w:bidi="he-IL"/>
        </w:rPr>
        <w:t>Cesarini</w:t>
      </w:r>
      <w:proofErr w:type="spellEnd"/>
      <w:r w:rsidRPr="002624EB">
        <w:rPr>
          <w:bCs/>
          <w:sz w:val="18"/>
          <w:szCs w:val="18"/>
          <w:lang w:bidi="he-IL"/>
        </w:rPr>
        <w:t xml:space="preserve"> et al., 2009) among others.</w:t>
      </w:r>
    </w:p>
  </w:footnote>
  <w:footnote w:id="8">
    <w:p w14:paraId="75FFFD21" w14:textId="0CF0EE86" w:rsidR="002624EB" w:rsidRDefault="002624EB">
      <w:pPr>
        <w:pStyle w:val="FootnoteText"/>
        <w:jc w:val="both"/>
      </w:pPr>
      <w:r>
        <w:rPr>
          <w:rStyle w:val="FootnoteReference"/>
        </w:rPr>
        <w:footnoteRef/>
      </w:r>
      <w:r>
        <w:t xml:space="preserve"> University rank is based on its productivity level in terms of the number of top-tier publications affiliated with the university over our sample period. </w:t>
      </w:r>
    </w:p>
  </w:footnote>
  <w:footnote w:id="9">
    <w:p w14:paraId="51D1CA04" w14:textId="3A956BD4" w:rsidR="002624EB" w:rsidRDefault="002624EB" w:rsidP="00885712">
      <w:pPr>
        <w:pStyle w:val="FootnoteText"/>
        <w:jc w:val="both"/>
      </w:pPr>
      <w:r>
        <w:rPr>
          <w:rStyle w:val="FootnoteReference"/>
        </w:rPr>
        <w:footnoteRef/>
      </w:r>
      <w:r>
        <w:t xml:space="preserve"> Note that an author’s career is tracked from his/her first published article on the WOS. F</w:t>
      </w:r>
      <w:r>
        <w:rPr>
          <w:bCs/>
        </w:rPr>
        <w:t>or convenience, we refer to this year as being tenure=0.</w:t>
      </w:r>
    </w:p>
  </w:footnote>
  <w:footnote w:id="10">
    <w:p w14:paraId="2BA8DB82" w14:textId="193F6597" w:rsidR="002624EB" w:rsidRDefault="002624EB">
      <w:pPr>
        <w:pStyle w:val="FootnoteText"/>
        <w:jc w:val="both"/>
      </w:pPr>
      <w:r>
        <w:rPr>
          <w:rStyle w:val="FootnoteReference"/>
        </w:rPr>
        <w:footnoteRef/>
      </w:r>
      <w:r>
        <w:t xml:space="preserve"> Changes to the exact definition of an A article matter little. We reran our analysis with a more restrictive definition </w:t>
      </w:r>
      <w:proofErr w:type="gramStart"/>
      <w:r>
        <w:t>of  A</w:t>
      </w:r>
      <w:proofErr w:type="gramEnd"/>
      <w:r>
        <w:t xml:space="preserve"> articles – only the top 5 finance journals and the top 5  economics journals </w:t>
      </w:r>
      <w:r w:rsidRPr="006672C6">
        <w:t>–</w:t>
      </w:r>
      <w:r>
        <w:t xml:space="preserve"> and obtain very similar results to those presented in the paper. </w:t>
      </w:r>
    </w:p>
  </w:footnote>
  <w:footnote w:id="11">
    <w:p w14:paraId="4AEF6EF2" w14:textId="4B6B6F68" w:rsidR="002624EB" w:rsidRDefault="002624EB">
      <w:pPr>
        <w:pStyle w:val="FootnoteText"/>
        <w:jc w:val="both"/>
      </w:pPr>
      <w:r>
        <w:rPr>
          <w:rStyle w:val="FootnoteReference"/>
        </w:rPr>
        <w:footnoteRef/>
      </w:r>
      <w:r>
        <w:t xml:space="preserve"> An error in initial placement decisions may occur not only because of the inability to assess talent with precision, but also because of many other reasons. These include, for example, budget considerations of hiring institutions that do not correspond to the flow of talent of PhD graduates.</w:t>
      </w:r>
    </w:p>
  </w:footnote>
  <w:footnote w:id="12">
    <w:p w14:paraId="7062C822" w14:textId="6F91097B" w:rsidR="002624EB" w:rsidRDefault="002624EB">
      <w:pPr>
        <w:pStyle w:val="FootnoteText"/>
        <w:jc w:val="both"/>
      </w:pPr>
      <w:r>
        <w:rPr>
          <w:rStyle w:val="FootnoteReference"/>
        </w:rPr>
        <w:footnoteRef/>
      </w:r>
      <w:r>
        <w:t xml:space="preserve"> </w:t>
      </w:r>
      <w:r>
        <w:rPr>
          <w:bCs/>
        </w:rPr>
        <w:t>Note that the superior nurturing that may be expected in top-tier universities compared to second-tier universities during the first 5 years of employment, suggests that for a given level of productivity level (at year 5), the talent of individuals in second-tier universities may in fact be somewhat higher than that of top-tier individuals, which would bias against finding a nurturing effect on productivity.</w:t>
      </w:r>
    </w:p>
  </w:footnote>
  <w:footnote w:id="13">
    <w:p w14:paraId="3DEBD366" w14:textId="37A061CB" w:rsidR="002624EB" w:rsidRDefault="002624EB" w:rsidP="00C87FF5">
      <w:pPr>
        <w:pStyle w:val="FootnoteText"/>
        <w:jc w:val="both"/>
      </w:pPr>
      <w:r>
        <w:rPr>
          <w:rStyle w:val="FootnoteReference"/>
        </w:rPr>
        <w:footnoteRef/>
      </w:r>
      <w:r>
        <w:t xml:space="preserve"> T</w:t>
      </w:r>
      <w:r>
        <w:rPr>
          <w:bCs/>
        </w:rPr>
        <w:t>he number of authors that have five or more A articles by year 5 in second-tier universities is too small (12 authors in total) to allow for any meaningful comparison.</w:t>
      </w:r>
    </w:p>
  </w:footnote>
  <w:footnote w:id="14">
    <w:p w14:paraId="06F689D2" w14:textId="77777777" w:rsidR="002624EB" w:rsidRDefault="002624EB" w:rsidP="00D4731E">
      <w:pPr>
        <w:pStyle w:val="FootnoteText"/>
        <w:jc w:val="both"/>
      </w:pPr>
      <w:r>
        <w:rPr>
          <w:rStyle w:val="FootnoteReference"/>
        </w:rPr>
        <w:footnoteRef/>
      </w:r>
      <w:r>
        <w:t xml:space="preserve"> </w:t>
      </w:r>
      <w:r>
        <w:rPr>
          <w:bCs/>
          <w:lang w:bidi="he-IL"/>
        </w:rPr>
        <w:t>For example, the question "would the researcher be granted tenure at your institution" that is often answered by external evaluators, does not allow for the consideration of the differences in nurturing that may exist between the institutions of the evaluated and the evaluator.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E4D"/>
    <w:multiLevelType w:val="hybridMultilevel"/>
    <w:tmpl w:val="FF8A0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4900"/>
    <w:multiLevelType w:val="hybridMultilevel"/>
    <w:tmpl w:val="86DC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44CB"/>
    <w:multiLevelType w:val="hybridMultilevel"/>
    <w:tmpl w:val="B1B2A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C73F9"/>
    <w:multiLevelType w:val="multilevel"/>
    <w:tmpl w:val="C0C6F1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5B03B8"/>
    <w:multiLevelType w:val="hybridMultilevel"/>
    <w:tmpl w:val="8ADC9084"/>
    <w:lvl w:ilvl="0" w:tplc="39F4C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D04191"/>
    <w:multiLevelType w:val="hybridMultilevel"/>
    <w:tmpl w:val="1C4E3F06"/>
    <w:lvl w:ilvl="0" w:tplc="6D8AC3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C635A"/>
    <w:multiLevelType w:val="hybridMultilevel"/>
    <w:tmpl w:val="CE6C7FD8"/>
    <w:lvl w:ilvl="0" w:tplc="FF808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3795E"/>
    <w:multiLevelType w:val="hybridMultilevel"/>
    <w:tmpl w:val="6CD8F612"/>
    <w:lvl w:ilvl="0" w:tplc="1DD6F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5656"/>
    <w:multiLevelType w:val="hybridMultilevel"/>
    <w:tmpl w:val="543E6794"/>
    <w:lvl w:ilvl="0" w:tplc="7D34A78C">
      <w:start w:val="33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75172"/>
    <w:multiLevelType w:val="hybridMultilevel"/>
    <w:tmpl w:val="B4106906"/>
    <w:lvl w:ilvl="0" w:tplc="5E5EAC6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A38FF"/>
    <w:multiLevelType w:val="hybridMultilevel"/>
    <w:tmpl w:val="4AB2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361B9"/>
    <w:multiLevelType w:val="multilevel"/>
    <w:tmpl w:val="73EA32F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2F06406"/>
    <w:multiLevelType w:val="hybridMultilevel"/>
    <w:tmpl w:val="8286D868"/>
    <w:lvl w:ilvl="0" w:tplc="ECE6D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F2DBA"/>
    <w:multiLevelType w:val="hybridMultilevel"/>
    <w:tmpl w:val="56A80620"/>
    <w:lvl w:ilvl="0" w:tplc="D224600A">
      <w:start w:val="1"/>
      <w:numFmt w:val="decimal"/>
      <w:lvlText w:val="(%1)"/>
      <w:lvlJc w:val="left"/>
      <w:pPr>
        <w:ind w:left="720" w:hanging="360"/>
      </w:pPr>
      <w:rPr>
        <w:rFonts w:hint="default"/>
      </w:rPr>
    </w:lvl>
    <w:lvl w:ilvl="1" w:tplc="CC4E894A" w:tentative="1">
      <w:start w:val="1"/>
      <w:numFmt w:val="lowerLetter"/>
      <w:lvlText w:val="%2."/>
      <w:lvlJc w:val="left"/>
      <w:pPr>
        <w:ind w:left="1440" w:hanging="360"/>
      </w:pPr>
    </w:lvl>
    <w:lvl w:ilvl="2" w:tplc="5EDA3598" w:tentative="1">
      <w:start w:val="1"/>
      <w:numFmt w:val="lowerRoman"/>
      <w:lvlText w:val="%3."/>
      <w:lvlJc w:val="right"/>
      <w:pPr>
        <w:ind w:left="2160" w:hanging="180"/>
      </w:pPr>
    </w:lvl>
    <w:lvl w:ilvl="3" w:tplc="781E9510" w:tentative="1">
      <w:start w:val="1"/>
      <w:numFmt w:val="decimal"/>
      <w:lvlText w:val="%4."/>
      <w:lvlJc w:val="left"/>
      <w:pPr>
        <w:ind w:left="2880" w:hanging="360"/>
      </w:pPr>
    </w:lvl>
    <w:lvl w:ilvl="4" w:tplc="0FA479BE" w:tentative="1">
      <w:start w:val="1"/>
      <w:numFmt w:val="lowerLetter"/>
      <w:lvlText w:val="%5."/>
      <w:lvlJc w:val="left"/>
      <w:pPr>
        <w:ind w:left="3600" w:hanging="360"/>
      </w:pPr>
    </w:lvl>
    <w:lvl w:ilvl="5" w:tplc="116EEA88" w:tentative="1">
      <w:start w:val="1"/>
      <w:numFmt w:val="lowerRoman"/>
      <w:lvlText w:val="%6."/>
      <w:lvlJc w:val="right"/>
      <w:pPr>
        <w:ind w:left="4320" w:hanging="180"/>
      </w:pPr>
    </w:lvl>
    <w:lvl w:ilvl="6" w:tplc="09149E2E" w:tentative="1">
      <w:start w:val="1"/>
      <w:numFmt w:val="decimal"/>
      <w:lvlText w:val="%7."/>
      <w:lvlJc w:val="left"/>
      <w:pPr>
        <w:ind w:left="5040" w:hanging="360"/>
      </w:pPr>
    </w:lvl>
    <w:lvl w:ilvl="7" w:tplc="D69A78D8" w:tentative="1">
      <w:start w:val="1"/>
      <w:numFmt w:val="lowerLetter"/>
      <w:lvlText w:val="%8."/>
      <w:lvlJc w:val="left"/>
      <w:pPr>
        <w:ind w:left="5760" w:hanging="360"/>
      </w:pPr>
    </w:lvl>
    <w:lvl w:ilvl="8" w:tplc="8FFAE94C" w:tentative="1">
      <w:start w:val="1"/>
      <w:numFmt w:val="lowerRoman"/>
      <w:lvlText w:val="%9."/>
      <w:lvlJc w:val="right"/>
      <w:pPr>
        <w:ind w:left="6480" w:hanging="180"/>
      </w:pPr>
    </w:lvl>
  </w:abstractNum>
  <w:abstractNum w:abstractNumId="15" w15:restartNumberingAfterBreak="0">
    <w:nsid w:val="3C2529E6"/>
    <w:multiLevelType w:val="multilevel"/>
    <w:tmpl w:val="1BEA421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16" w15:restartNumberingAfterBreak="0">
    <w:nsid w:val="3E337B0C"/>
    <w:multiLevelType w:val="hybridMultilevel"/>
    <w:tmpl w:val="38F6ACBA"/>
    <w:lvl w:ilvl="0" w:tplc="C5AE4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57052"/>
    <w:multiLevelType w:val="hybridMultilevel"/>
    <w:tmpl w:val="C20E4C00"/>
    <w:lvl w:ilvl="0" w:tplc="74D0D890">
      <w:start w:val="65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E22CE"/>
    <w:multiLevelType w:val="multilevel"/>
    <w:tmpl w:val="D14CF416"/>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7A54C4B"/>
    <w:multiLevelType w:val="hybridMultilevel"/>
    <w:tmpl w:val="7024A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728E4"/>
    <w:multiLevelType w:val="multilevel"/>
    <w:tmpl w:val="6AA4788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9E093B"/>
    <w:multiLevelType w:val="multilevel"/>
    <w:tmpl w:val="671C290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22" w15:restartNumberingAfterBreak="0">
    <w:nsid w:val="5F6F6EAD"/>
    <w:multiLevelType w:val="multilevel"/>
    <w:tmpl w:val="2200C516"/>
    <w:lvl w:ilvl="0">
      <w:start w:val="2"/>
      <w:numFmt w:val="decimal"/>
      <w:lvlText w:val="%1."/>
      <w:lvlJc w:val="left"/>
      <w:pPr>
        <w:ind w:left="1080" w:hanging="360"/>
      </w:pPr>
      <w:rPr>
        <w:rFonts w:hint="default"/>
      </w:rPr>
    </w:lvl>
    <w:lvl w:ilvl="1">
      <w:start w:val="2"/>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23" w15:restartNumberingAfterBreak="0">
    <w:nsid w:val="6C387F6E"/>
    <w:multiLevelType w:val="hybridMultilevel"/>
    <w:tmpl w:val="B0E83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E38D6"/>
    <w:multiLevelType w:val="hybridMultilevel"/>
    <w:tmpl w:val="5FF8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D01EE"/>
    <w:multiLevelType w:val="hybridMultilevel"/>
    <w:tmpl w:val="61D4761C"/>
    <w:lvl w:ilvl="0" w:tplc="AE7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C02046"/>
    <w:multiLevelType w:val="hybridMultilevel"/>
    <w:tmpl w:val="8C78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A10D3"/>
    <w:multiLevelType w:val="hybridMultilevel"/>
    <w:tmpl w:val="394A3864"/>
    <w:lvl w:ilvl="0" w:tplc="3610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27464"/>
    <w:multiLevelType w:val="hybridMultilevel"/>
    <w:tmpl w:val="B8C4A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15AFB"/>
    <w:multiLevelType w:val="multilevel"/>
    <w:tmpl w:val="074A1702"/>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E416707"/>
    <w:multiLevelType w:val="hybridMultilevel"/>
    <w:tmpl w:val="B7469778"/>
    <w:lvl w:ilvl="0" w:tplc="5FE2F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2"/>
  </w:num>
  <w:num w:numId="4">
    <w:abstractNumId w:val="4"/>
  </w:num>
  <w:num w:numId="5">
    <w:abstractNumId w:val="20"/>
  </w:num>
  <w:num w:numId="6">
    <w:abstractNumId w:val="19"/>
  </w:num>
  <w:num w:numId="7">
    <w:abstractNumId w:val="7"/>
  </w:num>
  <w:num w:numId="8">
    <w:abstractNumId w:val="24"/>
  </w:num>
  <w:num w:numId="9">
    <w:abstractNumId w:val="11"/>
  </w:num>
  <w:num w:numId="10">
    <w:abstractNumId w:val="26"/>
  </w:num>
  <w:num w:numId="11">
    <w:abstractNumId w:val="1"/>
  </w:num>
  <w:num w:numId="12">
    <w:abstractNumId w:val="5"/>
  </w:num>
  <w:num w:numId="13">
    <w:abstractNumId w:val="10"/>
  </w:num>
  <w:num w:numId="14">
    <w:abstractNumId w:val="3"/>
  </w:num>
  <w:num w:numId="15">
    <w:abstractNumId w:val="21"/>
  </w:num>
  <w:num w:numId="16">
    <w:abstractNumId w:val="18"/>
  </w:num>
  <w:num w:numId="17">
    <w:abstractNumId w:val="29"/>
  </w:num>
  <w:num w:numId="18">
    <w:abstractNumId w:val="27"/>
  </w:num>
  <w:num w:numId="19">
    <w:abstractNumId w:val="30"/>
  </w:num>
  <w:num w:numId="20">
    <w:abstractNumId w:val="0"/>
  </w:num>
  <w:num w:numId="21">
    <w:abstractNumId w:val="23"/>
  </w:num>
  <w:num w:numId="22">
    <w:abstractNumId w:val="2"/>
  </w:num>
  <w:num w:numId="23">
    <w:abstractNumId w:val="16"/>
  </w:num>
  <w:num w:numId="24">
    <w:abstractNumId w:val="8"/>
  </w:num>
  <w:num w:numId="25">
    <w:abstractNumId w:val="28"/>
  </w:num>
  <w:num w:numId="26">
    <w:abstractNumId w:val="6"/>
  </w:num>
  <w:num w:numId="27">
    <w:abstractNumId w:val="15"/>
  </w:num>
  <w:num w:numId="28">
    <w:abstractNumId w:val="25"/>
  </w:num>
  <w:num w:numId="29">
    <w:abstractNumId w:val="9"/>
  </w:num>
  <w:num w:numId="30">
    <w:abstractNumId w:val="17"/>
  </w:num>
  <w:num w:numId="3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en-CA" w:vendorID="64" w:dllVersion="6" w:nlCheck="1" w:checkStyle="1"/>
  <w:activeWritingStyle w:appName="MSWord" w:lang="en-CA" w:vendorID="64" w:dllVersion="4096" w:nlCheck="1" w:checkStyle="0"/>
  <w:activeWritingStyle w:appName="MSWord" w:lang="ar-SA" w:vendorID="64" w:dllVersion="0" w:nlCheck="1" w:checkStyle="0"/>
  <w:activeWritingStyle w:appName="MSWord" w:lang="ar-SA" w:vendorID="64" w:dllVersion="6"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4D"/>
    <w:rsid w:val="00000908"/>
    <w:rsid w:val="00000DFF"/>
    <w:rsid w:val="0000134F"/>
    <w:rsid w:val="00001E61"/>
    <w:rsid w:val="00001FC9"/>
    <w:rsid w:val="00002427"/>
    <w:rsid w:val="00002DAE"/>
    <w:rsid w:val="000039E6"/>
    <w:rsid w:val="00003D2C"/>
    <w:rsid w:val="00004595"/>
    <w:rsid w:val="00004A7D"/>
    <w:rsid w:val="00004D65"/>
    <w:rsid w:val="000058C5"/>
    <w:rsid w:val="00005AF4"/>
    <w:rsid w:val="00006243"/>
    <w:rsid w:val="00006A33"/>
    <w:rsid w:val="00007A6A"/>
    <w:rsid w:val="00010C08"/>
    <w:rsid w:val="00010CA0"/>
    <w:rsid w:val="00011FB1"/>
    <w:rsid w:val="000121D6"/>
    <w:rsid w:val="00012B3F"/>
    <w:rsid w:val="00012C4F"/>
    <w:rsid w:val="00013019"/>
    <w:rsid w:val="00013575"/>
    <w:rsid w:val="00014ABA"/>
    <w:rsid w:val="00014B1A"/>
    <w:rsid w:val="00014C88"/>
    <w:rsid w:val="00015437"/>
    <w:rsid w:val="0001543B"/>
    <w:rsid w:val="00015A8C"/>
    <w:rsid w:val="00015D37"/>
    <w:rsid w:val="00016713"/>
    <w:rsid w:val="00016BE7"/>
    <w:rsid w:val="00016FDC"/>
    <w:rsid w:val="00017559"/>
    <w:rsid w:val="00020579"/>
    <w:rsid w:val="00020F49"/>
    <w:rsid w:val="000216D9"/>
    <w:rsid w:val="0002281A"/>
    <w:rsid w:val="00022954"/>
    <w:rsid w:val="00023555"/>
    <w:rsid w:val="00024947"/>
    <w:rsid w:val="00024B78"/>
    <w:rsid w:val="00024C2B"/>
    <w:rsid w:val="00024D1C"/>
    <w:rsid w:val="00024D92"/>
    <w:rsid w:val="00024F7F"/>
    <w:rsid w:val="000253CF"/>
    <w:rsid w:val="000254AE"/>
    <w:rsid w:val="000254F7"/>
    <w:rsid w:val="000258C5"/>
    <w:rsid w:val="00025977"/>
    <w:rsid w:val="00025A92"/>
    <w:rsid w:val="000267EB"/>
    <w:rsid w:val="00026984"/>
    <w:rsid w:val="0002699C"/>
    <w:rsid w:val="00026B51"/>
    <w:rsid w:val="000273DA"/>
    <w:rsid w:val="00027414"/>
    <w:rsid w:val="00027658"/>
    <w:rsid w:val="0003039F"/>
    <w:rsid w:val="0003074B"/>
    <w:rsid w:val="00030871"/>
    <w:rsid w:val="00030932"/>
    <w:rsid w:val="00030959"/>
    <w:rsid w:val="00030B5C"/>
    <w:rsid w:val="0003131D"/>
    <w:rsid w:val="00031A73"/>
    <w:rsid w:val="0003262E"/>
    <w:rsid w:val="00032BC9"/>
    <w:rsid w:val="00032DD7"/>
    <w:rsid w:val="00032EAE"/>
    <w:rsid w:val="00033066"/>
    <w:rsid w:val="000332E0"/>
    <w:rsid w:val="000342CF"/>
    <w:rsid w:val="000345EB"/>
    <w:rsid w:val="00034C27"/>
    <w:rsid w:val="0003541C"/>
    <w:rsid w:val="00035AF7"/>
    <w:rsid w:val="000360E4"/>
    <w:rsid w:val="0003651C"/>
    <w:rsid w:val="000365AF"/>
    <w:rsid w:val="000367F4"/>
    <w:rsid w:val="0004015D"/>
    <w:rsid w:val="000418D9"/>
    <w:rsid w:val="00041B85"/>
    <w:rsid w:val="00041E4C"/>
    <w:rsid w:val="00042190"/>
    <w:rsid w:val="00042799"/>
    <w:rsid w:val="00042C59"/>
    <w:rsid w:val="00042E00"/>
    <w:rsid w:val="00042E8B"/>
    <w:rsid w:val="000436CC"/>
    <w:rsid w:val="00044F9F"/>
    <w:rsid w:val="0004707F"/>
    <w:rsid w:val="0005028D"/>
    <w:rsid w:val="00051025"/>
    <w:rsid w:val="000510C3"/>
    <w:rsid w:val="000514BD"/>
    <w:rsid w:val="000519B0"/>
    <w:rsid w:val="00051B88"/>
    <w:rsid w:val="00052A9C"/>
    <w:rsid w:val="000535BF"/>
    <w:rsid w:val="00054665"/>
    <w:rsid w:val="00054A7C"/>
    <w:rsid w:val="00054C33"/>
    <w:rsid w:val="00054CC8"/>
    <w:rsid w:val="00054D61"/>
    <w:rsid w:val="000557B6"/>
    <w:rsid w:val="00056805"/>
    <w:rsid w:val="000568E0"/>
    <w:rsid w:val="0005769C"/>
    <w:rsid w:val="000577CC"/>
    <w:rsid w:val="00057AC6"/>
    <w:rsid w:val="00057B92"/>
    <w:rsid w:val="00057DB1"/>
    <w:rsid w:val="000600CE"/>
    <w:rsid w:val="00060599"/>
    <w:rsid w:val="00060650"/>
    <w:rsid w:val="0006076C"/>
    <w:rsid w:val="0006230B"/>
    <w:rsid w:val="00062DAF"/>
    <w:rsid w:val="00062FBA"/>
    <w:rsid w:val="000632EC"/>
    <w:rsid w:val="00063C8E"/>
    <w:rsid w:val="00063C9D"/>
    <w:rsid w:val="00063D0E"/>
    <w:rsid w:val="00063FBC"/>
    <w:rsid w:val="000640F7"/>
    <w:rsid w:val="00064880"/>
    <w:rsid w:val="00064D16"/>
    <w:rsid w:val="00065195"/>
    <w:rsid w:val="00066229"/>
    <w:rsid w:val="0006693F"/>
    <w:rsid w:val="00066D66"/>
    <w:rsid w:val="00066DBE"/>
    <w:rsid w:val="00066F6D"/>
    <w:rsid w:val="00071E84"/>
    <w:rsid w:val="0007200C"/>
    <w:rsid w:val="000731B0"/>
    <w:rsid w:val="00073995"/>
    <w:rsid w:val="000739D8"/>
    <w:rsid w:val="00073BAD"/>
    <w:rsid w:val="00073CE4"/>
    <w:rsid w:val="00074F17"/>
    <w:rsid w:val="00075A24"/>
    <w:rsid w:val="00076234"/>
    <w:rsid w:val="00076C11"/>
    <w:rsid w:val="00077C49"/>
    <w:rsid w:val="00080672"/>
    <w:rsid w:val="00080DDC"/>
    <w:rsid w:val="0008129B"/>
    <w:rsid w:val="000812D7"/>
    <w:rsid w:val="00081DD2"/>
    <w:rsid w:val="00081E34"/>
    <w:rsid w:val="000820E4"/>
    <w:rsid w:val="00082500"/>
    <w:rsid w:val="0008335B"/>
    <w:rsid w:val="000837CF"/>
    <w:rsid w:val="00083D87"/>
    <w:rsid w:val="00083EDF"/>
    <w:rsid w:val="000841BA"/>
    <w:rsid w:val="000844B1"/>
    <w:rsid w:val="0008457F"/>
    <w:rsid w:val="00084598"/>
    <w:rsid w:val="000849BC"/>
    <w:rsid w:val="000849F9"/>
    <w:rsid w:val="00084D38"/>
    <w:rsid w:val="00085086"/>
    <w:rsid w:val="00085174"/>
    <w:rsid w:val="0008576A"/>
    <w:rsid w:val="000863F1"/>
    <w:rsid w:val="000866BB"/>
    <w:rsid w:val="00087044"/>
    <w:rsid w:val="00087421"/>
    <w:rsid w:val="000874D7"/>
    <w:rsid w:val="000905E0"/>
    <w:rsid w:val="00090ED1"/>
    <w:rsid w:val="00091251"/>
    <w:rsid w:val="00091297"/>
    <w:rsid w:val="0009198A"/>
    <w:rsid w:val="00091FAF"/>
    <w:rsid w:val="00092AC7"/>
    <w:rsid w:val="0009318C"/>
    <w:rsid w:val="000931F7"/>
    <w:rsid w:val="00093417"/>
    <w:rsid w:val="00093AF1"/>
    <w:rsid w:val="00093E9A"/>
    <w:rsid w:val="00094880"/>
    <w:rsid w:val="00094BB8"/>
    <w:rsid w:val="00095783"/>
    <w:rsid w:val="00095FC3"/>
    <w:rsid w:val="000964EE"/>
    <w:rsid w:val="000970B8"/>
    <w:rsid w:val="000978C8"/>
    <w:rsid w:val="00097D4A"/>
    <w:rsid w:val="000A016D"/>
    <w:rsid w:val="000A030F"/>
    <w:rsid w:val="000A0DEC"/>
    <w:rsid w:val="000A0ED9"/>
    <w:rsid w:val="000A1280"/>
    <w:rsid w:val="000A132C"/>
    <w:rsid w:val="000A16ED"/>
    <w:rsid w:val="000A17C9"/>
    <w:rsid w:val="000A1AD9"/>
    <w:rsid w:val="000A1C77"/>
    <w:rsid w:val="000A1D6A"/>
    <w:rsid w:val="000A254F"/>
    <w:rsid w:val="000A2C0F"/>
    <w:rsid w:val="000A2C79"/>
    <w:rsid w:val="000A2DAF"/>
    <w:rsid w:val="000A3863"/>
    <w:rsid w:val="000A39BD"/>
    <w:rsid w:val="000A41F3"/>
    <w:rsid w:val="000A4736"/>
    <w:rsid w:val="000A4839"/>
    <w:rsid w:val="000A49BC"/>
    <w:rsid w:val="000A4D0D"/>
    <w:rsid w:val="000A4EF8"/>
    <w:rsid w:val="000A4FF4"/>
    <w:rsid w:val="000A56F1"/>
    <w:rsid w:val="000A6D45"/>
    <w:rsid w:val="000A722C"/>
    <w:rsid w:val="000A7D45"/>
    <w:rsid w:val="000A7ECB"/>
    <w:rsid w:val="000B019E"/>
    <w:rsid w:val="000B0B54"/>
    <w:rsid w:val="000B0E7D"/>
    <w:rsid w:val="000B1012"/>
    <w:rsid w:val="000B1326"/>
    <w:rsid w:val="000B1AC2"/>
    <w:rsid w:val="000B204B"/>
    <w:rsid w:val="000B25F5"/>
    <w:rsid w:val="000B2674"/>
    <w:rsid w:val="000B26F7"/>
    <w:rsid w:val="000B411A"/>
    <w:rsid w:val="000B4373"/>
    <w:rsid w:val="000B43D9"/>
    <w:rsid w:val="000B46C3"/>
    <w:rsid w:val="000B47E9"/>
    <w:rsid w:val="000B49A4"/>
    <w:rsid w:val="000B4BEF"/>
    <w:rsid w:val="000B51B8"/>
    <w:rsid w:val="000B5227"/>
    <w:rsid w:val="000B559F"/>
    <w:rsid w:val="000B5E2A"/>
    <w:rsid w:val="000B636F"/>
    <w:rsid w:val="000B647E"/>
    <w:rsid w:val="000B65AC"/>
    <w:rsid w:val="000B661C"/>
    <w:rsid w:val="000B6E6E"/>
    <w:rsid w:val="000B749F"/>
    <w:rsid w:val="000B76BC"/>
    <w:rsid w:val="000B7E6C"/>
    <w:rsid w:val="000C04A3"/>
    <w:rsid w:val="000C0565"/>
    <w:rsid w:val="000C0DDA"/>
    <w:rsid w:val="000C0E27"/>
    <w:rsid w:val="000C19F0"/>
    <w:rsid w:val="000C20FB"/>
    <w:rsid w:val="000C2E33"/>
    <w:rsid w:val="000C2ED9"/>
    <w:rsid w:val="000C310D"/>
    <w:rsid w:val="000C42F1"/>
    <w:rsid w:val="000C47C2"/>
    <w:rsid w:val="000C48C2"/>
    <w:rsid w:val="000C4C16"/>
    <w:rsid w:val="000C589B"/>
    <w:rsid w:val="000C6AEF"/>
    <w:rsid w:val="000C6AF1"/>
    <w:rsid w:val="000C6E3A"/>
    <w:rsid w:val="000C6FA9"/>
    <w:rsid w:val="000C765A"/>
    <w:rsid w:val="000D0156"/>
    <w:rsid w:val="000D039D"/>
    <w:rsid w:val="000D0DA5"/>
    <w:rsid w:val="000D1A12"/>
    <w:rsid w:val="000D1EE4"/>
    <w:rsid w:val="000D38EE"/>
    <w:rsid w:val="000D3931"/>
    <w:rsid w:val="000D3C35"/>
    <w:rsid w:val="000D47F0"/>
    <w:rsid w:val="000D5E00"/>
    <w:rsid w:val="000D6407"/>
    <w:rsid w:val="000D75DC"/>
    <w:rsid w:val="000D7DE8"/>
    <w:rsid w:val="000E0968"/>
    <w:rsid w:val="000E1F2C"/>
    <w:rsid w:val="000E26B8"/>
    <w:rsid w:val="000E2AFD"/>
    <w:rsid w:val="000E2D8D"/>
    <w:rsid w:val="000E2EE8"/>
    <w:rsid w:val="000E37B7"/>
    <w:rsid w:val="000E3861"/>
    <w:rsid w:val="000E454F"/>
    <w:rsid w:val="000E4889"/>
    <w:rsid w:val="000E48CB"/>
    <w:rsid w:val="000E4AFE"/>
    <w:rsid w:val="000E57A3"/>
    <w:rsid w:val="000E5D7A"/>
    <w:rsid w:val="000E69B1"/>
    <w:rsid w:val="000E6D4C"/>
    <w:rsid w:val="000E757B"/>
    <w:rsid w:val="000E7EA7"/>
    <w:rsid w:val="000E7FB6"/>
    <w:rsid w:val="000F014C"/>
    <w:rsid w:val="000F0271"/>
    <w:rsid w:val="000F0321"/>
    <w:rsid w:val="000F0493"/>
    <w:rsid w:val="000F07B4"/>
    <w:rsid w:val="000F0B7B"/>
    <w:rsid w:val="000F2F1C"/>
    <w:rsid w:val="000F3B5A"/>
    <w:rsid w:val="000F3CD4"/>
    <w:rsid w:val="000F488D"/>
    <w:rsid w:val="000F5229"/>
    <w:rsid w:val="000F552A"/>
    <w:rsid w:val="000F5864"/>
    <w:rsid w:val="000F5869"/>
    <w:rsid w:val="000F58BA"/>
    <w:rsid w:val="000F5C12"/>
    <w:rsid w:val="000F5DE8"/>
    <w:rsid w:val="000F5EF3"/>
    <w:rsid w:val="000F63F5"/>
    <w:rsid w:val="000F7092"/>
    <w:rsid w:val="00100384"/>
    <w:rsid w:val="001008BA"/>
    <w:rsid w:val="00100CA9"/>
    <w:rsid w:val="00102526"/>
    <w:rsid w:val="0010256D"/>
    <w:rsid w:val="001026B3"/>
    <w:rsid w:val="00102BAB"/>
    <w:rsid w:val="001030ED"/>
    <w:rsid w:val="00103665"/>
    <w:rsid w:val="00103DC5"/>
    <w:rsid w:val="00104568"/>
    <w:rsid w:val="001048CD"/>
    <w:rsid w:val="00104EA2"/>
    <w:rsid w:val="001053A1"/>
    <w:rsid w:val="00105620"/>
    <w:rsid w:val="0010567C"/>
    <w:rsid w:val="0010677D"/>
    <w:rsid w:val="00106914"/>
    <w:rsid w:val="00106BDD"/>
    <w:rsid w:val="00107179"/>
    <w:rsid w:val="00107847"/>
    <w:rsid w:val="00107849"/>
    <w:rsid w:val="00107881"/>
    <w:rsid w:val="00107966"/>
    <w:rsid w:val="00110801"/>
    <w:rsid w:val="00111A93"/>
    <w:rsid w:val="00111E9F"/>
    <w:rsid w:val="0011210A"/>
    <w:rsid w:val="00112330"/>
    <w:rsid w:val="001124AA"/>
    <w:rsid w:val="00112818"/>
    <w:rsid w:val="001128A2"/>
    <w:rsid w:val="0011290E"/>
    <w:rsid w:val="00112AA4"/>
    <w:rsid w:val="00113423"/>
    <w:rsid w:val="00113456"/>
    <w:rsid w:val="00113ED5"/>
    <w:rsid w:val="00114CA1"/>
    <w:rsid w:val="00114F7A"/>
    <w:rsid w:val="0011584C"/>
    <w:rsid w:val="00116181"/>
    <w:rsid w:val="00116568"/>
    <w:rsid w:val="00116A31"/>
    <w:rsid w:val="00116C63"/>
    <w:rsid w:val="001171CF"/>
    <w:rsid w:val="00117E2A"/>
    <w:rsid w:val="00120257"/>
    <w:rsid w:val="0012271F"/>
    <w:rsid w:val="001230EF"/>
    <w:rsid w:val="001237AC"/>
    <w:rsid w:val="00123C0E"/>
    <w:rsid w:val="001241ED"/>
    <w:rsid w:val="0012439D"/>
    <w:rsid w:val="00125A41"/>
    <w:rsid w:val="00126275"/>
    <w:rsid w:val="00126718"/>
    <w:rsid w:val="0012734C"/>
    <w:rsid w:val="00127522"/>
    <w:rsid w:val="0012775E"/>
    <w:rsid w:val="0013088A"/>
    <w:rsid w:val="00130C59"/>
    <w:rsid w:val="00130C9E"/>
    <w:rsid w:val="0013130B"/>
    <w:rsid w:val="00131900"/>
    <w:rsid w:val="00131C6A"/>
    <w:rsid w:val="00131FD1"/>
    <w:rsid w:val="00132012"/>
    <w:rsid w:val="00132840"/>
    <w:rsid w:val="00132948"/>
    <w:rsid w:val="00132ABC"/>
    <w:rsid w:val="00132B38"/>
    <w:rsid w:val="001335D1"/>
    <w:rsid w:val="00133BD2"/>
    <w:rsid w:val="0013418E"/>
    <w:rsid w:val="00134229"/>
    <w:rsid w:val="0013441F"/>
    <w:rsid w:val="0013455C"/>
    <w:rsid w:val="001348BA"/>
    <w:rsid w:val="00134DFD"/>
    <w:rsid w:val="001351E4"/>
    <w:rsid w:val="00135331"/>
    <w:rsid w:val="00135648"/>
    <w:rsid w:val="00136135"/>
    <w:rsid w:val="00136A40"/>
    <w:rsid w:val="00136BBF"/>
    <w:rsid w:val="001372FD"/>
    <w:rsid w:val="00137C73"/>
    <w:rsid w:val="00140140"/>
    <w:rsid w:val="001404A6"/>
    <w:rsid w:val="001405B9"/>
    <w:rsid w:val="00142611"/>
    <w:rsid w:val="00142C57"/>
    <w:rsid w:val="0014370E"/>
    <w:rsid w:val="00143DB3"/>
    <w:rsid w:val="00145B99"/>
    <w:rsid w:val="0014667B"/>
    <w:rsid w:val="00146D8B"/>
    <w:rsid w:val="00147073"/>
    <w:rsid w:val="001477D6"/>
    <w:rsid w:val="001477EB"/>
    <w:rsid w:val="00150047"/>
    <w:rsid w:val="00150706"/>
    <w:rsid w:val="00150D2C"/>
    <w:rsid w:val="00151A28"/>
    <w:rsid w:val="001520D2"/>
    <w:rsid w:val="00152486"/>
    <w:rsid w:val="00153695"/>
    <w:rsid w:val="00153C45"/>
    <w:rsid w:val="00153F2A"/>
    <w:rsid w:val="001541B2"/>
    <w:rsid w:val="00154AA2"/>
    <w:rsid w:val="00154AC6"/>
    <w:rsid w:val="00154BFF"/>
    <w:rsid w:val="00154E49"/>
    <w:rsid w:val="00154FB0"/>
    <w:rsid w:val="0015505B"/>
    <w:rsid w:val="001553A8"/>
    <w:rsid w:val="0015571A"/>
    <w:rsid w:val="00155E4E"/>
    <w:rsid w:val="00155F8C"/>
    <w:rsid w:val="00156ABC"/>
    <w:rsid w:val="00156E01"/>
    <w:rsid w:val="00157365"/>
    <w:rsid w:val="00157E71"/>
    <w:rsid w:val="001611D7"/>
    <w:rsid w:val="00161484"/>
    <w:rsid w:val="00161812"/>
    <w:rsid w:val="00161E61"/>
    <w:rsid w:val="00162078"/>
    <w:rsid w:val="00162208"/>
    <w:rsid w:val="001625A4"/>
    <w:rsid w:val="00162BC6"/>
    <w:rsid w:val="00163A32"/>
    <w:rsid w:val="00164653"/>
    <w:rsid w:val="00165149"/>
    <w:rsid w:val="001657D9"/>
    <w:rsid w:val="00165991"/>
    <w:rsid w:val="00165FF4"/>
    <w:rsid w:val="001662A5"/>
    <w:rsid w:val="0016700F"/>
    <w:rsid w:val="00167D52"/>
    <w:rsid w:val="001700B8"/>
    <w:rsid w:val="00170C3C"/>
    <w:rsid w:val="00170EFC"/>
    <w:rsid w:val="001712C5"/>
    <w:rsid w:val="00171B3A"/>
    <w:rsid w:val="00173177"/>
    <w:rsid w:val="00174322"/>
    <w:rsid w:val="001743CE"/>
    <w:rsid w:val="00174D8A"/>
    <w:rsid w:val="00174E73"/>
    <w:rsid w:val="00175031"/>
    <w:rsid w:val="00175156"/>
    <w:rsid w:val="00175441"/>
    <w:rsid w:val="00175871"/>
    <w:rsid w:val="00176267"/>
    <w:rsid w:val="00176675"/>
    <w:rsid w:val="00176D3F"/>
    <w:rsid w:val="0017777E"/>
    <w:rsid w:val="0017798A"/>
    <w:rsid w:val="00177D60"/>
    <w:rsid w:val="00177FC2"/>
    <w:rsid w:val="00180275"/>
    <w:rsid w:val="00180A9C"/>
    <w:rsid w:val="0018119A"/>
    <w:rsid w:val="001812CE"/>
    <w:rsid w:val="00181736"/>
    <w:rsid w:val="001825F3"/>
    <w:rsid w:val="0018382D"/>
    <w:rsid w:val="00183A80"/>
    <w:rsid w:val="00184253"/>
    <w:rsid w:val="00184398"/>
    <w:rsid w:val="0018458C"/>
    <w:rsid w:val="001849CC"/>
    <w:rsid w:val="00184D92"/>
    <w:rsid w:val="001851A5"/>
    <w:rsid w:val="00185682"/>
    <w:rsid w:val="00186887"/>
    <w:rsid w:val="001873FA"/>
    <w:rsid w:val="00190A64"/>
    <w:rsid w:val="00190ADC"/>
    <w:rsid w:val="0019169D"/>
    <w:rsid w:val="0019174E"/>
    <w:rsid w:val="00191AC4"/>
    <w:rsid w:val="0019371C"/>
    <w:rsid w:val="00193726"/>
    <w:rsid w:val="00193BD2"/>
    <w:rsid w:val="00194479"/>
    <w:rsid w:val="00194EE9"/>
    <w:rsid w:val="00194FCB"/>
    <w:rsid w:val="0019510F"/>
    <w:rsid w:val="00195B28"/>
    <w:rsid w:val="001964DB"/>
    <w:rsid w:val="001965A9"/>
    <w:rsid w:val="00196E5E"/>
    <w:rsid w:val="0019788A"/>
    <w:rsid w:val="00197912"/>
    <w:rsid w:val="00197CEA"/>
    <w:rsid w:val="00197D6B"/>
    <w:rsid w:val="001A087C"/>
    <w:rsid w:val="001A0D3A"/>
    <w:rsid w:val="001A0E07"/>
    <w:rsid w:val="001A0E73"/>
    <w:rsid w:val="001A17ED"/>
    <w:rsid w:val="001A1E49"/>
    <w:rsid w:val="001A2701"/>
    <w:rsid w:val="001A27FD"/>
    <w:rsid w:val="001A2ED3"/>
    <w:rsid w:val="001A31B4"/>
    <w:rsid w:val="001A39D7"/>
    <w:rsid w:val="001A39EC"/>
    <w:rsid w:val="001A3C58"/>
    <w:rsid w:val="001A5079"/>
    <w:rsid w:val="001A5310"/>
    <w:rsid w:val="001A57EE"/>
    <w:rsid w:val="001A6467"/>
    <w:rsid w:val="001A795A"/>
    <w:rsid w:val="001B0067"/>
    <w:rsid w:val="001B00BB"/>
    <w:rsid w:val="001B06D1"/>
    <w:rsid w:val="001B115F"/>
    <w:rsid w:val="001B2E5C"/>
    <w:rsid w:val="001B3E04"/>
    <w:rsid w:val="001B412B"/>
    <w:rsid w:val="001B4DAF"/>
    <w:rsid w:val="001B4F7A"/>
    <w:rsid w:val="001B5EC1"/>
    <w:rsid w:val="001B5F5D"/>
    <w:rsid w:val="001B68A9"/>
    <w:rsid w:val="001B68E5"/>
    <w:rsid w:val="001B6978"/>
    <w:rsid w:val="001B6E6F"/>
    <w:rsid w:val="001B777D"/>
    <w:rsid w:val="001C0303"/>
    <w:rsid w:val="001C067A"/>
    <w:rsid w:val="001C08CD"/>
    <w:rsid w:val="001C10F3"/>
    <w:rsid w:val="001C192A"/>
    <w:rsid w:val="001C1CDF"/>
    <w:rsid w:val="001C1CEA"/>
    <w:rsid w:val="001C25BA"/>
    <w:rsid w:val="001C2F08"/>
    <w:rsid w:val="001C4297"/>
    <w:rsid w:val="001C4805"/>
    <w:rsid w:val="001C62F0"/>
    <w:rsid w:val="001C6926"/>
    <w:rsid w:val="001C700D"/>
    <w:rsid w:val="001C7146"/>
    <w:rsid w:val="001C7EE5"/>
    <w:rsid w:val="001D075A"/>
    <w:rsid w:val="001D09D6"/>
    <w:rsid w:val="001D0DDD"/>
    <w:rsid w:val="001D0DDE"/>
    <w:rsid w:val="001D1FF0"/>
    <w:rsid w:val="001D2186"/>
    <w:rsid w:val="001D2AA7"/>
    <w:rsid w:val="001D3203"/>
    <w:rsid w:val="001D359E"/>
    <w:rsid w:val="001D3CE5"/>
    <w:rsid w:val="001D41E6"/>
    <w:rsid w:val="001D45E4"/>
    <w:rsid w:val="001D461D"/>
    <w:rsid w:val="001D4F97"/>
    <w:rsid w:val="001D5984"/>
    <w:rsid w:val="001D59DB"/>
    <w:rsid w:val="001D6180"/>
    <w:rsid w:val="001D6503"/>
    <w:rsid w:val="001D6CA0"/>
    <w:rsid w:val="001D6D28"/>
    <w:rsid w:val="001D6DA9"/>
    <w:rsid w:val="001D6F10"/>
    <w:rsid w:val="001D7644"/>
    <w:rsid w:val="001D7723"/>
    <w:rsid w:val="001D7DF7"/>
    <w:rsid w:val="001E0F8F"/>
    <w:rsid w:val="001E15D3"/>
    <w:rsid w:val="001E16EB"/>
    <w:rsid w:val="001E186C"/>
    <w:rsid w:val="001E1EA1"/>
    <w:rsid w:val="001E1EF0"/>
    <w:rsid w:val="001E2336"/>
    <w:rsid w:val="001E2BF7"/>
    <w:rsid w:val="001E30C2"/>
    <w:rsid w:val="001E37F9"/>
    <w:rsid w:val="001E4110"/>
    <w:rsid w:val="001E55FC"/>
    <w:rsid w:val="001E570E"/>
    <w:rsid w:val="001E5B04"/>
    <w:rsid w:val="001E6179"/>
    <w:rsid w:val="001E62D5"/>
    <w:rsid w:val="001E6F25"/>
    <w:rsid w:val="001F000B"/>
    <w:rsid w:val="001F00F6"/>
    <w:rsid w:val="001F0188"/>
    <w:rsid w:val="001F0DDF"/>
    <w:rsid w:val="001F0E20"/>
    <w:rsid w:val="001F1019"/>
    <w:rsid w:val="001F1179"/>
    <w:rsid w:val="001F192F"/>
    <w:rsid w:val="001F1B30"/>
    <w:rsid w:val="001F2B75"/>
    <w:rsid w:val="001F2CD9"/>
    <w:rsid w:val="001F2CE1"/>
    <w:rsid w:val="001F32B3"/>
    <w:rsid w:val="001F34E1"/>
    <w:rsid w:val="001F3F1D"/>
    <w:rsid w:val="001F443C"/>
    <w:rsid w:val="001F44BF"/>
    <w:rsid w:val="001F4CD2"/>
    <w:rsid w:val="001F5127"/>
    <w:rsid w:val="001F5914"/>
    <w:rsid w:val="001F6E8B"/>
    <w:rsid w:val="001F7587"/>
    <w:rsid w:val="001F7EA2"/>
    <w:rsid w:val="0020052D"/>
    <w:rsid w:val="002007F5"/>
    <w:rsid w:val="00202324"/>
    <w:rsid w:val="00202687"/>
    <w:rsid w:val="00202C52"/>
    <w:rsid w:val="00203174"/>
    <w:rsid w:val="0020563A"/>
    <w:rsid w:val="00205BE5"/>
    <w:rsid w:val="002066A4"/>
    <w:rsid w:val="00207158"/>
    <w:rsid w:val="00207BE7"/>
    <w:rsid w:val="00207C77"/>
    <w:rsid w:val="0021080C"/>
    <w:rsid w:val="00210E74"/>
    <w:rsid w:val="0021109C"/>
    <w:rsid w:val="00211662"/>
    <w:rsid w:val="002120EA"/>
    <w:rsid w:val="00212A29"/>
    <w:rsid w:val="00212A53"/>
    <w:rsid w:val="00213301"/>
    <w:rsid w:val="0021369B"/>
    <w:rsid w:val="00213706"/>
    <w:rsid w:val="00213999"/>
    <w:rsid w:val="002139B7"/>
    <w:rsid w:val="00214051"/>
    <w:rsid w:val="0021436B"/>
    <w:rsid w:val="00214CBC"/>
    <w:rsid w:val="00214E57"/>
    <w:rsid w:val="0021568B"/>
    <w:rsid w:val="00216179"/>
    <w:rsid w:val="00216332"/>
    <w:rsid w:val="00216781"/>
    <w:rsid w:val="00216B39"/>
    <w:rsid w:val="00216CF7"/>
    <w:rsid w:val="002170AB"/>
    <w:rsid w:val="002171A7"/>
    <w:rsid w:val="00217FC5"/>
    <w:rsid w:val="00220780"/>
    <w:rsid w:val="002207F7"/>
    <w:rsid w:val="00220FCE"/>
    <w:rsid w:val="0022113C"/>
    <w:rsid w:val="002212C0"/>
    <w:rsid w:val="002214E7"/>
    <w:rsid w:val="00221C83"/>
    <w:rsid w:val="00221D93"/>
    <w:rsid w:val="00221FBB"/>
    <w:rsid w:val="002224C5"/>
    <w:rsid w:val="0022271C"/>
    <w:rsid w:val="002227FC"/>
    <w:rsid w:val="00222A4A"/>
    <w:rsid w:val="0022388A"/>
    <w:rsid w:val="002240A0"/>
    <w:rsid w:val="00224213"/>
    <w:rsid w:val="00224665"/>
    <w:rsid w:val="00224E41"/>
    <w:rsid w:val="00224E87"/>
    <w:rsid w:val="00225ABC"/>
    <w:rsid w:val="00226D8B"/>
    <w:rsid w:val="00226EC2"/>
    <w:rsid w:val="00227215"/>
    <w:rsid w:val="002272B2"/>
    <w:rsid w:val="0022785A"/>
    <w:rsid w:val="00227AAB"/>
    <w:rsid w:val="002304B3"/>
    <w:rsid w:val="00230501"/>
    <w:rsid w:val="00230784"/>
    <w:rsid w:val="002308F2"/>
    <w:rsid w:val="002309DA"/>
    <w:rsid w:val="00230C5D"/>
    <w:rsid w:val="00230ED6"/>
    <w:rsid w:val="0023131C"/>
    <w:rsid w:val="0023266C"/>
    <w:rsid w:val="00232C63"/>
    <w:rsid w:val="002344F0"/>
    <w:rsid w:val="00235085"/>
    <w:rsid w:val="002352FF"/>
    <w:rsid w:val="00235383"/>
    <w:rsid w:val="0023609F"/>
    <w:rsid w:val="0024057A"/>
    <w:rsid w:val="00241120"/>
    <w:rsid w:val="00241426"/>
    <w:rsid w:val="0024159F"/>
    <w:rsid w:val="00241E69"/>
    <w:rsid w:val="00244CEF"/>
    <w:rsid w:val="00245394"/>
    <w:rsid w:val="00245C94"/>
    <w:rsid w:val="00246C94"/>
    <w:rsid w:val="00247C42"/>
    <w:rsid w:val="00247F00"/>
    <w:rsid w:val="00250371"/>
    <w:rsid w:val="00250426"/>
    <w:rsid w:val="0025046C"/>
    <w:rsid w:val="00250914"/>
    <w:rsid w:val="00250D07"/>
    <w:rsid w:val="002511D9"/>
    <w:rsid w:val="002516FB"/>
    <w:rsid w:val="002528CA"/>
    <w:rsid w:val="00252FA8"/>
    <w:rsid w:val="0025350B"/>
    <w:rsid w:val="00253A68"/>
    <w:rsid w:val="00253AAD"/>
    <w:rsid w:val="00253D97"/>
    <w:rsid w:val="00254ED7"/>
    <w:rsid w:val="002552C4"/>
    <w:rsid w:val="00255B18"/>
    <w:rsid w:val="00256799"/>
    <w:rsid w:val="00256A0D"/>
    <w:rsid w:val="0026130B"/>
    <w:rsid w:val="00261D41"/>
    <w:rsid w:val="00261FF5"/>
    <w:rsid w:val="002624CE"/>
    <w:rsid w:val="002624EB"/>
    <w:rsid w:val="002625A8"/>
    <w:rsid w:val="002629D4"/>
    <w:rsid w:val="002629DC"/>
    <w:rsid w:val="002633C2"/>
    <w:rsid w:val="00263806"/>
    <w:rsid w:val="00263B6C"/>
    <w:rsid w:val="00264615"/>
    <w:rsid w:val="00264974"/>
    <w:rsid w:val="00264BAC"/>
    <w:rsid w:val="00264C59"/>
    <w:rsid w:val="00264D1C"/>
    <w:rsid w:val="00264E52"/>
    <w:rsid w:val="00264FE3"/>
    <w:rsid w:val="00266932"/>
    <w:rsid w:val="00266C8E"/>
    <w:rsid w:val="00266CFA"/>
    <w:rsid w:val="00266DC2"/>
    <w:rsid w:val="00266E5A"/>
    <w:rsid w:val="00267268"/>
    <w:rsid w:val="0027150F"/>
    <w:rsid w:val="00271669"/>
    <w:rsid w:val="00271BE8"/>
    <w:rsid w:val="00271CD5"/>
    <w:rsid w:val="00272334"/>
    <w:rsid w:val="002725D8"/>
    <w:rsid w:val="002728C9"/>
    <w:rsid w:val="00273363"/>
    <w:rsid w:val="00273368"/>
    <w:rsid w:val="002734F1"/>
    <w:rsid w:val="00274BE2"/>
    <w:rsid w:val="00276BDF"/>
    <w:rsid w:val="00276C39"/>
    <w:rsid w:val="00276F12"/>
    <w:rsid w:val="00277B1C"/>
    <w:rsid w:val="0028023B"/>
    <w:rsid w:val="00280822"/>
    <w:rsid w:val="00280F3F"/>
    <w:rsid w:val="00281041"/>
    <w:rsid w:val="002818F1"/>
    <w:rsid w:val="0028195D"/>
    <w:rsid w:val="00281A54"/>
    <w:rsid w:val="002822F9"/>
    <w:rsid w:val="00282693"/>
    <w:rsid w:val="00283214"/>
    <w:rsid w:val="0028395A"/>
    <w:rsid w:val="00283A35"/>
    <w:rsid w:val="00284394"/>
    <w:rsid w:val="00285033"/>
    <w:rsid w:val="00285B93"/>
    <w:rsid w:val="00285D22"/>
    <w:rsid w:val="002861B9"/>
    <w:rsid w:val="00286BB3"/>
    <w:rsid w:val="00286C8D"/>
    <w:rsid w:val="00287040"/>
    <w:rsid w:val="002873F5"/>
    <w:rsid w:val="00287689"/>
    <w:rsid w:val="00287790"/>
    <w:rsid w:val="00287F94"/>
    <w:rsid w:val="00290002"/>
    <w:rsid w:val="00290740"/>
    <w:rsid w:val="00292BFE"/>
    <w:rsid w:val="00292FB0"/>
    <w:rsid w:val="0029374C"/>
    <w:rsid w:val="0029462F"/>
    <w:rsid w:val="002950D3"/>
    <w:rsid w:val="00295CA6"/>
    <w:rsid w:val="00296306"/>
    <w:rsid w:val="002967B9"/>
    <w:rsid w:val="00296C04"/>
    <w:rsid w:val="00297025"/>
    <w:rsid w:val="0029714B"/>
    <w:rsid w:val="002972C0"/>
    <w:rsid w:val="002973E0"/>
    <w:rsid w:val="002974BD"/>
    <w:rsid w:val="00297E37"/>
    <w:rsid w:val="002A07E3"/>
    <w:rsid w:val="002A07FD"/>
    <w:rsid w:val="002A0819"/>
    <w:rsid w:val="002A1044"/>
    <w:rsid w:val="002A1C09"/>
    <w:rsid w:val="002A26CD"/>
    <w:rsid w:val="002A317B"/>
    <w:rsid w:val="002A31AD"/>
    <w:rsid w:val="002A3B90"/>
    <w:rsid w:val="002A3EC8"/>
    <w:rsid w:val="002A405F"/>
    <w:rsid w:val="002A4B5F"/>
    <w:rsid w:val="002A4C30"/>
    <w:rsid w:val="002A4DDD"/>
    <w:rsid w:val="002A5988"/>
    <w:rsid w:val="002A6D88"/>
    <w:rsid w:val="002A7487"/>
    <w:rsid w:val="002A74B5"/>
    <w:rsid w:val="002A7E51"/>
    <w:rsid w:val="002A7FD4"/>
    <w:rsid w:val="002B00C1"/>
    <w:rsid w:val="002B0130"/>
    <w:rsid w:val="002B0DDE"/>
    <w:rsid w:val="002B0E90"/>
    <w:rsid w:val="002B134D"/>
    <w:rsid w:val="002B185F"/>
    <w:rsid w:val="002B2168"/>
    <w:rsid w:val="002B2DE1"/>
    <w:rsid w:val="002B3697"/>
    <w:rsid w:val="002B3C3A"/>
    <w:rsid w:val="002B403C"/>
    <w:rsid w:val="002B40A1"/>
    <w:rsid w:val="002B4223"/>
    <w:rsid w:val="002B4299"/>
    <w:rsid w:val="002B4775"/>
    <w:rsid w:val="002B481E"/>
    <w:rsid w:val="002B4CF6"/>
    <w:rsid w:val="002B4E41"/>
    <w:rsid w:val="002B6573"/>
    <w:rsid w:val="002B67B8"/>
    <w:rsid w:val="002B692E"/>
    <w:rsid w:val="002B6B3B"/>
    <w:rsid w:val="002B7158"/>
    <w:rsid w:val="002B73A6"/>
    <w:rsid w:val="002B7459"/>
    <w:rsid w:val="002B780C"/>
    <w:rsid w:val="002B7D84"/>
    <w:rsid w:val="002C061A"/>
    <w:rsid w:val="002C0ED3"/>
    <w:rsid w:val="002C1117"/>
    <w:rsid w:val="002C153E"/>
    <w:rsid w:val="002C165D"/>
    <w:rsid w:val="002C1C30"/>
    <w:rsid w:val="002C2B0B"/>
    <w:rsid w:val="002C2D35"/>
    <w:rsid w:val="002C2D83"/>
    <w:rsid w:val="002C359D"/>
    <w:rsid w:val="002C3661"/>
    <w:rsid w:val="002C36B8"/>
    <w:rsid w:val="002C3BBA"/>
    <w:rsid w:val="002C46C1"/>
    <w:rsid w:val="002C4A2B"/>
    <w:rsid w:val="002C4CCA"/>
    <w:rsid w:val="002C54C3"/>
    <w:rsid w:val="002C60B5"/>
    <w:rsid w:val="002C7B89"/>
    <w:rsid w:val="002D004B"/>
    <w:rsid w:val="002D023D"/>
    <w:rsid w:val="002D0932"/>
    <w:rsid w:val="002D0D5B"/>
    <w:rsid w:val="002D1329"/>
    <w:rsid w:val="002D2AE3"/>
    <w:rsid w:val="002D3657"/>
    <w:rsid w:val="002D36E2"/>
    <w:rsid w:val="002D3EAE"/>
    <w:rsid w:val="002D3FBD"/>
    <w:rsid w:val="002D4BE0"/>
    <w:rsid w:val="002D4E95"/>
    <w:rsid w:val="002D5217"/>
    <w:rsid w:val="002D53BC"/>
    <w:rsid w:val="002D5406"/>
    <w:rsid w:val="002D574B"/>
    <w:rsid w:val="002D6710"/>
    <w:rsid w:val="002D6C76"/>
    <w:rsid w:val="002D7417"/>
    <w:rsid w:val="002E0F4C"/>
    <w:rsid w:val="002E10D6"/>
    <w:rsid w:val="002E3140"/>
    <w:rsid w:val="002E3365"/>
    <w:rsid w:val="002E3482"/>
    <w:rsid w:val="002E3981"/>
    <w:rsid w:val="002E4A36"/>
    <w:rsid w:val="002E520B"/>
    <w:rsid w:val="002E5A2B"/>
    <w:rsid w:val="002E5BCC"/>
    <w:rsid w:val="002E694B"/>
    <w:rsid w:val="002E6F44"/>
    <w:rsid w:val="002E74F5"/>
    <w:rsid w:val="002E75F5"/>
    <w:rsid w:val="002F02A9"/>
    <w:rsid w:val="002F02B1"/>
    <w:rsid w:val="002F0317"/>
    <w:rsid w:val="002F09D9"/>
    <w:rsid w:val="002F1EE4"/>
    <w:rsid w:val="002F2CD0"/>
    <w:rsid w:val="002F41A4"/>
    <w:rsid w:val="002F41EE"/>
    <w:rsid w:val="002F426D"/>
    <w:rsid w:val="002F493B"/>
    <w:rsid w:val="002F4C01"/>
    <w:rsid w:val="002F501B"/>
    <w:rsid w:val="002F5230"/>
    <w:rsid w:val="002F5E18"/>
    <w:rsid w:val="002F657E"/>
    <w:rsid w:val="002F6DC7"/>
    <w:rsid w:val="00300D06"/>
    <w:rsid w:val="00300EA1"/>
    <w:rsid w:val="00301510"/>
    <w:rsid w:val="00301F37"/>
    <w:rsid w:val="00302388"/>
    <w:rsid w:val="003025F2"/>
    <w:rsid w:val="0030289E"/>
    <w:rsid w:val="003047EF"/>
    <w:rsid w:val="00304805"/>
    <w:rsid w:val="0030495F"/>
    <w:rsid w:val="00305556"/>
    <w:rsid w:val="0030589A"/>
    <w:rsid w:val="00305942"/>
    <w:rsid w:val="003059F8"/>
    <w:rsid w:val="00305B14"/>
    <w:rsid w:val="0030604F"/>
    <w:rsid w:val="003062EB"/>
    <w:rsid w:val="00306741"/>
    <w:rsid w:val="003073E9"/>
    <w:rsid w:val="00307927"/>
    <w:rsid w:val="00307BEA"/>
    <w:rsid w:val="00307FA5"/>
    <w:rsid w:val="00310B00"/>
    <w:rsid w:val="00310C34"/>
    <w:rsid w:val="00311311"/>
    <w:rsid w:val="00313BC1"/>
    <w:rsid w:val="00314245"/>
    <w:rsid w:val="0031440B"/>
    <w:rsid w:val="00314536"/>
    <w:rsid w:val="00314B5E"/>
    <w:rsid w:val="003154EE"/>
    <w:rsid w:val="00315C5D"/>
    <w:rsid w:val="00316AEB"/>
    <w:rsid w:val="00317B07"/>
    <w:rsid w:val="0032025B"/>
    <w:rsid w:val="00320522"/>
    <w:rsid w:val="00320937"/>
    <w:rsid w:val="003219E1"/>
    <w:rsid w:val="00321A56"/>
    <w:rsid w:val="00321D36"/>
    <w:rsid w:val="00322D26"/>
    <w:rsid w:val="00323112"/>
    <w:rsid w:val="0032471A"/>
    <w:rsid w:val="0032531C"/>
    <w:rsid w:val="0032566C"/>
    <w:rsid w:val="00325CF8"/>
    <w:rsid w:val="00326459"/>
    <w:rsid w:val="00326729"/>
    <w:rsid w:val="00327392"/>
    <w:rsid w:val="003273E4"/>
    <w:rsid w:val="00327789"/>
    <w:rsid w:val="00327A13"/>
    <w:rsid w:val="00330305"/>
    <w:rsid w:val="003305C6"/>
    <w:rsid w:val="00330DDC"/>
    <w:rsid w:val="00331388"/>
    <w:rsid w:val="003314C1"/>
    <w:rsid w:val="003316E3"/>
    <w:rsid w:val="00331B1E"/>
    <w:rsid w:val="00331C68"/>
    <w:rsid w:val="00332137"/>
    <w:rsid w:val="00332D8C"/>
    <w:rsid w:val="00332EBF"/>
    <w:rsid w:val="00334503"/>
    <w:rsid w:val="00334879"/>
    <w:rsid w:val="00334F28"/>
    <w:rsid w:val="00335159"/>
    <w:rsid w:val="00335992"/>
    <w:rsid w:val="00335ABA"/>
    <w:rsid w:val="00335EC4"/>
    <w:rsid w:val="003360E5"/>
    <w:rsid w:val="003361CB"/>
    <w:rsid w:val="003361F7"/>
    <w:rsid w:val="00337227"/>
    <w:rsid w:val="003402A9"/>
    <w:rsid w:val="00340394"/>
    <w:rsid w:val="00340C57"/>
    <w:rsid w:val="003413E8"/>
    <w:rsid w:val="00341898"/>
    <w:rsid w:val="003420CE"/>
    <w:rsid w:val="003422A4"/>
    <w:rsid w:val="00342516"/>
    <w:rsid w:val="00342526"/>
    <w:rsid w:val="00342A85"/>
    <w:rsid w:val="003431B7"/>
    <w:rsid w:val="0034363D"/>
    <w:rsid w:val="00343F77"/>
    <w:rsid w:val="00344E85"/>
    <w:rsid w:val="00345606"/>
    <w:rsid w:val="00345D72"/>
    <w:rsid w:val="00345F04"/>
    <w:rsid w:val="00346425"/>
    <w:rsid w:val="00346944"/>
    <w:rsid w:val="003474E4"/>
    <w:rsid w:val="00347600"/>
    <w:rsid w:val="0034767D"/>
    <w:rsid w:val="00347FF4"/>
    <w:rsid w:val="00350024"/>
    <w:rsid w:val="003500AF"/>
    <w:rsid w:val="003503B0"/>
    <w:rsid w:val="00350AC5"/>
    <w:rsid w:val="00350B8A"/>
    <w:rsid w:val="00350E9D"/>
    <w:rsid w:val="00350ECE"/>
    <w:rsid w:val="00350F3E"/>
    <w:rsid w:val="003512F0"/>
    <w:rsid w:val="00351EDC"/>
    <w:rsid w:val="0035228A"/>
    <w:rsid w:val="003530BF"/>
    <w:rsid w:val="003533BE"/>
    <w:rsid w:val="003533F6"/>
    <w:rsid w:val="00353E05"/>
    <w:rsid w:val="003544FC"/>
    <w:rsid w:val="00354D9D"/>
    <w:rsid w:val="00354E44"/>
    <w:rsid w:val="00355C12"/>
    <w:rsid w:val="00355DCE"/>
    <w:rsid w:val="00355FE0"/>
    <w:rsid w:val="0035655E"/>
    <w:rsid w:val="003573D7"/>
    <w:rsid w:val="00357B9E"/>
    <w:rsid w:val="00357FA5"/>
    <w:rsid w:val="00360455"/>
    <w:rsid w:val="003604A6"/>
    <w:rsid w:val="0036055D"/>
    <w:rsid w:val="00360CA2"/>
    <w:rsid w:val="00360CD1"/>
    <w:rsid w:val="00360F09"/>
    <w:rsid w:val="003616FB"/>
    <w:rsid w:val="00362519"/>
    <w:rsid w:val="00362A30"/>
    <w:rsid w:val="00362B94"/>
    <w:rsid w:val="00363123"/>
    <w:rsid w:val="003633B2"/>
    <w:rsid w:val="00364EFD"/>
    <w:rsid w:val="00365ADB"/>
    <w:rsid w:val="00365E48"/>
    <w:rsid w:val="00366624"/>
    <w:rsid w:val="00366822"/>
    <w:rsid w:val="00366CD1"/>
    <w:rsid w:val="003675A0"/>
    <w:rsid w:val="00367B10"/>
    <w:rsid w:val="00370954"/>
    <w:rsid w:val="00370974"/>
    <w:rsid w:val="003715C3"/>
    <w:rsid w:val="0037174D"/>
    <w:rsid w:val="00372403"/>
    <w:rsid w:val="00372849"/>
    <w:rsid w:val="00372D7F"/>
    <w:rsid w:val="003730D6"/>
    <w:rsid w:val="003732B0"/>
    <w:rsid w:val="003736E7"/>
    <w:rsid w:val="00373AFD"/>
    <w:rsid w:val="003759EF"/>
    <w:rsid w:val="00375FF6"/>
    <w:rsid w:val="00376841"/>
    <w:rsid w:val="003778F0"/>
    <w:rsid w:val="00377D3E"/>
    <w:rsid w:val="003802BC"/>
    <w:rsid w:val="00380429"/>
    <w:rsid w:val="00380D2E"/>
    <w:rsid w:val="0038105E"/>
    <w:rsid w:val="00381095"/>
    <w:rsid w:val="00381A92"/>
    <w:rsid w:val="00381AB7"/>
    <w:rsid w:val="00382251"/>
    <w:rsid w:val="00382330"/>
    <w:rsid w:val="00383527"/>
    <w:rsid w:val="00383C9C"/>
    <w:rsid w:val="0038487C"/>
    <w:rsid w:val="0038502B"/>
    <w:rsid w:val="003859BC"/>
    <w:rsid w:val="00385BFC"/>
    <w:rsid w:val="00385D22"/>
    <w:rsid w:val="00386835"/>
    <w:rsid w:val="00386E20"/>
    <w:rsid w:val="003872CA"/>
    <w:rsid w:val="003879CB"/>
    <w:rsid w:val="00387A79"/>
    <w:rsid w:val="00387D65"/>
    <w:rsid w:val="0039012D"/>
    <w:rsid w:val="0039020B"/>
    <w:rsid w:val="00390283"/>
    <w:rsid w:val="00390804"/>
    <w:rsid w:val="00391E34"/>
    <w:rsid w:val="00392396"/>
    <w:rsid w:val="0039263E"/>
    <w:rsid w:val="003929CF"/>
    <w:rsid w:val="00392B20"/>
    <w:rsid w:val="00392C11"/>
    <w:rsid w:val="003937A3"/>
    <w:rsid w:val="00394546"/>
    <w:rsid w:val="00394E1E"/>
    <w:rsid w:val="003960E7"/>
    <w:rsid w:val="003964B3"/>
    <w:rsid w:val="003970D1"/>
    <w:rsid w:val="00397A53"/>
    <w:rsid w:val="00397B7E"/>
    <w:rsid w:val="003A055A"/>
    <w:rsid w:val="003A0BB8"/>
    <w:rsid w:val="003A1011"/>
    <w:rsid w:val="003A1C87"/>
    <w:rsid w:val="003A1C92"/>
    <w:rsid w:val="003A2155"/>
    <w:rsid w:val="003A3B52"/>
    <w:rsid w:val="003A3B6B"/>
    <w:rsid w:val="003A3D8E"/>
    <w:rsid w:val="003A414D"/>
    <w:rsid w:val="003A4711"/>
    <w:rsid w:val="003A5753"/>
    <w:rsid w:val="003A61F2"/>
    <w:rsid w:val="003A69D3"/>
    <w:rsid w:val="003A786B"/>
    <w:rsid w:val="003B05B4"/>
    <w:rsid w:val="003B0F31"/>
    <w:rsid w:val="003B143B"/>
    <w:rsid w:val="003B1703"/>
    <w:rsid w:val="003B17ED"/>
    <w:rsid w:val="003B1882"/>
    <w:rsid w:val="003B18DA"/>
    <w:rsid w:val="003B21AF"/>
    <w:rsid w:val="003B28F9"/>
    <w:rsid w:val="003B3325"/>
    <w:rsid w:val="003B36F8"/>
    <w:rsid w:val="003B3877"/>
    <w:rsid w:val="003B513E"/>
    <w:rsid w:val="003B5A56"/>
    <w:rsid w:val="003B5E18"/>
    <w:rsid w:val="003B6846"/>
    <w:rsid w:val="003C07BC"/>
    <w:rsid w:val="003C10BA"/>
    <w:rsid w:val="003C11AB"/>
    <w:rsid w:val="003C15E7"/>
    <w:rsid w:val="003C1CCD"/>
    <w:rsid w:val="003C238A"/>
    <w:rsid w:val="003C2BD7"/>
    <w:rsid w:val="003C363D"/>
    <w:rsid w:val="003C38BC"/>
    <w:rsid w:val="003C3E04"/>
    <w:rsid w:val="003C3F89"/>
    <w:rsid w:val="003C5EBE"/>
    <w:rsid w:val="003C6BCC"/>
    <w:rsid w:val="003D05C4"/>
    <w:rsid w:val="003D15EE"/>
    <w:rsid w:val="003D2078"/>
    <w:rsid w:val="003D22E9"/>
    <w:rsid w:val="003D2E49"/>
    <w:rsid w:val="003D33DB"/>
    <w:rsid w:val="003D38DB"/>
    <w:rsid w:val="003D5351"/>
    <w:rsid w:val="003D5488"/>
    <w:rsid w:val="003D5649"/>
    <w:rsid w:val="003D5887"/>
    <w:rsid w:val="003D59E8"/>
    <w:rsid w:val="003D5D3F"/>
    <w:rsid w:val="003D65B3"/>
    <w:rsid w:val="003D72D8"/>
    <w:rsid w:val="003D77D4"/>
    <w:rsid w:val="003D7A1A"/>
    <w:rsid w:val="003D7C48"/>
    <w:rsid w:val="003D7E7E"/>
    <w:rsid w:val="003D7FD6"/>
    <w:rsid w:val="003E0574"/>
    <w:rsid w:val="003E0608"/>
    <w:rsid w:val="003E1395"/>
    <w:rsid w:val="003E1868"/>
    <w:rsid w:val="003E19AB"/>
    <w:rsid w:val="003E1AEB"/>
    <w:rsid w:val="003E1EFB"/>
    <w:rsid w:val="003E270E"/>
    <w:rsid w:val="003E27D6"/>
    <w:rsid w:val="003E27E0"/>
    <w:rsid w:val="003E2D88"/>
    <w:rsid w:val="003E31A2"/>
    <w:rsid w:val="003E41F6"/>
    <w:rsid w:val="003E4474"/>
    <w:rsid w:val="003E57EC"/>
    <w:rsid w:val="003E58F8"/>
    <w:rsid w:val="003E5B9B"/>
    <w:rsid w:val="003E612A"/>
    <w:rsid w:val="003E6142"/>
    <w:rsid w:val="003E658A"/>
    <w:rsid w:val="003E6740"/>
    <w:rsid w:val="003E6AE6"/>
    <w:rsid w:val="003E73FC"/>
    <w:rsid w:val="003E79FC"/>
    <w:rsid w:val="003F1069"/>
    <w:rsid w:val="003F1F4C"/>
    <w:rsid w:val="003F4A33"/>
    <w:rsid w:val="003F4E9A"/>
    <w:rsid w:val="003F563E"/>
    <w:rsid w:val="003F5AA5"/>
    <w:rsid w:val="003F6AB8"/>
    <w:rsid w:val="003F6AD2"/>
    <w:rsid w:val="003F6C6E"/>
    <w:rsid w:val="003F6CE5"/>
    <w:rsid w:val="003F7529"/>
    <w:rsid w:val="003F7F93"/>
    <w:rsid w:val="0040005D"/>
    <w:rsid w:val="004003F7"/>
    <w:rsid w:val="00400688"/>
    <w:rsid w:val="00400713"/>
    <w:rsid w:val="004007E7"/>
    <w:rsid w:val="00400A12"/>
    <w:rsid w:val="00401E13"/>
    <w:rsid w:val="00402AD6"/>
    <w:rsid w:val="0040327E"/>
    <w:rsid w:val="00404728"/>
    <w:rsid w:val="004051A5"/>
    <w:rsid w:val="00405652"/>
    <w:rsid w:val="00405A33"/>
    <w:rsid w:val="004064B2"/>
    <w:rsid w:val="00406529"/>
    <w:rsid w:val="004069D0"/>
    <w:rsid w:val="004077C5"/>
    <w:rsid w:val="00410FC9"/>
    <w:rsid w:val="00410FE6"/>
    <w:rsid w:val="0041123C"/>
    <w:rsid w:val="004113AD"/>
    <w:rsid w:val="004116C7"/>
    <w:rsid w:val="00411AD1"/>
    <w:rsid w:val="0041214D"/>
    <w:rsid w:val="00412CA6"/>
    <w:rsid w:val="004135F0"/>
    <w:rsid w:val="004142D8"/>
    <w:rsid w:val="00414B50"/>
    <w:rsid w:val="00414E70"/>
    <w:rsid w:val="00414E8B"/>
    <w:rsid w:val="004155C6"/>
    <w:rsid w:val="0041645D"/>
    <w:rsid w:val="0041714E"/>
    <w:rsid w:val="0041737B"/>
    <w:rsid w:val="0042057C"/>
    <w:rsid w:val="004208C3"/>
    <w:rsid w:val="00420CC6"/>
    <w:rsid w:val="004211CA"/>
    <w:rsid w:val="004214C0"/>
    <w:rsid w:val="00421C30"/>
    <w:rsid w:val="00422515"/>
    <w:rsid w:val="00422F0B"/>
    <w:rsid w:val="00424485"/>
    <w:rsid w:val="0042527A"/>
    <w:rsid w:val="00425968"/>
    <w:rsid w:val="00426D98"/>
    <w:rsid w:val="00427078"/>
    <w:rsid w:val="0042745B"/>
    <w:rsid w:val="00427A75"/>
    <w:rsid w:val="004308AA"/>
    <w:rsid w:val="00430F2D"/>
    <w:rsid w:val="00431003"/>
    <w:rsid w:val="0043120A"/>
    <w:rsid w:val="0043198C"/>
    <w:rsid w:val="00431EF4"/>
    <w:rsid w:val="0043256D"/>
    <w:rsid w:val="0043269D"/>
    <w:rsid w:val="00432D04"/>
    <w:rsid w:val="004336C2"/>
    <w:rsid w:val="00433A34"/>
    <w:rsid w:val="00433C32"/>
    <w:rsid w:val="00433D6A"/>
    <w:rsid w:val="00434182"/>
    <w:rsid w:val="004341A6"/>
    <w:rsid w:val="00434319"/>
    <w:rsid w:val="004355BF"/>
    <w:rsid w:val="00436774"/>
    <w:rsid w:val="0043677A"/>
    <w:rsid w:val="00436E40"/>
    <w:rsid w:val="00436FA9"/>
    <w:rsid w:val="0043730F"/>
    <w:rsid w:val="00440621"/>
    <w:rsid w:val="00440BC0"/>
    <w:rsid w:val="004413DF"/>
    <w:rsid w:val="00441FA4"/>
    <w:rsid w:val="00442731"/>
    <w:rsid w:val="004427C5"/>
    <w:rsid w:val="004427E5"/>
    <w:rsid w:val="0044284E"/>
    <w:rsid w:val="0044321A"/>
    <w:rsid w:val="00443221"/>
    <w:rsid w:val="004434D7"/>
    <w:rsid w:val="00444C36"/>
    <w:rsid w:val="00445BC9"/>
    <w:rsid w:val="00445E42"/>
    <w:rsid w:val="004475C2"/>
    <w:rsid w:val="00447E40"/>
    <w:rsid w:val="00450010"/>
    <w:rsid w:val="0045062A"/>
    <w:rsid w:val="00450651"/>
    <w:rsid w:val="00450877"/>
    <w:rsid w:val="00450ACF"/>
    <w:rsid w:val="0045107D"/>
    <w:rsid w:val="00452384"/>
    <w:rsid w:val="004533F8"/>
    <w:rsid w:val="00453592"/>
    <w:rsid w:val="00453A83"/>
    <w:rsid w:val="0045417D"/>
    <w:rsid w:val="004548EE"/>
    <w:rsid w:val="00454EA8"/>
    <w:rsid w:val="004551A1"/>
    <w:rsid w:val="00455819"/>
    <w:rsid w:val="00455915"/>
    <w:rsid w:val="00455B27"/>
    <w:rsid w:val="00456B8A"/>
    <w:rsid w:val="00456D83"/>
    <w:rsid w:val="00456DE8"/>
    <w:rsid w:val="00456E08"/>
    <w:rsid w:val="00456E6C"/>
    <w:rsid w:val="00457FCE"/>
    <w:rsid w:val="004605D9"/>
    <w:rsid w:val="00460B40"/>
    <w:rsid w:val="004610BE"/>
    <w:rsid w:val="00461985"/>
    <w:rsid w:val="00461AB3"/>
    <w:rsid w:val="00462776"/>
    <w:rsid w:val="00462E8C"/>
    <w:rsid w:val="00463D1A"/>
    <w:rsid w:val="00463E83"/>
    <w:rsid w:val="00464E8E"/>
    <w:rsid w:val="00465874"/>
    <w:rsid w:val="00465D6C"/>
    <w:rsid w:val="00466849"/>
    <w:rsid w:val="004671CC"/>
    <w:rsid w:val="004671FD"/>
    <w:rsid w:val="004675F7"/>
    <w:rsid w:val="00467D72"/>
    <w:rsid w:val="0047014F"/>
    <w:rsid w:val="0047038B"/>
    <w:rsid w:val="004703C6"/>
    <w:rsid w:val="00470445"/>
    <w:rsid w:val="0047071E"/>
    <w:rsid w:val="004710D8"/>
    <w:rsid w:val="004715F4"/>
    <w:rsid w:val="0047174C"/>
    <w:rsid w:val="00472D40"/>
    <w:rsid w:val="004736E3"/>
    <w:rsid w:val="00473873"/>
    <w:rsid w:val="00474B18"/>
    <w:rsid w:val="004754BE"/>
    <w:rsid w:val="004758C7"/>
    <w:rsid w:val="00475A1A"/>
    <w:rsid w:val="00475B7A"/>
    <w:rsid w:val="00475E54"/>
    <w:rsid w:val="004769F3"/>
    <w:rsid w:val="004779A4"/>
    <w:rsid w:val="00477BD1"/>
    <w:rsid w:val="00480C78"/>
    <w:rsid w:val="00480ED7"/>
    <w:rsid w:val="004810E7"/>
    <w:rsid w:val="00481D22"/>
    <w:rsid w:val="00481D2C"/>
    <w:rsid w:val="00482562"/>
    <w:rsid w:val="004826DD"/>
    <w:rsid w:val="004834BF"/>
    <w:rsid w:val="00483970"/>
    <w:rsid w:val="00483DEC"/>
    <w:rsid w:val="00484496"/>
    <w:rsid w:val="0048494B"/>
    <w:rsid w:val="00484B42"/>
    <w:rsid w:val="00484D1D"/>
    <w:rsid w:val="00485073"/>
    <w:rsid w:val="00485280"/>
    <w:rsid w:val="00485BFA"/>
    <w:rsid w:val="00485EAC"/>
    <w:rsid w:val="00486667"/>
    <w:rsid w:val="004868C4"/>
    <w:rsid w:val="00486F27"/>
    <w:rsid w:val="004871FF"/>
    <w:rsid w:val="0048737E"/>
    <w:rsid w:val="004876B7"/>
    <w:rsid w:val="00487859"/>
    <w:rsid w:val="00487A0B"/>
    <w:rsid w:val="00487A2A"/>
    <w:rsid w:val="00490C04"/>
    <w:rsid w:val="00490C17"/>
    <w:rsid w:val="004910DC"/>
    <w:rsid w:val="004912A9"/>
    <w:rsid w:val="00491401"/>
    <w:rsid w:val="00491DC2"/>
    <w:rsid w:val="00492712"/>
    <w:rsid w:val="004933D8"/>
    <w:rsid w:val="0049391D"/>
    <w:rsid w:val="004939AF"/>
    <w:rsid w:val="00493B10"/>
    <w:rsid w:val="00494013"/>
    <w:rsid w:val="0049402F"/>
    <w:rsid w:val="004943BC"/>
    <w:rsid w:val="00495272"/>
    <w:rsid w:val="004953F0"/>
    <w:rsid w:val="00495859"/>
    <w:rsid w:val="00495AC7"/>
    <w:rsid w:val="00495F8D"/>
    <w:rsid w:val="00496021"/>
    <w:rsid w:val="0049612D"/>
    <w:rsid w:val="004961F2"/>
    <w:rsid w:val="004969CF"/>
    <w:rsid w:val="004A0E08"/>
    <w:rsid w:val="004A203B"/>
    <w:rsid w:val="004A2731"/>
    <w:rsid w:val="004A3660"/>
    <w:rsid w:val="004A3B21"/>
    <w:rsid w:val="004A400B"/>
    <w:rsid w:val="004A4221"/>
    <w:rsid w:val="004A44BD"/>
    <w:rsid w:val="004B08AB"/>
    <w:rsid w:val="004B16BD"/>
    <w:rsid w:val="004B1951"/>
    <w:rsid w:val="004B1AAD"/>
    <w:rsid w:val="004B1FBF"/>
    <w:rsid w:val="004B2058"/>
    <w:rsid w:val="004B2397"/>
    <w:rsid w:val="004B2D3C"/>
    <w:rsid w:val="004B2F12"/>
    <w:rsid w:val="004B3388"/>
    <w:rsid w:val="004B3564"/>
    <w:rsid w:val="004B3BD4"/>
    <w:rsid w:val="004B3D4C"/>
    <w:rsid w:val="004B3E62"/>
    <w:rsid w:val="004B43ED"/>
    <w:rsid w:val="004B499E"/>
    <w:rsid w:val="004B4CB8"/>
    <w:rsid w:val="004B4DAE"/>
    <w:rsid w:val="004B520B"/>
    <w:rsid w:val="004B5B2A"/>
    <w:rsid w:val="004B629E"/>
    <w:rsid w:val="004B65C5"/>
    <w:rsid w:val="004B6F94"/>
    <w:rsid w:val="004B735E"/>
    <w:rsid w:val="004B78D9"/>
    <w:rsid w:val="004B796A"/>
    <w:rsid w:val="004B7FC0"/>
    <w:rsid w:val="004C0987"/>
    <w:rsid w:val="004C0EC7"/>
    <w:rsid w:val="004C1BB6"/>
    <w:rsid w:val="004C2A17"/>
    <w:rsid w:val="004C3623"/>
    <w:rsid w:val="004C3773"/>
    <w:rsid w:val="004C4442"/>
    <w:rsid w:val="004C4872"/>
    <w:rsid w:val="004C4C22"/>
    <w:rsid w:val="004C4FE7"/>
    <w:rsid w:val="004C50ED"/>
    <w:rsid w:val="004C54E5"/>
    <w:rsid w:val="004C5810"/>
    <w:rsid w:val="004C61B7"/>
    <w:rsid w:val="004C61E4"/>
    <w:rsid w:val="004C6304"/>
    <w:rsid w:val="004C6F40"/>
    <w:rsid w:val="004C7668"/>
    <w:rsid w:val="004D09F8"/>
    <w:rsid w:val="004D1095"/>
    <w:rsid w:val="004D12F4"/>
    <w:rsid w:val="004D18D9"/>
    <w:rsid w:val="004D1EC3"/>
    <w:rsid w:val="004D2136"/>
    <w:rsid w:val="004D27F9"/>
    <w:rsid w:val="004D45DC"/>
    <w:rsid w:val="004D594B"/>
    <w:rsid w:val="004D5DF6"/>
    <w:rsid w:val="004D64E7"/>
    <w:rsid w:val="004D787B"/>
    <w:rsid w:val="004D7F8B"/>
    <w:rsid w:val="004E0082"/>
    <w:rsid w:val="004E060D"/>
    <w:rsid w:val="004E1194"/>
    <w:rsid w:val="004E3318"/>
    <w:rsid w:val="004E33BF"/>
    <w:rsid w:val="004E402C"/>
    <w:rsid w:val="004E419C"/>
    <w:rsid w:val="004E436C"/>
    <w:rsid w:val="004E44BB"/>
    <w:rsid w:val="004E4D5A"/>
    <w:rsid w:val="004E4EDA"/>
    <w:rsid w:val="004E511D"/>
    <w:rsid w:val="004E53D9"/>
    <w:rsid w:val="004E5485"/>
    <w:rsid w:val="004E6152"/>
    <w:rsid w:val="004E677D"/>
    <w:rsid w:val="004E693A"/>
    <w:rsid w:val="004E707B"/>
    <w:rsid w:val="004E71A1"/>
    <w:rsid w:val="004E7397"/>
    <w:rsid w:val="004E755E"/>
    <w:rsid w:val="004E7937"/>
    <w:rsid w:val="004E7B68"/>
    <w:rsid w:val="004F0144"/>
    <w:rsid w:val="004F0F38"/>
    <w:rsid w:val="004F2315"/>
    <w:rsid w:val="004F2A81"/>
    <w:rsid w:val="004F2EB3"/>
    <w:rsid w:val="004F31A9"/>
    <w:rsid w:val="004F4565"/>
    <w:rsid w:val="004F48F2"/>
    <w:rsid w:val="004F5619"/>
    <w:rsid w:val="004F5E03"/>
    <w:rsid w:val="004F664F"/>
    <w:rsid w:val="004F6654"/>
    <w:rsid w:val="004F6D4D"/>
    <w:rsid w:val="004F7602"/>
    <w:rsid w:val="004F7C03"/>
    <w:rsid w:val="00500C96"/>
    <w:rsid w:val="005010EB"/>
    <w:rsid w:val="00502175"/>
    <w:rsid w:val="00502673"/>
    <w:rsid w:val="0050312A"/>
    <w:rsid w:val="00503544"/>
    <w:rsid w:val="005039DD"/>
    <w:rsid w:val="00503B14"/>
    <w:rsid w:val="00504C76"/>
    <w:rsid w:val="00505F37"/>
    <w:rsid w:val="00506BF9"/>
    <w:rsid w:val="00506D58"/>
    <w:rsid w:val="00507271"/>
    <w:rsid w:val="00507946"/>
    <w:rsid w:val="00510BEB"/>
    <w:rsid w:val="005110E2"/>
    <w:rsid w:val="0051190B"/>
    <w:rsid w:val="00512833"/>
    <w:rsid w:val="00512929"/>
    <w:rsid w:val="005132C9"/>
    <w:rsid w:val="0051402F"/>
    <w:rsid w:val="00514399"/>
    <w:rsid w:val="0051458F"/>
    <w:rsid w:val="00514FFC"/>
    <w:rsid w:val="005152EF"/>
    <w:rsid w:val="00515F3E"/>
    <w:rsid w:val="005161E6"/>
    <w:rsid w:val="00516525"/>
    <w:rsid w:val="00516EEF"/>
    <w:rsid w:val="00516F7D"/>
    <w:rsid w:val="00517D2B"/>
    <w:rsid w:val="00517DC3"/>
    <w:rsid w:val="00517E38"/>
    <w:rsid w:val="0052016A"/>
    <w:rsid w:val="00520863"/>
    <w:rsid w:val="0052089B"/>
    <w:rsid w:val="00520ABD"/>
    <w:rsid w:val="00520B1C"/>
    <w:rsid w:val="00520D80"/>
    <w:rsid w:val="005213C0"/>
    <w:rsid w:val="0052190E"/>
    <w:rsid w:val="00521C67"/>
    <w:rsid w:val="00521DF2"/>
    <w:rsid w:val="005222D7"/>
    <w:rsid w:val="00522B0D"/>
    <w:rsid w:val="005240F7"/>
    <w:rsid w:val="0052478D"/>
    <w:rsid w:val="00524B5E"/>
    <w:rsid w:val="00525221"/>
    <w:rsid w:val="0052527D"/>
    <w:rsid w:val="0052667B"/>
    <w:rsid w:val="005268B4"/>
    <w:rsid w:val="00526EBB"/>
    <w:rsid w:val="005271DA"/>
    <w:rsid w:val="00527384"/>
    <w:rsid w:val="00530002"/>
    <w:rsid w:val="00530346"/>
    <w:rsid w:val="00530BA8"/>
    <w:rsid w:val="0053171C"/>
    <w:rsid w:val="005329B2"/>
    <w:rsid w:val="00532DD5"/>
    <w:rsid w:val="005332D0"/>
    <w:rsid w:val="005333BD"/>
    <w:rsid w:val="00533BE0"/>
    <w:rsid w:val="005342F2"/>
    <w:rsid w:val="005346D8"/>
    <w:rsid w:val="00534913"/>
    <w:rsid w:val="0053545C"/>
    <w:rsid w:val="005363B9"/>
    <w:rsid w:val="00537832"/>
    <w:rsid w:val="00537BF0"/>
    <w:rsid w:val="00540CC8"/>
    <w:rsid w:val="00540E5D"/>
    <w:rsid w:val="00540E9C"/>
    <w:rsid w:val="00541282"/>
    <w:rsid w:val="00541CCD"/>
    <w:rsid w:val="005426BB"/>
    <w:rsid w:val="00542887"/>
    <w:rsid w:val="0054316E"/>
    <w:rsid w:val="00544076"/>
    <w:rsid w:val="0054434B"/>
    <w:rsid w:val="00544462"/>
    <w:rsid w:val="00545324"/>
    <w:rsid w:val="0054534A"/>
    <w:rsid w:val="005454FD"/>
    <w:rsid w:val="00545802"/>
    <w:rsid w:val="005458A8"/>
    <w:rsid w:val="00545A93"/>
    <w:rsid w:val="00546E87"/>
    <w:rsid w:val="0055021C"/>
    <w:rsid w:val="00551AEB"/>
    <w:rsid w:val="00551EC3"/>
    <w:rsid w:val="00552F72"/>
    <w:rsid w:val="005537BB"/>
    <w:rsid w:val="00553E7C"/>
    <w:rsid w:val="00554117"/>
    <w:rsid w:val="0055455B"/>
    <w:rsid w:val="00554F98"/>
    <w:rsid w:val="005551A3"/>
    <w:rsid w:val="00555A86"/>
    <w:rsid w:val="00556439"/>
    <w:rsid w:val="0055690F"/>
    <w:rsid w:val="00557171"/>
    <w:rsid w:val="00557D4F"/>
    <w:rsid w:val="00557FBD"/>
    <w:rsid w:val="0056064E"/>
    <w:rsid w:val="00560AD5"/>
    <w:rsid w:val="00560BAB"/>
    <w:rsid w:val="00560F4A"/>
    <w:rsid w:val="00561071"/>
    <w:rsid w:val="005612E6"/>
    <w:rsid w:val="00561ADD"/>
    <w:rsid w:val="00561CFE"/>
    <w:rsid w:val="00562314"/>
    <w:rsid w:val="005626FE"/>
    <w:rsid w:val="00563F85"/>
    <w:rsid w:val="0056474A"/>
    <w:rsid w:val="0056489D"/>
    <w:rsid w:val="00564E7A"/>
    <w:rsid w:val="0056666F"/>
    <w:rsid w:val="00566837"/>
    <w:rsid w:val="00566C62"/>
    <w:rsid w:val="00566FC6"/>
    <w:rsid w:val="00567233"/>
    <w:rsid w:val="00567943"/>
    <w:rsid w:val="00567A26"/>
    <w:rsid w:val="00570169"/>
    <w:rsid w:val="005705B0"/>
    <w:rsid w:val="00570662"/>
    <w:rsid w:val="0057102E"/>
    <w:rsid w:val="00571116"/>
    <w:rsid w:val="00571137"/>
    <w:rsid w:val="00571794"/>
    <w:rsid w:val="00571C14"/>
    <w:rsid w:val="005722BA"/>
    <w:rsid w:val="00572466"/>
    <w:rsid w:val="00572A61"/>
    <w:rsid w:val="005730BE"/>
    <w:rsid w:val="0057365B"/>
    <w:rsid w:val="00573707"/>
    <w:rsid w:val="00573753"/>
    <w:rsid w:val="00573B18"/>
    <w:rsid w:val="00573D77"/>
    <w:rsid w:val="0057428A"/>
    <w:rsid w:val="0057505B"/>
    <w:rsid w:val="00575C19"/>
    <w:rsid w:val="00575D14"/>
    <w:rsid w:val="00576389"/>
    <w:rsid w:val="005769B9"/>
    <w:rsid w:val="00576E5E"/>
    <w:rsid w:val="00577AC2"/>
    <w:rsid w:val="0058001F"/>
    <w:rsid w:val="0058085A"/>
    <w:rsid w:val="00580F88"/>
    <w:rsid w:val="0058162E"/>
    <w:rsid w:val="005825B2"/>
    <w:rsid w:val="00582EBC"/>
    <w:rsid w:val="0058367F"/>
    <w:rsid w:val="00583A64"/>
    <w:rsid w:val="00584077"/>
    <w:rsid w:val="005850AF"/>
    <w:rsid w:val="005857AD"/>
    <w:rsid w:val="00585C31"/>
    <w:rsid w:val="00585E3A"/>
    <w:rsid w:val="00586B2D"/>
    <w:rsid w:val="00586C35"/>
    <w:rsid w:val="0058701B"/>
    <w:rsid w:val="00587F83"/>
    <w:rsid w:val="005903C1"/>
    <w:rsid w:val="00590878"/>
    <w:rsid w:val="00591297"/>
    <w:rsid w:val="00591F48"/>
    <w:rsid w:val="005924CE"/>
    <w:rsid w:val="00592ED8"/>
    <w:rsid w:val="005932D1"/>
    <w:rsid w:val="00593573"/>
    <w:rsid w:val="00593A5F"/>
    <w:rsid w:val="00593C61"/>
    <w:rsid w:val="00594AEF"/>
    <w:rsid w:val="00594DFC"/>
    <w:rsid w:val="005967F0"/>
    <w:rsid w:val="00596A25"/>
    <w:rsid w:val="00596A7B"/>
    <w:rsid w:val="00596BE9"/>
    <w:rsid w:val="00596F17"/>
    <w:rsid w:val="00597D2F"/>
    <w:rsid w:val="00597D36"/>
    <w:rsid w:val="005A04B7"/>
    <w:rsid w:val="005A0602"/>
    <w:rsid w:val="005A0FE2"/>
    <w:rsid w:val="005A1AA0"/>
    <w:rsid w:val="005A1F41"/>
    <w:rsid w:val="005A203C"/>
    <w:rsid w:val="005A278B"/>
    <w:rsid w:val="005A2ABA"/>
    <w:rsid w:val="005A2DB7"/>
    <w:rsid w:val="005A345D"/>
    <w:rsid w:val="005A577E"/>
    <w:rsid w:val="005A5D22"/>
    <w:rsid w:val="005A63F9"/>
    <w:rsid w:val="005A76F6"/>
    <w:rsid w:val="005A789F"/>
    <w:rsid w:val="005B10FB"/>
    <w:rsid w:val="005B17CB"/>
    <w:rsid w:val="005B1A7A"/>
    <w:rsid w:val="005B30BD"/>
    <w:rsid w:val="005B4060"/>
    <w:rsid w:val="005B4336"/>
    <w:rsid w:val="005B4A48"/>
    <w:rsid w:val="005B4B9D"/>
    <w:rsid w:val="005B4FB0"/>
    <w:rsid w:val="005B52D2"/>
    <w:rsid w:val="005B5708"/>
    <w:rsid w:val="005B6067"/>
    <w:rsid w:val="005B7283"/>
    <w:rsid w:val="005C25CD"/>
    <w:rsid w:val="005C26B3"/>
    <w:rsid w:val="005C344E"/>
    <w:rsid w:val="005C37F2"/>
    <w:rsid w:val="005C3AEF"/>
    <w:rsid w:val="005C3B9B"/>
    <w:rsid w:val="005C3C9C"/>
    <w:rsid w:val="005C47FB"/>
    <w:rsid w:val="005C58C7"/>
    <w:rsid w:val="005C5CAF"/>
    <w:rsid w:val="005C5D93"/>
    <w:rsid w:val="005C600C"/>
    <w:rsid w:val="005C6669"/>
    <w:rsid w:val="005C68CE"/>
    <w:rsid w:val="005C70A8"/>
    <w:rsid w:val="005C748A"/>
    <w:rsid w:val="005C76C1"/>
    <w:rsid w:val="005D0950"/>
    <w:rsid w:val="005D0A64"/>
    <w:rsid w:val="005D0AF8"/>
    <w:rsid w:val="005D0EEE"/>
    <w:rsid w:val="005D1B5B"/>
    <w:rsid w:val="005D220E"/>
    <w:rsid w:val="005D3886"/>
    <w:rsid w:val="005D3BED"/>
    <w:rsid w:val="005D490F"/>
    <w:rsid w:val="005D4B8E"/>
    <w:rsid w:val="005D4ECF"/>
    <w:rsid w:val="005D60F6"/>
    <w:rsid w:val="005D65AA"/>
    <w:rsid w:val="005D7BCC"/>
    <w:rsid w:val="005E024B"/>
    <w:rsid w:val="005E1486"/>
    <w:rsid w:val="005E169B"/>
    <w:rsid w:val="005E19BF"/>
    <w:rsid w:val="005E1AD3"/>
    <w:rsid w:val="005E1B10"/>
    <w:rsid w:val="005E1C03"/>
    <w:rsid w:val="005E225B"/>
    <w:rsid w:val="005E2BC4"/>
    <w:rsid w:val="005E33C0"/>
    <w:rsid w:val="005E383E"/>
    <w:rsid w:val="005E3A92"/>
    <w:rsid w:val="005E473E"/>
    <w:rsid w:val="005E4C8C"/>
    <w:rsid w:val="005E4E61"/>
    <w:rsid w:val="005E66D4"/>
    <w:rsid w:val="005E742A"/>
    <w:rsid w:val="005E7452"/>
    <w:rsid w:val="005E764C"/>
    <w:rsid w:val="005E7689"/>
    <w:rsid w:val="005E76ED"/>
    <w:rsid w:val="005F06A2"/>
    <w:rsid w:val="005F111F"/>
    <w:rsid w:val="005F130E"/>
    <w:rsid w:val="005F2879"/>
    <w:rsid w:val="005F37C7"/>
    <w:rsid w:val="005F37D3"/>
    <w:rsid w:val="005F39BB"/>
    <w:rsid w:val="005F3A4A"/>
    <w:rsid w:val="005F3AE6"/>
    <w:rsid w:val="005F45D6"/>
    <w:rsid w:val="005F4CD0"/>
    <w:rsid w:val="005F563A"/>
    <w:rsid w:val="005F5FAC"/>
    <w:rsid w:val="005F64AB"/>
    <w:rsid w:val="005F64E1"/>
    <w:rsid w:val="005F6B83"/>
    <w:rsid w:val="005F6EC4"/>
    <w:rsid w:val="005F767B"/>
    <w:rsid w:val="005F76A2"/>
    <w:rsid w:val="0060148B"/>
    <w:rsid w:val="00601EE9"/>
    <w:rsid w:val="00602451"/>
    <w:rsid w:val="006030A3"/>
    <w:rsid w:val="00603679"/>
    <w:rsid w:val="00604650"/>
    <w:rsid w:val="006046B2"/>
    <w:rsid w:val="00604706"/>
    <w:rsid w:val="00604D71"/>
    <w:rsid w:val="00604F85"/>
    <w:rsid w:val="0060673F"/>
    <w:rsid w:val="006070F8"/>
    <w:rsid w:val="006104F6"/>
    <w:rsid w:val="00610503"/>
    <w:rsid w:val="00610794"/>
    <w:rsid w:val="00610FC2"/>
    <w:rsid w:val="0061111E"/>
    <w:rsid w:val="006114BA"/>
    <w:rsid w:val="006116A0"/>
    <w:rsid w:val="006118D5"/>
    <w:rsid w:val="00611A28"/>
    <w:rsid w:val="00612523"/>
    <w:rsid w:val="00612B7E"/>
    <w:rsid w:val="0061391C"/>
    <w:rsid w:val="00613A30"/>
    <w:rsid w:val="00613D80"/>
    <w:rsid w:val="00613F92"/>
    <w:rsid w:val="00615716"/>
    <w:rsid w:val="006159C3"/>
    <w:rsid w:val="00616206"/>
    <w:rsid w:val="00616B30"/>
    <w:rsid w:val="00616C51"/>
    <w:rsid w:val="0061730A"/>
    <w:rsid w:val="00617869"/>
    <w:rsid w:val="00617E5E"/>
    <w:rsid w:val="00620562"/>
    <w:rsid w:val="006205E0"/>
    <w:rsid w:val="00620809"/>
    <w:rsid w:val="0062163E"/>
    <w:rsid w:val="00621A19"/>
    <w:rsid w:val="00621E1A"/>
    <w:rsid w:val="00621E8C"/>
    <w:rsid w:val="00622621"/>
    <w:rsid w:val="00622EBF"/>
    <w:rsid w:val="00623486"/>
    <w:rsid w:val="006239E1"/>
    <w:rsid w:val="00624012"/>
    <w:rsid w:val="00624BE5"/>
    <w:rsid w:val="0062540C"/>
    <w:rsid w:val="00625466"/>
    <w:rsid w:val="006262A6"/>
    <w:rsid w:val="006268B1"/>
    <w:rsid w:val="00626E59"/>
    <w:rsid w:val="006270AE"/>
    <w:rsid w:val="00627F1F"/>
    <w:rsid w:val="00630430"/>
    <w:rsid w:val="00631006"/>
    <w:rsid w:val="006312A2"/>
    <w:rsid w:val="0063142A"/>
    <w:rsid w:val="00631A17"/>
    <w:rsid w:val="0063341D"/>
    <w:rsid w:val="006358C1"/>
    <w:rsid w:val="00635904"/>
    <w:rsid w:val="00635D2E"/>
    <w:rsid w:val="00635EE8"/>
    <w:rsid w:val="0063649A"/>
    <w:rsid w:val="0063701C"/>
    <w:rsid w:val="00637ABB"/>
    <w:rsid w:val="00640A2A"/>
    <w:rsid w:val="00641024"/>
    <w:rsid w:val="006413F6"/>
    <w:rsid w:val="00642619"/>
    <w:rsid w:val="006433A5"/>
    <w:rsid w:val="00643534"/>
    <w:rsid w:val="006442D9"/>
    <w:rsid w:val="0064539B"/>
    <w:rsid w:val="00645DCF"/>
    <w:rsid w:val="00646217"/>
    <w:rsid w:val="00646C39"/>
    <w:rsid w:val="00646C73"/>
    <w:rsid w:val="00646E35"/>
    <w:rsid w:val="00646F53"/>
    <w:rsid w:val="006473DA"/>
    <w:rsid w:val="00650C1A"/>
    <w:rsid w:val="00650C75"/>
    <w:rsid w:val="0065122C"/>
    <w:rsid w:val="00651834"/>
    <w:rsid w:val="00652593"/>
    <w:rsid w:val="006529C4"/>
    <w:rsid w:val="00652A24"/>
    <w:rsid w:val="00653996"/>
    <w:rsid w:val="006542F4"/>
    <w:rsid w:val="0065537E"/>
    <w:rsid w:val="0065556F"/>
    <w:rsid w:val="00655C67"/>
    <w:rsid w:val="00655EDE"/>
    <w:rsid w:val="006565AA"/>
    <w:rsid w:val="00657286"/>
    <w:rsid w:val="00657CDB"/>
    <w:rsid w:val="00657F4D"/>
    <w:rsid w:val="006604DC"/>
    <w:rsid w:val="0066171A"/>
    <w:rsid w:val="00661774"/>
    <w:rsid w:val="00662728"/>
    <w:rsid w:val="00662A5C"/>
    <w:rsid w:val="00662FFA"/>
    <w:rsid w:val="00663180"/>
    <w:rsid w:val="00663834"/>
    <w:rsid w:val="00664FF3"/>
    <w:rsid w:val="006651FB"/>
    <w:rsid w:val="006657C9"/>
    <w:rsid w:val="00665C3D"/>
    <w:rsid w:val="00665CFA"/>
    <w:rsid w:val="00666560"/>
    <w:rsid w:val="00666954"/>
    <w:rsid w:val="00666DB1"/>
    <w:rsid w:val="00667281"/>
    <w:rsid w:val="006672C6"/>
    <w:rsid w:val="00667EA5"/>
    <w:rsid w:val="00670261"/>
    <w:rsid w:val="00670323"/>
    <w:rsid w:val="00670558"/>
    <w:rsid w:val="00670736"/>
    <w:rsid w:val="00670B73"/>
    <w:rsid w:val="00670D07"/>
    <w:rsid w:val="00671B82"/>
    <w:rsid w:val="00671CD8"/>
    <w:rsid w:val="00671E78"/>
    <w:rsid w:val="006723ED"/>
    <w:rsid w:val="00672732"/>
    <w:rsid w:val="00672B74"/>
    <w:rsid w:val="006734E2"/>
    <w:rsid w:val="006735A6"/>
    <w:rsid w:val="006749A3"/>
    <w:rsid w:val="006749BF"/>
    <w:rsid w:val="00674DF2"/>
    <w:rsid w:val="00674F2A"/>
    <w:rsid w:val="0067518C"/>
    <w:rsid w:val="00675F4D"/>
    <w:rsid w:val="00676A7C"/>
    <w:rsid w:val="00677342"/>
    <w:rsid w:val="00677B4E"/>
    <w:rsid w:val="00677F46"/>
    <w:rsid w:val="00680C4A"/>
    <w:rsid w:val="00681319"/>
    <w:rsid w:val="006816FA"/>
    <w:rsid w:val="006817C3"/>
    <w:rsid w:val="00681916"/>
    <w:rsid w:val="00681C3A"/>
    <w:rsid w:val="00682000"/>
    <w:rsid w:val="00682A2C"/>
    <w:rsid w:val="00682AD9"/>
    <w:rsid w:val="00682E5B"/>
    <w:rsid w:val="00683532"/>
    <w:rsid w:val="00684302"/>
    <w:rsid w:val="00684457"/>
    <w:rsid w:val="006844CF"/>
    <w:rsid w:val="00684A40"/>
    <w:rsid w:val="00685881"/>
    <w:rsid w:val="00686437"/>
    <w:rsid w:val="00687284"/>
    <w:rsid w:val="00687902"/>
    <w:rsid w:val="00687B35"/>
    <w:rsid w:val="006900BE"/>
    <w:rsid w:val="00690538"/>
    <w:rsid w:val="00690A23"/>
    <w:rsid w:val="00690CFC"/>
    <w:rsid w:val="00690F98"/>
    <w:rsid w:val="0069110E"/>
    <w:rsid w:val="006915CF"/>
    <w:rsid w:val="006919D8"/>
    <w:rsid w:val="006936AD"/>
    <w:rsid w:val="0069470C"/>
    <w:rsid w:val="00694749"/>
    <w:rsid w:val="00694A08"/>
    <w:rsid w:val="00694DB4"/>
    <w:rsid w:val="006958E8"/>
    <w:rsid w:val="00695DBA"/>
    <w:rsid w:val="00696D08"/>
    <w:rsid w:val="00696E65"/>
    <w:rsid w:val="0069712D"/>
    <w:rsid w:val="006A061A"/>
    <w:rsid w:val="006A0FBA"/>
    <w:rsid w:val="006A14C9"/>
    <w:rsid w:val="006A18AF"/>
    <w:rsid w:val="006A1B2D"/>
    <w:rsid w:val="006A2889"/>
    <w:rsid w:val="006A29BD"/>
    <w:rsid w:val="006A29FA"/>
    <w:rsid w:val="006A325D"/>
    <w:rsid w:val="006A32BC"/>
    <w:rsid w:val="006A3502"/>
    <w:rsid w:val="006A3637"/>
    <w:rsid w:val="006A3B6C"/>
    <w:rsid w:val="006A4289"/>
    <w:rsid w:val="006A45A2"/>
    <w:rsid w:val="006A4BA8"/>
    <w:rsid w:val="006A57E7"/>
    <w:rsid w:val="006A5B37"/>
    <w:rsid w:val="006A6971"/>
    <w:rsid w:val="006A6F54"/>
    <w:rsid w:val="006A7026"/>
    <w:rsid w:val="006B00C7"/>
    <w:rsid w:val="006B0106"/>
    <w:rsid w:val="006B153E"/>
    <w:rsid w:val="006B160E"/>
    <w:rsid w:val="006B1AFC"/>
    <w:rsid w:val="006B1B0F"/>
    <w:rsid w:val="006B2432"/>
    <w:rsid w:val="006B292D"/>
    <w:rsid w:val="006B2EDB"/>
    <w:rsid w:val="006B37FA"/>
    <w:rsid w:val="006B448E"/>
    <w:rsid w:val="006B5F02"/>
    <w:rsid w:val="006B660D"/>
    <w:rsid w:val="006B6812"/>
    <w:rsid w:val="006C0AFE"/>
    <w:rsid w:val="006C2233"/>
    <w:rsid w:val="006C3A9F"/>
    <w:rsid w:val="006C3FC8"/>
    <w:rsid w:val="006C4201"/>
    <w:rsid w:val="006C45CF"/>
    <w:rsid w:val="006C475E"/>
    <w:rsid w:val="006C4C43"/>
    <w:rsid w:val="006C5670"/>
    <w:rsid w:val="006C5D92"/>
    <w:rsid w:val="006C6328"/>
    <w:rsid w:val="006C6893"/>
    <w:rsid w:val="006C68DA"/>
    <w:rsid w:val="006C6D06"/>
    <w:rsid w:val="006C6EBB"/>
    <w:rsid w:val="006C77E9"/>
    <w:rsid w:val="006D08EB"/>
    <w:rsid w:val="006D1094"/>
    <w:rsid w:val="006D171B"/>
    <w:rsid w:val="006D2388"/>
    <w:rsid w:val="006D23B1"/>
    <w:rsid w:val="006D2643"/>
    <w:rsid w:val="006D2D6F"/>
    <w:rsid w:val="006D477E"/>
    <w:rsid w:val="006D5134"/>
    <w:rsid w:val="006D53A4"/>
    <w:rsid w:val="006D5FC5"/>
    <w:rsid w:val="006D6403"/>
    <w:rsid w:val="006D670C"/>
    <w:rsid w:val="006D6FCC"/>
    <w:rsid w:val="006D7A48"/>
    <w:rsid w:val="006E00ED"/>
    <w:rsid w:val="006E06F0"/>
    <w:rsid w:val="006E0F8B"/>
    <w:rsid w:val="006E1000"/>
    <w:rsid w:val="006E1152"/>
    <w:rsid w:val="006E194F"/>
    <w:rsid w:val="006E1CBA"/>
    <w:rsid w:val="006E1D68"/>
    <w:rsid w:val="006E1FD7"/>
    <w:rsid w:val="006E242B"/>
    <w:rsid w:val="006E2EC2"/>
    <w:rsid w:val="006E4085"/>
    <w:rsid w:val="006E45C3"/>
    <w:rsid w:val="006E4875"/>
    <w:rsid w:val="006E56FE"/>
    <w:rsid w:val="006E5B48"/>
    <w:rsid w:val="006E785D"/>
    <w:rsid w:val="006E7AC6"/>
    <w:rsid w:val="006F0292"/>
    <w:rsid w:val="006F062C"/>
    <w:rsid w:val="006F0680"/>
    <w:rsid w:val="006F0980"/>
    <w:rsid w:val="006F1520"/>
    <w:rsid w:val="006F1B9C"/>
    <w:rsid w:val="006F2B08"/>
    <w:rsid w:val="006F2BFC"/>
    <w:rsid w:val="006F37B1"/>
    <w:rsid w:val="006F405E"/>
    <w:rsid w:val="006F4255"/>
    <w:rsid w:val="006F4308"/>
    <w:rsid w:val="006F49C6"/>
    <w:rsid w:val="006F5346"/>
    <w:rsid w:val="006F5FE3"/>
    <w:rsid w:val="006F61A0"/>
    <w:rsid w:val="006F64A6"/>
    <w:rsid w:val="006F6961"/>
    <w:rsid w:val="006F6BC0"/>
    <w:rsid w:val="006F7960"/>
    <w:rsid w:val="006F7B0F"/>
    <w:rsid w:val="00700036"/>
    <w:rsid w:val="00700FC1"/>
    <w:rsid w:val="00701090"/>
    <w:rsid w:val="00701523"/>
    <w:rsid w:val="00701822"/>
    <w:rsid w:val="00701ADB"/>
    <w:rsid w:val="00701D67"/>
    <w:rsid w:val="007026B3"/>
    <w:rsid w:val="0070296C"/>
    <w:rsid w:val="00702C72"/>
    <w:rsid w:val="00702E18"/>
    <w:rsid w:val="00702FA1"/>
    <w:rsid w:val="007035C5"/>
    <w:rsid w:val="00703FEB"/>
    <w:rsid w:val="0070446F"/>
    <w:rsid w:val="00705BE7"/>
    <w:rsid w:val="00705DD3"/>
    <w:rsid w:val="00706673"/>
    <w:rsid w:val="007076F2"/>
    <w:rsid w:val="00707CEB"/>
    <w:rsid w:val="00710311"/>
    <w:rsid w:val="007107DE"/>
    <w:rsid w:val="007107F9"/>
    <w:rsid w:val="00710ADC"/>
    <w:rsid w:val="00712011"/>
    <w:rsid w:val="0071231B"/>
    <w:rsid w:val="00712DF0"/>
    <w:rsid w:val="007135F4"/>
    <w:rsid w:val="00713884"/>
    <w:rsid w:val="00713B9E"/>
    <w:rsid w:val="007140AE"/>
    <w:rsid w:val="00715013"/>
    <w:rsid w:val="00715554"/>
    <w:rsid w:val="00715A18"/>
    <w:rsid w:val="00716727"/>
    <w:rsid w:val="007167D3"/>
    <w:rsid w:val="007175D2"/>
    <w:rsid w:val="0071792E"/>
    <w:rsid w:val="0072148D"/>
    <w:rsid w:val="00721669"/>
    <w:rsid w:val="007216D1"/>
    <w:rsid w:val="00721F2B"/>
    <w:rsid w:val="00722181"/>
    <w:rsid w:val="0072282B"/>
    <w:rsid w:val="00723D26"/>
    <w:rsid w:val="00724E1F"/>
    <w:rsid w:val="00725BF9"/>
    <w:rsid w:val="00726353"/>
    <w:rsid w:val="00726B11"/>
    <w:rsid w:val="00726E03"/>
    <w:rsid w:val="00727EBE"/>
    <w:rsid w:val="00730265"/>
    <w:rsid w:val="0073044E"/>
    <w:rsid w:val="00730D12"/>
    <w:rsid w:val="00730E7A"/>
    <w:rsid w:val="0073107E"/>
    <w:rsid w:val="00731912"/>
    <w:rsid w:val="00733674"/>
    <w:rsid w:val="0073420F"/>
    <w:rsid w:val="00734D75"/>
    <w:rsid w:val="00735180"/>
    <w:rsid w:val="00735503"/>
    <w:rsid w:val="007355A0"/>
    <w:rsid w:val="00735ECE"/>
    <w:rsid w:val="0073655E"/>
    <w:rsid w:val="00737040"/>
    <w:rsid w:val="00737BE5"/>
    <w:rsid w:val="00737E78"/>
    <w:rsid w:val="007408BA"/>
    <w:rsid w:val="00741143"/>
    <w:rsid w:val="007414B8"/>
    <w:rsid w:val="00741575"/>
    <w:rsid w:val="00741EBF"/>
    <w:rsid w:val="0074241F"/>
    <w:rsid w:val="00742C02"/>
    <w:rsid w:val="00743F21"/>
    <w:rsid w:val="007441E4"/>
    <w:rsid w:val="00744400"/>
    <w:rsid w:val="0074466A"/>
    <w:rsid w:val="00744AF8"/>
    <w:rsid w:val="00744B8E"/>
    <w:rsid w:val="00745361"/>
    <w:rsid w:val="00745B19"/>
    <w:rsid w:val="00745C6E"/>
    <w:rsid w:val="00745FCE"/>
    <w:rsid w:val="00746389"/>
    <w:rsid w:val="007468B1"/>
    <w:rsid w:val="00747001"/>
    <w:rsid w:val="0074795B"/>
    <w:rsid w:val="00747C5E"/>
    <w:rsid w:val="00747CEF"/>
    <w:rsid w:val="0075030F"/>
    <w:rsid w:val="00750382"/>
    <w:rsid w:val="00751039"/>
    <w:rsid w:val="007511FC"/>
    <w:rsid w:val="0075144C"/>
    <w:rsid w:val="00751471"/>
    <w:rsid w:val="00751973"/>
    <w:rsid w:val="00752522"/>
    <w:rsid w:val="007528AD"/>
    <w:rsid w:val="007534F7"/>
    <w:rsid w:val="007537B1"/>
    <w:rsid w:val="00753A6E"/>
    <w:rsid w:val="00754231"/>
    <w:rsid w:val="00754F2B"/>
    <w:rsid w:val="0075541B"/>
    <w:rsid w:val="00755D0B"/>
    <w:rsid w:val="0075600E"/>
    <w:rsid w:val="00756367"/>
    <w:rsid w:val="007564AC"/>
    <w:rsid w:val="00756AA6"/>
    <w:rsid w:val="007574CA"/>
    <w:rsid w:val="00757FC9"/>
    <w:rsid w:val="007608A5"/>
    <w:rsid w:val="00760CA4"/>
    <w:rsid w:val="007617E1"/>
    <w:rsid w:val="007622FA"/>
    <w:rsid w:val="00762C55"/>
    <w:rsid w:val="0076319B"/>
    <w:rsid w:val="00763ACC"/>
    <w:rsid w:val="007644FD"/>
    <w:rsid w:val="00765C89"/>
    <w:rsid w:val="00765CBC"/>
    <w:rsid w:val="00766107"/>
    <w:rsid w:val="007703DB"/>
    <w:rsid w:val="007714D0"/>
    <w:rsid w:val="00771A2D"/>
    <w:rsid w:val="00771E29"/>
    <w:rsid w:val="007725E1"/>
    <w:rsid w:val="00772E07"/>
    <w:rsid w:val="0077300F"/>
    <w:rsid w:val="007730E8"/>
    <w:rsid w:val="00773CB8"/>
    <w:rsid w:val="00774271"/>
    <w:rsid w:val="0077430C"/>
    <w:rsid w:val="00774324"/>
    <w:rsid w:val="00774AD9"/>
    <w:rsid w:val="00774D88"/>
    <w:rsid w:val="00774DDA"/>
    <w:rsid w:val="00775081"/>
    <w:rsid w:val="00775453"/>
    <w:rsid w:val="00775D31"/>
    <w:rsid w:val="007767DE"/>
    <w:rsid w:val="00776B78"/>
    <w:rsid w:val="007770D9"/>
    <w:rsid w:val="0077719C"/>
    <w:rsid w:val="007779D1"/>
    <w:rsid w:val="00780717"/>
    <w:rsid w:val="00781E32"/>
    <w:rsid w:val="00781E76"/>
    <w:rsid w:val="00781EB0"/>
    <w:rsid w:val="007821F7"/>
    <w:rsid w:val="00782980"/>
    <w:rsid w:val="007832F4"/>
    <w:rsid w:val="00783587"/>
    <w:rsid w:val="0078467B"/>
    <w:rsid w:val="00784F94"/>
    <w:rsid w:val="0078502A"/>
    <w:rsid w:val="00785145"/>
    <w:rsid w:val="00785AEB"/>
    <w:rsid w:val="00786273"/>
    <w:rsid w:val="00786422"/>
    <w:rsid w:val="00786460"/>
    <w:rsid w:val="00787AD7"/>
    <w:rsid w:val="00787DC9"/>
    <w:rsid w:val="0079007E"/>
    <w:rsid w:val="00790804"/>
    <w:rsid w:val="00790D07"/>
    <w:rsid w:val="00790EB7"/>
    <w:rsid w:val="00791EAF"/>
    <w:rsid w:val="007923AD"/>
    <w:rsid w:val="00792652"/>
    <w:rsid w:val="00792E00"/>
    <w:rsid w:val="00792E92"/>
    <w:rsid w:val="00792F0D"/>
    <w:rsid w:val="00793C67"/>
    <w:rsid w:val="00793DCB"/>
    <w:rsid w:val="007946A7"/>
    <w:rsid w:val="00795349"/>
    <w:rsid w:val="00795C49"/>
    <w:rsid w:val="007977A3"/>
    <w:rsid w:val="00797984"/>
    <w:rsid w:val="007A044A"/>
    <w:rsid w:val="007A1438"/>
    <w:rsid w:val="007A1588"/>
    <w:rsid w:val="007A1E9E"/>
    <w:rsid w:val="007A20C3"/>
    <w:rsid w:val="007A23F4"/>
    <w:rsid w:val="007A287D"/>
    <w:rsid w:val="007A2EEC"/>
    <w:rsid w:val="007A3591"/>
    <w:rsid w:val="007A476C"/>
    <w:rsid w:val="007A4A83"/>
    <w:rsid w:val="007A60DA"/>
    <w:rsid w:val="007A60FD"/>
    <w:rsid w:val="007A654E"/>
    <w:rsid w:val="007A66F6"/>
    <w:rsid w:val="007A6F2D"/>
    <w:rsid w:val="007A79C3"/>
    <w:rsid w:val="007A7ADF"/>
    <w:rsid w:val="007A7B48"/>
    <w:rsid w:val="007A7E77"/>
    <w:rsid w:val="007B04C8"/>
    <w:rsid w:val="007B1111"/>
    <w:rsid w:val="007B12AD"/>
    <w:rsid w:val="007B29A3"/>
    <w:rsid w:val="007B3521"/>
    <w:rsid w:val="007B3779"/>
    <w:rsid w:val="007B516C"/>
    <w:rsid w:val="007B6565"/>
    <w:rsid w:val="007B79C1"/>
    <w:rsid w:val="007B7F46"/>
    <w:rsid w:val="007C19C8"/>
    <w:rsid w:val="007C20D6"/>
    <w:rsid w:val="007C2367"/>
    <w:rsid w:val="007C2664"/>
    <w:rsid w:val="007C29DB"/>
    <w:rsid w:val="007C2C45"/>
    <w:rsid w:val="007C2F68"/>
    <w:rsid w:val="007C34DD"/>
    <w:rsid w:val="007C3670"/>
    <w:rsid w:val="007C3BD6"/>
    <w:rsid w:val="007C3ED5"/>
    <w:rsid w:val="007C3F6D"/>
    <w:rsid w:val="007C4350"/>
    <w:rsid w:val="007C4469"/>
    <w:rsid w:val="007C44E1"/>
    <w:rsid w:val="007C465E"/>
    <w:rsid w:val="007C4A17"/>
    <w:rsid w:val="007C52B4"/>
    <w:rsid w:val="007C57FE"/>
    <w:rsid w:val="007C59C6"/>
    <w:rsid w:val="007C5C8E"/>
    <w:rsid w:val="007C606B"/>
    <w:rsid w:val="007D0359"/>
    <w:rsid w:val="007D06B0"/>
    <w:rsid w:val="007D0FC9"/>
    <w:rsid w:val="007D17ED"/>
    <w:rsid w:val="007D1849"/>
    <w:rsid w:val="007D245B"/>
    <w:rsid w:val="007D24AC"/>
    <w:rsid w:val="007D31CD"/>
    <w:rsid w:val="007D3A22"/>
    <w:rsid w:val="007D3C34"/>
    <w:rsid w:val="007D3EAB"/>
    <w:rsid w:val="007D4DD5"/>
    <w:rsid w:val="007D4EB9"/>
    <w:rsid w:val="007D4FAE"/>
    <w:rsid w:val="007D5850"/>
    <w:rsid w:val="007D5C02"/>
    <w:rsid w:val="007D5D7A"/>
    <w:rsid w:val="007D65C4"/>
    <w:rsid w:val="007D6E84"/>
    <w:rsid w:val="007D721F"/>
    <w:rsid w:val="007D7786"/>
    <w:rsid w:val="007D77F2"/>
    <w:rsid w:val="007D780B"/>
    <w:rsid w:val="007D795F"/>
    <w:rsid w:val="007E04E5"/>
    <w:rsid w:val="007E080C"/>
    <w:rsid w:val="007E0D36"/>
    <w:rsid w:val="007E0DB6"/>
    <w:rsid w:val="007E0F6F"/>
    <w:rsid w:val="007E1233"/>
    <w:rsid w:val="007E184D"/>
    <w:rsid w:val="007E1A1B"/>
    <w:rsid w:val="007E2689"/>
    <w:rsid w:val="007E28A4"/>
    <w:rsid w:val="007E2E20"/>
    <w:rsid w:val="007E358E"/>
    <w:rsid w:val="007E40C4"/>
    <w:rsid w:val="007E4446"/>
    <w:rsid w:val="007E49AE"/>
    <w:rsid w:val="007E4ADA"/>
    <w:rsid w:val="007E52A6"/>
    <w:rsid w:val="007E5542"/>
    <w:rsid w:val="007E5728"/>
    <w:rsid w:val="007E5C34"/>
    <w:rsid w:val="007E5D3C"/>
    <w:rsid w:val="007E6011"/>
    <w:rsid w:val="007E64B7"/>
    <w:rsid w:val="007E662B"/>
    <w:rsid w:val="007E6670"/>
    <w:rsid w:val="007E66C4"/>
    <w:rsid w:val="007E7171"/>
    <w:rsid w:val="007E7551"/>
    <w:rsid w:val="007E7A6A"/>
    <w:rsid w:val="007E7CAD"/>
    <w:rsid w:val="007F0EB6"/>
    <w:rsid w:val="007F112A"/>
    <w:rsid w:val="007F1D3C"/>
    <w:rsid w:val="007F2B4B"/>
    <w:rsid w:val="007F2B62"/>
    <w:rsid w:val="007F3567"/>
    <w:rsid w:val="007F35F3"/>
    <w:rsid w:val="007F382F"/>
    <w:rsid w:val="007F3F69"/>
    <w:rsid w:val="007F4563"/>
    <w:rsid w:val="007F4815"/>
    <w:rsid w:val="007F496D"/>
    <w:rsid w:val="007F5A18"/>
    <w:rsid w:val="007F5D22"/>
    <w:rsid w:val="007F5D4B"/>
    <w:rsid w:val="007F5E13"/>
    <w:rsid w:val="007F5EE4"/>
    <w:rsid w:val="007F6790"/>
    <w:rsid w:val="007F753E"/>
    <w:rsid w:val="007F7EF7"/>
    <w:rsid w:val="00800C29"/>
    <w:rsid w:val="00800F00"/>
    <w:rsid w:val="00801D3C"/>
    <w:rsid w:val="00801D74"/>
    <w:rsid w:val="00801DBD"/>
    <w:rsid w:val="00803859"/>
    <w:rsid w:val="00803A02"/>
    <w:rsid w:val="00803C85"/>
    <w:rsid w:val="00804819"/>
    <w:rsid w:val="00804A11"/>
    <w:rsid w:val="00804A7C"/>
    <w:rsid w:val="008050F2"/>
    <w:rsid w:val="00805999"/>
    <w:rsid w:val="00806616"/>
    <w:rsid w:val="0080677F"/>
    <w:rsid w:val="00806D84"/>
    <w:rsid w:val="00806EAD"/>
    <w:rsid w:val="00806ECA"/>
    <w:rsid w:val="008072A2"/>
    <w:rsid w:val="0080796A"/>
    <w:rsid w:val="00807DD4"/>
    <w:rsid w:val="008101B0"/>
    <w:rsid w:val="00810215"/>
    <w:rsid w:val="008106F3"/>
    <w:rsid w:val="00811DE2"/>
    <w:rsid w:val="00811F58"/>
    <w:rsid w:val="008122EC"/>
    <w:rsid w:val="00812DB7"/>
    <w:rsid w:val="008138A8"/>
    <w:rsid w:val="0081412A"/>
    <w:rsid w:val="00814237"/>
    <w:rsid w:val="00814250"/>
    <w:rsid w:val="008147AA"/>
    <w:rsid w:val="0081551F"/>
    <w:rsid w:val="00815E24"/>
    <w:rsid w:val="0081688B"/>
    <w:rsid w:val="00816985"/>
    <w:rsid w:val="00817717"/>
    <w:rsid w:val="0081771E"/>
    <w:rsid w:val="00817D26"/>
    <w:rsid w:val="0082145C"/>
    <w:rsid w:val="00821802"/>
    <w:rsid w:val="008229A4"/>
    <w:rsid w:val="00822BA3"/>
    <w:rsid w:val="00823F6F"/>
    <w:rsid w:val="00824CFE"/>
    <w:rsid w:val="0082577B"/>
    <w:rsid w:val="0082664D"/>
    <w:rsid w:val="008276AB"/>
    <w:rsid w:val="00827E18"/>
    <w:rsid w:val="0083020F"/>
    <w:rsid w:val="00830362"/>
    <w:rsid w:val="0083039B"/>
    <w:rsid w:val="00831152"/>
    <w:rsid w:val="008314A5"/>
    <w:rsid w:val="00831810"/>
    <w:rsid w:val="00831CDF"/>
    <w:rsid w:val="008321AA"/>
    <w:rsid w:val="0083232A"/>
    <w:rsid w:val="00832511"/>
    <w:rsid w:val="00832D0D"/>
    <w:rsid w:val="008336A7"/>
    <w:rsid w:val="00834005"/>
    <w:rsid w:val="00834069"/>
    <w:rsid w:val="00834344"/>
    <w:rsid w:val="0083463E"/>
    <w:rsid w:val="008347A7"/>
    <w:rsid w:val="00834A39"/>
    <w:rsid w:val="00834D7B"/>
    <w:rsid w:val="008352D8"/>
    <w:rsid w:val="008358A5"/>
    <w:rsid w:val="00835F57"/>
    <w:rsid w:val="0083609D"/>
    <w:rsid w:val="00836221"/>
    <w:rsid w:val="00836506"/>
    <w:rsid w:val="0083688F"/>
    <w:rsid w:val="008374A4"/>
    <w:rsid w:val="00837705"/>
    <w:rsid w:val="008379D8"/>
    <w:rsid w:val="008379FC"/>
    <w:rsid w:val="00837A68"/>
    <w:rsid w:val="00837CE3"/>
    <w:rsid w:val="00837E20"/>
    <w:rsid w:val="008404B3"/>
    <w:rsid w:val="008408E0"/>
    <w:rsid w:val="00840A84"/>
    <w:rsid w:val="00840C4F"/>
    <w:rsid w:val="00840E38"/>
    <w:rsid w:val="00841391"/>
    <w:rsid w:val="008415D4"/>
    <w:rsid w:val="00841F49"/>
    <w:rsid w:val="00842597"/>
    <w:rsid w:val="00842A50"/>
    <w:rsid w:val="00842AC1"/>
    <w:rsid w:val="008430F7"/>
    <w:rsid w:val="008432FE"/>
    <w:rsid w:val="0084384A"/>
    <w:rsid w:val="00844A5C"/>
    <w:rsid w:val="00844B0A"/>
    <w:rsid w:val="00844C82"/>
    <w:rsid w:val="00845A02"/>
    <w:rsid w:val="00845EC3"/>
    <w:rsid w:val="00845EF7"/>
    <w:rsid w:val="0084655F"/>
    <w:rsid w:val="00846A74"/>
    <w:rsid w:val="00847D95"/>
    <w:rsid w:val="00847FAF"/>
    <w:rsid w:val="00847FC9"/>
    <w:rsid w:val="00850236"/>
    <w:rsid w:val="00850D14"/>
    <w:rsid w:val="00851799"/>
    <w:rsid w:val="00851E49"/>
    <w:rsid w:val="00852FE0"/>
    <w:rsid w:val="00853407"/>
    <w:rsid w:val="00853484"/>
    <w:rsid w:val="00853553"/>
    <w:rsid w:val="00853C33"/>
    <w:rsid w:val="0085422C"/>
    <w:rsid w:val="008544E0"/>
    <w:rsid w:val="008545B3"/>
    <w:rsid w:val="00856B75"/>
    <w:rsid w:val="00856C37"/>
    <w:rsid w:val="00856F3E"/>
    <w:rsid w:val="00857081"/>
    <w:rsid w:val="00857159"/>
    <w:rsid w:val="00857296"/>
    <w:rsid w:val="008574FA"/>
    <w:rsid w:val="008575A5"/>
    <w:rsid w:val="0085777F"/>
    <w:rsid w:val="008578E6"/>
    <w:rsid w:val="00860154"/>
    <w:rsid w:val="008608B0"/>
    <w:rsid w:val="00860FB0"/>
    <w:rsid w:val="0086139D"/>
    <w:rsid w:val="00861555"/>
    <w:rsid w:val="0086155E"/>
    <w:rsid w:val="008615B4"/>
    <w:rsid w:val="00861A28"/>
    <w:rsid w:val="008621F6"/>
    <w:rsid w:val="00862254"/>
    <w:rsid w:val="008626CD"/>
    <w:rsid w:val="00862781"/>
    <w:rsid w:val="008632F7"/>
    <w:rsid w:val="00864B08"/>
    <w:rsid w:val="008650B5"/>
    <w:rsid w:val="008652BF"/>
    <w:rsid w:val="00865492"/>
    <w:rsid w:val="00865972"/>
    <w:rsid w:val="008666DA"/>
    <w:rsid w:val="008668C2"/>
    <w:rsid w:val="00866DC6"/>
    <w:rsid w:val="00867024"/>
    <w:rsid w:val="00867A29"/>
    <w:rsid w:val="008700A9"/>
    <w:rsid w:val="0087024D"/>
    <w:rsid w:val="00870433"/>
    <w:rsid w:val="00870DAD"/>
    <w:rsid w:val="00871B2F"/>
    <w:rsid w:val="00871E15"/>
    <w:rsid w:val="008736D2"/>
    <w:rsid w:val="00873F2F"/>
    <w:rsid w:val="00874CA2"/>
    <w:rsid w:val="00874E08"/>
    <w:rsid w:val="00874EBC"/>
    <w:rsid w:val="00874F22"/>
    <w:rsid w:val="00874F6F"/>
    <w:rsid w:val="00875AAC"/>
    <w:rsid w:val="00876312"/>
    <w:rsid w:val="00876370"/>
    <w:rsid w:val="00876BAB"/>
    <w:rsid w:val="008772A6"/>
    <w:rsid w:val="00877F9C"/>
    <w:rsid w:val="00880B50"/>
    <w:rsid w:val="00880D89"/>
    <w:rsid w:val="00880F1A"/>
    <w:rsid w:val="008828C0"/>
    <w:rsid w:val="00882AA7"/>
    <w:rsid w:val="00883187"/>
    <w:rsid w:val="00883450"/>
    <w:rsid w:val="008834B1"/>
    <w:rsid w:val="0088355C"/>
    <w:rsid w:val="0088392B"/>
    <w:rsid w:val="008843D7"/>
    <w:rsid w:val="00885712"/>
    <w:rsid w:val="0088585F"/>
    <w:rsid w:val="00885AA8"/>
    <w:rsid w:val="00885E7A"/>
    <w:rsid w:val="008869BA"/>
    <w:rsid w:val="00887E33"/>
    <w:rsid w:val="00887F44"/>
    <w:rsid w:val="00887FF8"/>
    <w:rsid w:val="00890286"/>
    <w:rsid w:val="00890BC1"/>
    <w:rsid w:val="00890D56"/>
    <w:rsid w:val="00891BCF"/>
    <w:rsid w:val="00891C44"/>
    <w:rsid w:val="00891EFE"/>
    <w:rsid w:val="00893C44"/>
    <w:rsid w:val="00893D7A"/>
    <w:rsid w:val="00893EA6"/>
    <w:rsid w:val="00894113"/>
    <w:rsid w:val="008942BE"/>
    <w:rsid w:val="008943B0"/>
    <w:rsid w:val="0089456B"/>
    <w:rsid w:val="0089540B"/>
    <w:rsid w:val="00895728"/>
    <w:rsid w:val="0089585A"/>
    <w:rsid w:val="00896186"/>
    <w:rsid w:val="00896255"/>
    <w:rsid w:val="00896C11"/>
    <w:rsid w:val="0089757F"/>
    <w:rsid w:val="00897ABD"/>
    <w:rsid w:val="008A0576"/>
    <w:rsid w:val="008A0978"/>
    <w:rsid w:val="008A16E0"/>
    <w:rsid w:val="008A2533"/>
    <w:rsid w:val="008A4851"/>
    <w:rsid w:val="008A4E00"/>
    <w:rsid w:val="008A5C10"/>
    <w:rsid w:val="008A5E66"/>
    <w:rsid w:val="008A6324"/>
    <w:rsid w:val="008A6655"/>
    <w:rsid w:val="008A7EE0"/>
    <w:rsid w:val="008B025C"/>
    <w:rsid w:val="008B2070"/>
    <w:rsid w:val="008B20FD"/>
    <w:rsid w:val="008B3F9A"/>
    <w:rsid w:val="008B499D"/>
    <w:rsid w:val="008B4C9D"/>
    <w:rsid w:val="008B4DCC"/>
    <w:rsid w:val="008B4EF9"/>
    <w:rsid w:val="008B5304"/>
    <w:rsid w:val="008C0D7F"/>
    <w:rsid w:val="008C0EEF"/>
    <w:rsid w:val="008C17EE"/>
    <w:rsid w:val="008C195C"/>
    <w:rsid w:val="008C2096"/>
    <w:rsid w:val="008C2563"/>
    <w:rsid w:val="008C2B3B"/>
    <w:rsid w:val="008C3534"/>
    <w:rsid w:val="008C3591"/>
    <w:rsid w:val="008C42E1"/>
    <w:rsid w:val="008C4CD3"/>
    <w:rsid w:val="008C4F9C"/>
    <w:rsid w:val="008C5F98"/>
    <w:rsid w:val="008C5FD2"/>
    <w:rsid w:val="008C6837"/>
    <w:rsid w:val="008C68A7"/>
    <w:rsid w:val="008C6A7D"/>
    <w:rsid w:val="008C7231"/>
    <w:rsid w:val="008D1019"/>
    <w:rsid w:val="008D17C0"/>
    <w:rsid w:val="008D28A5"/>
    <w:rsid w:val="008D2C33"/>
    <w:rsid w:val="008D2EE2"/>
    <w:rsid w:val="008D4056"/>
    <w:rsid w:val="008D4325"/>
    <w:rsid w:val="008D4717"/>
    <w:rsid w:val="008D4EEE"/>
    <w:rsid w:val="008D554D"/>
    <w:rsid w:val="008D5C99"/>
    <w:rsid w:val="008D62FC"/>
    <w:rsid w:val="008D6774"/>
    <w:rsid w:val="008D6C48"/>
    <w:rsid w:val="008D6ECE"/>
    <w:rsid w:val="008D7181"/>
    <w:rsid w:val="008D7F1E"/>
    <w:rsid w:val="008E1798"/>
    <w:rsid w:val="008E1822"/>
    <w:rsid w:val="008E2D4C"/>
    <w:rsid w:val="008E3092"/>
    <w:rsid w:val="008E324B"/>
    <w:rsid w:val="008E3840"/>
    <w:rsid w:val="008E45EE"/>
    <w:rsid w:val="008E4834"/>
    <w:rsid w:val="008E48BA"/>
    <w:rsid w:val="008E5007"/>
    <w:rsid w:val="008E55C6"/>
    <w:rsid w:val="008E5D41"/>
    <w:rsid w:val="008E6243"/>
    <w:rsid w:val="008E6267"/>
    <w:rsid w:val="008E702D"/>
    <w:rsid w:val="008F018C"/>
    <w:rsid w:val="008F0538"/>
    <w:rsid w:val="008F0712"/>
    <w:rsid w:val="008F082A"/>
    <w:rsid w:val="008F1305"/>
    <w:rsid w:val="008F22C1"/>
    <w:rsid w:val="008F33D2"/>
    <w:rsid w:val="008F3AC7"/>
    <w:rsid w:val="008F4092"/>
    <w:rsid w:val="008F4978"/>
    <w:rsid w:val="008F58DD"/>
    <w:rsid w:val="008F6087"/>
    <w:rsid w:val="008F609E"/>
    <w:rsid w:val="008F67EB"/>
    <w:rsid w:val="008F7582"/>
    <w:rsid w:val="00900A48"/>
    <w:rsid w:val="009010EC"/>
    <w:rsid w:val="0090172A"/>
    <w:rsid w:val="009018E0"/>
    <w:rsid w:val="00901A73"/>
    <w:rsid w:val="00902146"/>
    <w:rsid w:val="009040B2"/>
    <w:rsid w:val="0090491E"/>
    <w:rsid w:val="00904BC3"/>
    <w:rsid w:val="00905072"/>
    <w:rsid w:val="00905890"/>
    <w:rsid w:val="00905F84"/>
    <w:rsid w:val="009060EF"/>
    <w:rsid w:val="009077D3"/>
    <w:rsid w:val="009100F1"/>
    <w:rsid w:val="009126AA"/>
    <w:rsid w:val="00912E7B"/>
    <w:rsid w:val="009136CF"/>
    <w:rsid w:val="0091406E"/>
    <w:rsid w:val="00914238"/>
    <w:rsid w:val="00915591"/>
    <w:rsid w:val="009167B0"/>
    <w:rsid w:val="00916D83"/>
    <w:rsid w:val="00916DCF"/>
    <w:rsid w:val="009173A2"/>
    <w:rsid w:val="009174B7"/>
    <w:rsid w:val="00917DF7"/>
    <w:rsid w:val="00917EA5"/>
    <w:rsid w:val="009200FA"/>
    <w:rsid w:val="009214A8"/>
    <w:rsid w:val="009219CB"/>
    <w:rsid w:val="00921F7D"/>
    <w:rsid w:val="00922A08"/>
    <w:rsid w:val="0092448F"/>
    <w:rsid w:val="00924749"/>
    <w:rsid w:val="0092484D"/>
    <w:rsid w:val="00924923"/>
    <w:rsid w:val="00924E8B"/>
    <w:rsid w:val="00925177"/>
    <w:rsid w:val="00925264"/>
    <w:rsid w:val="009253B5"/>
    <w:rsid w:val="00925A90"/>
    <w:rsid w:val="009279F0"/>
    <w:rsid w:val="00927DEB"/>
    <w:rsid w:val="009302B9"/>
    <w:rsid w:val="00930300"/>
    <w:rsid w:val="009304D2"/>
    <w:rsid w:val="00930880"/>
    <w:rsid w:val="009310DC"/>
    <w:rsid w:val="0093125D"/>
    <w:rsid w:val="00931552"/>
    <w:rsid w:val="009326E4"/>
    <w:rsid w:val="009330E9"/>
    <w:rsid w:val="009345FF"/>
    <w:rsid w:val="0093486C"/>
    <w:rsid w:val="00934D92"/>
    <w:rsid w:val="009360A6"/>
    <w:rsid w:val="0093612C"/>
    <w:rsid w:val="009368F5"/>
    <w:rsid w:val="00936918"/>
    <w:rsid w:val="00936C21"/>
    <w:rsid w:val="0094066F"/>
    <w:rsid w:val="009410BA"/>
    <w:rsid w:val="0094176E"/>
    <w:rsid w:val="00941B74"/>
    <w:rsid w:val="00941C55"/>
    <w:rsid w:val="0094206D"/>
    <w:rsid w:val="00942161"/>
    <w:rsid w:val="00942BDF"/>
    <w:rsid w:val="00943CDA"/>
    <w:rsid w:val="00943D1D"/>
    <w:rsid w:val="00944741"/>
    <w:rsid w:val="00944936"/>
    <w:rsid w:val="00944C45"/>
    <w:rsid w:val="00944CC0"/>
    <w:rsid w:val="00944D63"/>
    <w:rsid w:val="00944F1A"/>
    <w:rsid w:val="00945347"/>
    <w:rsid w:val="00945427"/>
    <w:rsid w:val="0094572D"/>
    <w:rsid w:val="009458FE"/>
    <w:rsid w:val="009459DF"/>
    <w:rsid w:val="0094657A"/>
    <w:rsid w:val="009465A1"/>
    <w:rsid w:val="009465BA"/>
    <w:rsid w:val="00946F92"/>
    <w:rsid w:val="0095103B"/>
    <w:rsid w:val="00951842"/>
    <w:rsid w:val="009518C8"/>
    <w:rsid w:val="00951DA3"/>
    <w:rsid w:val="00952643"/>
    <w:rsid w:val="00952793"/>
    <w:rsid w:val="00952906"/>
    <w:rsid w:val="00952BA3"/>
    <w:rsid w:val="009533DA"/>
    <w:rsid w:val="009537BD"/>
    <w:rsid w:val="00953E74"/>
    <w:rsid w:val="00955819"/>
    <w:rsid w:val="00955CED"/>
    <w:rsid w:val="00955E73"/>
    <w:rsid w:val="009563FA"/>
    <w:rsid w:val="009575E3"/>
    <w:rsid w:val="00957DB6"/>
    <w:rsid w:val="00960048"/>
    <w:rsid w:val="00960584"/>
    <w:rsid w:val="00960A50"/>
    <w:rsid w:val="00960D96"/>
    <w:rsid w:val="0096225F"/>
    <w:rsid w:val="00963312"/>
    <w:rsid w:val="00963E32"/>
    <w:rsid w:val="0096673B"/>
    <w:rsid w:val="00967325"/>
    <w:rsid w:val="009677BF"/>
    <w:rsid w:val="00967E48"/>
    <w:rsid w:val="00967EA5"/>
    <w:rsid w:val="0097046E"/>
    <w:rsid w:val="0097077D"/>
    <w:rsid w:val="00970AD0"/>
    <w:rsid w:val="009711AF"/>
    <w:rsid w:val="00971B70"/>
    <w:rsid w:val="00971DBE"/>
    <w:rsid w:val="009723E7"/>
    <w:rsid w:val="00973484"/>
    <w:rsid w:val="009735A9"/>
    <w:rsid w:val="00973815"/>
    <w:rsid w:val="00973E3C"/>
    <w:rsid w:val="00975467"/>
    <w:rsid w:val="0097669D"/>
    <w:rsid w:val="00976DB7"/>
    <w:rsid w:val="00976F76"/>
    <w:rsid w:val="00976FE2"/>
    <w:rsid w:val="009779CC"/>
    <w:rsid w:val="00977F87"/>
    <w:rsid w:val="00980123"/>
    <w:rsid w:val="00980312"/>
    <w:rsid w:val="00980536"/>
    <w:rsid w:val="00980AF3"/>
    <w:rsid w:val="00981A7C"/>
    <w:rsid w:val="00981F71"/>
    <w:rsid w:val="00982405"/>
    <w:rsid w:val="0098277E"/>
    <w:rsid w:val="00982A3E"/>
    <w:rsid w:val="00983696"/>
    <w:rsid w:val="0098385A"/>
    <w:rsid w:val="0098407A"/>
    <w:rsid w:val="009841DC"/>
    <w:rsid w:val="00984524"/>
    <w:rsid w:val="009846E6"/>
    <w:rsid w:val="0098476D"/>
    <w:rsid w:val="00984F39"/>
    <w:rsid w:val="009851BE"/>
    <w:rsid w:val="009852FA"/>
    <w:rsid w:val="00985875"/>
    <w:rsid w:val="009858F6"/>
    <w:rsid w:val="00985D26"/>
    <w:rsid w:val="00985D5C"/>
    <w:rsid w:val="00985DE1"/>
    <w:rsid w:val="00985E3E"/>
    <w:rsid w:val="009860C5"/>
    <w:rsid w:val="00987311"/>
    <w:rsid w:val="009875D1"/>
    <w:rsid w:val="00987698"/>
    <w:rsid w:val="0099033E"/>
    <w:rsid w:val="00990793"/>
    <w:rsid w:val="00990E68"/>
    <w:rsid w:val="00990F0D"/>
    <w:rsid w:val="00991F0D"/>
    <w:rsid w:val="0099319E"/>
    <w:rsid w:val="00993461"/>
    <w:rsid w:val="00993469"/>
    <w:rsid w:val="00993DC3"/>
    <w:rsid w:val="00994088"/>
    <w:rsid w:val="0099429B"/>
    <w:rsid w:val="009945BC"/>
    <w:rsid w:val="00994A98"/>
    <w:rsid w:val="00994C83"/>
    <w:rsid w:val="00995DED"/>
    <w:rsid w:val="00995FCF"/>
    <w:rsid w:val="009960F7"/>
    <w:rsid w:val="009970E1"/>
    <w:rsid w:val="0099736D"/>
    <w:rsid w:val="00997646"/>
    <w:rsid w:val="00997BDD"/>
    <w:rsid w:val="009A01B0"/>
    <w:rsid w:val="009A1729"/>
    <w:rsid w:val="009A17FA"/>
    <w:rsid w:val="009A2140"/>
    <w:rsid w:val="009A26E5"/>
    <w:rsid w:val="009A2EE5"/>
    <w:rsid w:val="009A3273"/>
    <w:rsid w:val="009A364C"/>
    <w:rsid w:val="009A3674"/>
    <w:rsid w:val="009A3C39"/>
    <w:rsid w:val="009A483B"/>
    <w:rsid w:val="009A4DF8"/>
    <w:rsid w:val="009A5469"/>
    <w:rsid w:val="009A5C0F"/>
    <w:rsid w:val="009A6479"/>
    <w:rsid w:val="009A689D"/>
    <w:rsid w:val="009A700C"/>
    <w:rsid w:val="009A7225"/>
    <w:rsid w:val="009A72A0"/>
    <w:rsid w:val="009B0101"/>
    <w:rsid w:val="009B037D"/>
    <w:rsid w:val="009B0623"/>
    <w:rsid w:val="009B09B1"/>
    <w:rsid w:val="009B0CD5"/>
    <w:rsid w:val="009B12D3"/>
    <w:rsid w:val="009B155E"/>
    <w:rsid w:val="009B1C30"/>
    <w:rsid w:val="009B21ED"/>
    <w:rsid w:val="009B2326"/>
    <w:rsid w:val="009B2811"/>
    <w:rsid w:val="009B313A"/>
    <w:rsid w:val="009B3596"/>
    <w:rsid w:val="009B3D2A"/>
    <w:rsid w:val="009B3DA6"/>
    <w:rsid w:val="009B49F3"/>
    <w:rsid w:val="009B4A12"/>
    <w:rsid w:val="009B4C3E"/>
    <w:rsid w:val="009B5C06"/>
    <w:rsid w:val="009B651F"/>
    <w:rsid w:val="009B6606"/>
    <w:rsid w:val="009B6AD3"/>
    <w:rsid w:val="009B6F20"/>
    <w:rsid w:val="009B703A"/>
    <w:rsid w:val="009B74EB"/>
    <w:rsid w:val="009B7EC5"/>
    <w:rsid w:val="009C0476"/>
    <w:rsid w:val="009C0DEF"/>
    <w:rsid w:val="009C12AA"/>
    <w:rsid w:val="009C2B22"/>
    <w:rsid w:val="009C2C04"/>
    <w:rsid w:val="009C30D5"/>
    <w:rsid w:val="009C4A2C"/>
    <w:rsid w:val="009C6ED6"/>
    <w:rsid w:val="009C7253"/>
    <w:rsid w:val="009C7E38"/>
    <w:rsid w:val="009D05F2"/>
    <w:rsid w:val="009D0CA4"/>
    <w:rsid w:val="009D1339"/>
    <w:rsid w:val="009D160E"/>
    <w:rsid w:val="009D1813"/>
    <w:rsid w:val="009D1F4F"/>
    <w:rsid w:val="009D2BAB"/>
    <w:rsid w:val="009D2C45"/>
    <w:rsid w:val="009D3E30"/>
    <w:rsid w:val="009D4805"/>
    <w:rsid w:val="009D6A40"/>
    <w:rsid w:val="009D6DB0"/>
    <w:rsid w:val="009D7C9B"/>
    <w:rsid w:val="009E0673"/>
    <w:rsid w:val="009E18A1"/>
    <w:rsid w:val="009E194E"/>
    <w:rsid w:val="009E1AA1"/>
    <w:rsid w:val="009E25F1"/>
    <w:rsid w:val="009E2E0F"/>
    <w:rsid w:val="009E307B"/>
    <w:rsid w:val="009E31AB"/>
    <w:rsid w:val="009E369B"/>
    <w:rsid w:val="009E373D"/>
    <w:rsid w:val="009E3B36"/>
    <w:rsid w:val="009E40A1"/>
    <w:rsid w:val="009E5242"/>
    <w:rsid w:val="009E6718"/>
    <w:rsid w:val="009E694B"/>
    <w:rsid w:val="009E6CE9"/>
    <w:rsid w:val="009E6F7D"/>
    <w:rsid w:val="009E7369"/>
    <w:rsid w:val="009E7AB3"/>
    <w:rsid w:val="009E7CFE"/>
    <w:rsid w:val="009F083D"/>
    <w:rsid w:val="009F0F00"/>
    <w:rsid w:val="009F13A5"/>
    <w:rsid w:val="009F1AF6"/>
    <w:rsid w:val="009F25EE"/>
    <w:rsid w:val="009F2A09"/>
    <w:rsid w:val="009F3C54"/>
    <w:rsid w:val="009F4B08"/>
    <w:rsid w:val="009F5015"/>
    <w:rsid w:val="009F5864"/>
    <w:rsid w:val="009F58B1"/>
    <w:rsid w:val="009F59F5"/>
    <w:rsid w:val="009F5B21"/>
    <w:rsid w:val="009F5ED2"/>
    <w:rsid w:val="009F6BB1"/>
    <w:rsid w:val="009F7262"/>
    <w:rsid w:val="009F74F9"/>
    <w:rsid w:val="009F7569"/>
    <w:rsid w:val="00A002CE"/>
    <w:rsid w:val="00A016B9"/>
    <w:rsid w:val="00A017E3"/>
    <w:rsid w:val="00A01C1A"/>
    <w:rsid w:val="00A01C93"/>
    <w:rsid w:val="00A02E51"/>
    <w:rsid w:val="00A0380E"/>
    <w:rsid w:val="00A04CFF"/>
    <w:rsid w:val="00A052E1"/>
    <w:rsid w:val="00A059FA"/>
    <w:rsid w:val="00A05E28"/>
    <w:rsid w:val="00A0666E"/>
    <w:rsid w:val="00A0707C"/>
    <w:rsid w:val="00A07ED9"/>
    <w:rsid w:val="00A10482"/>
    <w:rsid w:val="00A10F87"/>
    <w:rsid w:val="00A119BB"/>
    <w:rsid w:val="00A11B3A"/>
    <w:rsid w:val="00A13604"/>
    <w:rsid w:val="00A13DA3"/>
    <w:rsid w:val="00A14FAE"/>
    <w:rsid w:val="00A155BF"/>
    <w:rsid w:val="00A15AA0"/>
    <w:rsid w:val="00A1635B"/>
    <w:rsid w:val="00A16750"/>
    <w:rsid w:val="00A173F7"/>
    <w:rsid w:val="00A17B50"/>
    <w:rsid w:val="00A2033E"/>
    <w:rsid w:val="00A2052C"/>
    <w:rsid w:val="00A20CA5"/>
    <w:rsid w:val="00A210CA"/>
    <w:rsid w:val="00A21F2C"/>
    <w:rsid w:val="00A223C9"/>
    <w:rsid w:val="00A22923"/>
    <w:rsid w:val="00A2434E"/>
    <w:rsid w:val="00A246F0"/>
    <w:rsid w:val="00A24762"/>
    <w:rsid w:val="00A24BF3"/>
    <w:rsid w:val="00A24DF9"/>
    <w:rsid w:val="00A254A7"/>
    <w:rsid w:val="00A25D24"/>
    <w:rsid w:val="00A265BF"/>
    <w:rsid w:val="00A26E7F"/>
    <w:rsid w:val="00A30201"/>
    <w:rsid w:val="00A310A5"/>
    <w:rsid w:val="00A3122D"/>
    <w:rsid w:val="00A3212B"/>
    <w:rsid w:val="00A3241C"/>
    <w:rsid w:val="00A32695"/>
    <w:rsid w:val="00A3290D"/>
    <w:rsid w:val="00A33228"/>
    <w:rsid w:val="00A341BF"/>
    <w:rsid w:val="00A35387"/>
    <w:rsid w:val="00A360DF"/>
    <w:rsid w:val="00A361CE"/>
    <w:rsid w:val="00A365C4"/>
    <w:rsid w:val="00A36EAA"/>
    <w:rsid w:val="00A36FF7"/>
    <w:rsid w:val="00A3723B"/>
    <w:rsid w:val="00A37A3E"/>
    <w:rsid w:val="00A40A1A"/>
    <w:rsid w:val="00A40A4C"/>
    <w:rsid w:val="00A40E1C"/>
    <w:rsid w:val="00A42035"/>
    <w:rsid w:val="00A429B2"/>
    <w:rsid w:val="00A42E11"/>
    <w:rsid w:val="00A42EB2"/>
    <w:rsid w:val="00A43231"/>
    <w:rsid w:val="00A43327"/>
    <w:rsid w:val="00A43D9E"/>
    <w:rsid w:val="00A44913"/>
    <w:rsid w:val="00A44D66"/>
    <w:rsid w:val="00A44E7E"/>
    <w:rsid w:val="00A46391"/>
    <w:rsid w:val="00A467D5"/>
    <w:rsid w:val="00A46AC0"/>
    <w:rsid w:val="00A46CF5"/>
    <w:rsid w:val="00A4742A"/>
    <w:rsid w:val="00A47481"/>
    <w:rsid w:val="00A4770B"/>
    <w:rsid w:val="00A479A3"/>
    <w:rsid w:val="00A47A96"/>
    <w:rsid w:val="00A47D84"/>
    <w:rsid w:val="00A504C4"/>
    <w:rsid w:val="00A513DE"/>
    <w:rsid w:val="00A513E1"/>
    <w:rsid w:val="00A5243C"/>
    <w:rsid w:val="00A53A8E"/>
    <w:rsid w:val="00A54EE3"/>
    <w:rsid w:val="00A5509E"/>
    <w:rsid w:val="00A55643"/>
    <w:rsid w:val="00A55B06"/>
    <w:rsid w:val="00A55E10"/>
    <w:rsid w:val="00A560AE"/>
    <w:rsid w:val="00A56164"/>
    <w:rsid w:val="00A578D7"/>
    <w:rsid w:val="00A57A39"/>
    <w:rsid w:val="00A57C82"/>
    <w:rsid w:val="00A57F75"/>
    <w:rsid w:val="00A605C1"/>
    <w:rsid w:val="00A60A27"/>
    <w:rsid w:val="00A61952"/>
    <w:rsid w:val="00A620CD"/>
    <w:rsid w:val="00A621BF"/>
    <w:rsid w:val="00A62512"/>
    <w:rsid w:val="00A627B7"/>
    <w:rsid w:val="00A62B8D"/>
    <w:rsid w:val="00A63067"/>
    <w:rsid w:val="00A64648"/>
    <w:rsid w:val="00A64EE7"/>
    <w:rsid w:val="00A656E1"/>
    <w:rsid w:val="00A65FF1"/>
    <w:rsid w:val="00A66087"/>
    <w:rsid w:val="00A66151"/>
    <w:rsid w:val="00A66660"/>
    <w:rsid w:val="00A6727B"/>
    <w:rsid w:val="00A67742"/>
    <w:rsid w:val="00A7012A"/>
    <w:rsid w:val="00A702CA"/>
    <w:rsid w:val="00A70B59"/>
    <w:rsid w:val="00A70ED8"/>
    <w:rsid w:val="00A71C43"/>
    <w:rsid w:val="00A721AA"/>
    <w:rsid w:val="00A73CFA"/>
    <w:rsid w:val="00A744D3"/>
    <w:rsid w:val="00A74CB9"/>
    <w:rsid w:val="00A758EC"/>
    <w:rsid w:val="00A758FE"/>
    <w:rsid w:val="00A75EB4"/>
    <w:rsid w:val="00A76BAA"/>
    <w:rsid w:val="00A771D6"/>
    <w:rsid w:val="00A77C9B"/>
    <w:rsid w:val="00A80668"/>
    <w:rsid w:val="00A806DD"/>
    <w:rsid w:val="00A8083F"/>
    <w:rsid w:val="00A80916"/>
    <w:rsid w:val="00A818F7"/>
    <w:rsid w:val="00A81DB4"/>
    <w:rsid w:val="00A81DEA"/>
    <w:rsid w:val="00A823CD"/>
    <w:rsid w:val="00A824FC"/>
    <w:rsid w:val="00A82734"/>
    <w:rsid w:val="00A82DA7"/>
    <w:rsid w:val="00A83A18"/>
    <w:rsid w:val="00A85267"/>
    <w:rsid w:val="00A852F7"/>
    <w:rsid w:val="00A85CF2"/>
    <w:rsid w:val="00A861E6"/>
    <w:rsid w:val="00A86465"/>
    <w:rsid w:val="00A86D88"/>
    <w:rsid w:val="00A86E60"/>
    <w:rsid w:val="00A87F5C"/>
    <w:rsid w:val="00A903B4"/>
    <w:rsid w:val="00A90A36"/>
    <w:rsid w:val="00A90CB1"/>
    <w:rsid w:val="00A912A3"/>
    <w:rsid w:val="00A91525"/>
    <w:rsid w:val="00A91900"/>
    <w:rsid w:val="00A9196A"/>
    <w:rsid w:val="00A9286F"/>
    <w:rsid w:val="00A94750"/>
    <w:rsid w:val="00A94D47"/>
    <w:rsid w:val="00A952F8"/>
    <w:rsid w:val="00A9586D"/>
    <w:rsid w:val="00A95D78"/>
    <w:rsid w:val="00A96E63"/>
    <w:rsid w:val="00A9700B"/>
    <w:rsid w:val="00A9747E"/>
    <w:rsid w:val="00AA0C80"/>
    <w:rsid w:val="00AA0C9C"/>
    <w:rsid w:val="00AA1212"/>
    <w:rsid w:val="00AA1235"/>
    <w:rsid w:val="00AA183E"/>
    <w:rsid w:val="00AA18F2"/>
    <w:rsid w:val="00AA1CE3"/>
    <w:rsid w:val="00AA21E5"/>
    <w:rsid w:val="00AA2D2F"/>
    <w:rsid w:val="00AA2F69"/>
    <w:rsid w:val="00AA369A"/>
    <w:rsid w:val="00AA4207"/>
    <w:rsid w:val="00AA468F"/>
    <w:rsid w:val="00AA4F55"/>
    <w:rsid w:val="00AA59B9"/>
    <w:rsid w:val="00AA5D23"/>
    <w:rsid w:val="00AA5D25"/>
    <w:rsid w:val="00AA654B"/>
    <w:rsid w:val="00AA6F13"/>
    <w:rsid w:val="00AA70D5"/>
    <w:rsid w:val="00AA7438"/>
    <w:rsid w:val="00AA78AE"/>
    <w:rsid w:val="00AA7999"/>
    <w:rsid w:val="00AB0C68"/>
    <w:rsid w:val="00AB2014"/>
    <w:rsid w:val="00AB2021"/>
    <w:rsid w:val="00AB2138"/>
    <w:rsid w:val="00AB22EC"/>
    <w:rsid w:val="00AB2A4C"/>
    <w:rsid w:val="00AB2DF0"/>
    <w:rsid w:val="00AB3692"/>
    <w:rsid w:val="00AB36D3"/>
    <w:rsid w:val="00AB3EF9"/>
    <w:rsid w:val="00AB5540"/>
    <w:rsid w:val="00AB599D"/>
    <w:rsid w:val="00AB600F"/>
    <w:rsid w:val="00AB6066"/>
    <w:rsid w:val="00AB6806"/>
    <w:rsid w:val="00AB6A2B"/>
    <w:rsid w:val="00AB6ACD"/>
    <w:rsid w:val="00AB6E89"/>
    <w:rsid w:val="00AB7369"/>
    <w:rsid w:val="00AB7A5C"/>
    <w:rsid w:val="00AB7C66"/>
    <w:rsid w:val="00AC01CF"/>
    <w:rsid w:val="00AC133F"/>
    <w:rsid w:val="00AC1A83"/>
    <w:rsid w:val="00AC1E4E"/>
    <w:rsid w:val="00AC2D3D"/>
    <w:rsid w:val="00AC2F58"/>
    <w:rsid w:val="00AC4391"/>
    <w:rsid w:val="00AC5132"/>
    <w:rsid w:val="00AC54F4"/>
    <w:rsid w:val="00AC62FE"/>
    <w:rsid w:val="00AC6608"/>
    <w:rsid w:val="00AC6B39"/>
    <w:rsid w:val="00AD01EA"/>
    <w:rsid w:val="00AD12A4"/>
    <w:rsid w:val="00AD14B9"/>
    <w:rsid w:val="00AD221D"/>
    <w:rsid w:val="00AD297E"/>
    <w:rsid w:val="00AD34D5"/>
    <w:rsid w:val="00AD4929"/>
    <w:rsid w:val="00AD5344"/>
    <w:rsid w:val="00AD591C"/>
    <w:rsid w:val="00AD60F5"/>
    <w:rsid w:val="00AD61B0"/>
    <w:rsid w:val="00AD6838"/>
    <w:rsid w:val="00AD689D"/>
    <w:rsid w:val="00AD7267"/>
    <w:rsid w:val="00AD7635"/>
    <w:rsid w:val="00AD7CB3"/>
    <w:rsid w:val="00AE019D"/>
    <w:rsid w:val="00AE12BD"/>
    <w:rsid w:val="00AE1E91"/>
    <w:rsid w:val="00AE214F"/>
    <w:rsid w:val="00AE235B"/>
    <w:rsid w:val="00AE3BE2"/>
    <w:rsid w:val="00AE427F"/>
    <w:rsid w:val="00AE4787"/>
    <w:rsid w:val="00AE4A6E"/>
    <w:rsid w:val="00AE4EDF"/>
    <w:rsid w:val="00AE5213"/>
    <w:rsid w:val="00AE581A"/>
    <w:rsid w:val="00AE61DD"/>
    <w:rsid w:val="00AE65DB"/>
    <w:rsid w:val="00AE6655"/>
    <w:rsid w:val="00AE68F5"/>
    <w:rsid w:val="00AE7314"/>
    <w:rsid w:val="00AF02FB"/>
    <w:rsid w:val="00AF07AF"/>
    <w:rsid w:val="00AF0F70"/>
    <w:rsid w:val="00AF15F3"/>
    <w:rsid w:val="00AF1DC7"/>
    <w:rsid w:val="00AF1F55"/>
    <w:rsid w:val="00AF25B4"/>
    <w:rsid w:val="00AF29DC"/>
    <w:rsid w:val="00AF2BCA"/>
    <w:rsid w:val="00AF3176"/>
    <w:rsid w:val="00AF31A7"/>
    <w:rsid w:val="00AF31CA"/>
    <w:rsid w:val="00AF3226"/>
    <w:rsid w:val="00AF3C81"/>
    <w:rsid w:val="00AF3CC5"/>
    <w:rsid w:val="00AF4C0C"/>
    <w:rsid w:val="00AF4C35"/>
    <w:rsid w:val="00AF4EB3"/>
    <w:rsid w:val="00AF5183"/>
    <w:rsid w:val="00AF51F3"/>
    <w:rsid w:val="00AF6519"/>
    <w:rsid w:val="00AF6840"/>
    <w:rsid w:val="00AF6B4A"/>
    <w:rsid w:val="00AF6C62"/>
    <w:rsid w:val="00AF6D61"/>
    <w:rsid w:val="00AF6E7C"/>
    <w:rsid w:val="00AF777F"/>
    <w:rsid w:val="00AF78F8"/>
    <w:rsid w:val="00AF7B69"/>
    <w:rsid w:val="00B003CF"/>
    <w:rsid w:val="00B00570"/>
    <w:rsid w:val="00B0060B"/>
    <w:rsid w:val="00B018B7"/>
    <w:rsid w:val="00B01AA0"/>
    <w:rsid w:val="00B032BC"/>
    <w:rsid w:val="00B03787"/>
    <w:rsid w:val="00B039CE"/>
    <w:rsid w:val="00B03AE7"/>
    <w:rsid w:val="00B03D49"/>
    <w:rsid w:val="00B04560"/>
    <w:rsid w:val="00B0480B"/>
    <w:rsid w:val="00B053FB"/>
    <w:rsid w:val="00B058C6"/>
    <w:rsid w:val="00B059DD"/>
    <w:rsid w:val="00B05DAF"/>
    <w:rsid w:val="00B062BF"/>
    <w:rsid w:val="00B06883"/>
    <w:rsid w:val="00B0691A"/>
    <w:rsid w:val="00B07083"/>
    <w:rsid w:val="00B0755E"/>
    <w:rsid w:val="00B1001E"/>
    <w:rsid w:val="00B10050"/>
    <w:rsid w:val="00B11810"/>
    <w:rsid w:val="00B11A11"/>
    <w:rsid w:val="00B11C1F"/>
    <w:rsid w:val="00B12226"/>
    <w:rsid w:val="00B122F6"/>
    <w:rsid w:val="00B13131"/>
    <w:rsid w:val="00B13767"/>
    <w:rsid w:val="00B17614"/>
    <w:rsid w:val="00B179BE"/>
    <w:rsid w:val="00B206D4"/>
    <w:rsid w:val="00B2079E"/>
    <w:rsid w:val="00B21E7E"/>
    <w:rsid w:val="00B21EFE"/>
    <w:rsid w:val="00B229FF"/>
    <w:rsid w:val="00B22AC8"/>
    <w:rsid w:val="00B232C8"/>
    <w:rsid w:val="00B233EB"/>
    <w:rsid w:val="00B2389C"/>
    <w:rsid w:val="00B23DD5"/>
    <w:rsid w:val="00B23FC8"/>
    <w:rsid w:val="00B25543"/>
    <w:rsid w:val="00B25E29"/>
    <w:rsid w:val="00B26092"/>
    <w:rsid w:val="00B2684B"/>
    <w:rsid w:val="00B26BEF"/>
    <w:rsid w:val="00B26F6A"/>
    <w:rsid w:val="00B27020"/>
    <w:rsid w:val="00B27412"/>
    <w:rsid w:val="00B27B3F"/>
    <w:rsid w:val="00B305DD"/>
    <w:rsid w:val="00B30A99"/>
    <w:rsid w:val="00B30F82"/>
    <w:rsid w:val="00B31754"/>
    <w:rsid w:val="00B31E22"/>
    <w:rsid w:val="00B3202C"/>
    <w:rsid w:val="00B32B9D"/>
    <w:rsid w:val="00B33E11"/>
    <w:rsid w:val="00B34F33"/>
    <w:rsid w:val="00B35380"/>
    <w:rsid w:val="00B353FA"/>
    <w:rsid w:val="00B356FC"/>
    <w:rsid w:val="00B35893"/>
    <w:rsid w:val="00B359EE"/>
    <w:rsid w:val="00B35B79"/>
    <w:rsid w:val="00B35BC6"/>
    <w:rsid w:val="00B3697A"/>
    <w:rsid w:val="00B36A1F"/>
    <w:rsid w:val="00B371F7"/>
    <w:rsid w:val="00B407C5"/>
    <w:rsid w:val="00B42006"/>
    <w:rsid w:val="00B42216"/>
    <w:rsid w:val="00B4242D"/>
    <w:rsid w:val="00B42AB8"/>
    <w:rsid w:val="00B42DBC"/>
    <w:rsid w:val="00B43509"/>
    <w:rsid w:val="00B43807"/>
    <w:rsid w:val="00B4395C"/>
    <w:rsid w:val="00B4473D"/>
    <w:rsid w:val="00B44793"/>
    <w:rsid w:val="00B44811"/>
    <w:rsid w:val="00B44C36"/>
    <w:rsid w:val="00B44EC9"/>
    <w:rsid w:val="00B4507D"/>
    <w:rsid w:val="00B4521A"/>
    <w:rsid w:val="00B457D8"/>
    <w:rsid w:val="00B45A20"/>
    <w:rsid w:val="00B4641D"/>
    <w:rsid w:val="00B467C7"/>
    <w:rsid w:val="00B46A09"/>
    <w:rsid w:val="00B46ADE"/>
    <w:rsid w:val="00B46B62"/>
    <w:rsid w:val="00B47491"/>
    <w:rsid w:val="00B50208"/>
    <w:rsid w:val="00B50CBA"/>
    <w:rsid w:val="00B5182E"/>
    <w:rsid w:val="00B522A9"/>
    <w:rsid w:val="00B5230B"/>
    <w:rsid w:val="00B53E15"/>
    <w:rsid w:val="00B55DF8"/>
    <w:rsid w:val="00B56B73"/>
    <w:rsid w:val="00B56DF1"/>
    <w:rsid w:val="00B57051"/>
    <w:rsid w:val="00B60657"/>
    <w:rsid w:val="00B607B3"/>
    <w:rsid w:val="00B6249D"/>
    <w:rsid w:val="00B6269A"/>
    <w:rsid w:val="00B62890"/>
    <w:rsid w:val="00B62F22"/>
    <w:rsid w:val="00B630A7"/>
    <w:rsid w:val="00B63999"/>
    <w:rsid w:val="00B63A6C"/>
    <w:rsid w:val="00B64496"/>
    <w:rsid w:val="00B64618"/>
    <w:rsid w:val="00B648EC"/>
    <w:rsid w:val="00B6527B"/>
    <w:rsid w:val="00B6682B"/>
    <w:rsid w:val="00B66930"/>
    <w:rsid w:val="00B671F0"/>
    <w:rsid w:val="00B672FB"/>
    <w:rsid w:val="00B67F89"/>
    <w:rsid w:val="00B721F0"/>
    <w:rsid w:val="00B72856"/>
    <w:rsid w:val="00B7338C"/>
    <w:rsid w:val="00B73FCC"/>
    <w:rsid w:val="00B74366"/>
    <w:rsid w:val="00B753A2"/>
    <w:rsid w:val="00B7608E"/>
    <w:rsid w:val="00B760B0"/>
    <w:rsid w:val="00B7624D"/>
    <w:rsid w:val="00B763D4"/>
    <w:rsid w:val="00B76883"/>
    <w:rsid w:val="00B770EB"/>
    <w:rsid w:val="00B77432"/>
    <w:rsid w:val="00B7755C"/>
    <w:rsid w:val="00B77705"/>
    <w:rsid w:val="00B77A0A"/>
    <w:rsid w:val="00B80078"/>
    <w:rsid w:val="00B804C9"/>
    <w:rsid w:val="00B80AA0"/>
    <w:rsid w:val="00B80DAC"/>
    <w:rsid w:val="00B822AD"/>
    <w:rsid w:val="00B82550"/>
    <w:rsid w:val="00B8258E"/>
    <w:rsid w:val="00B82878"/>
    <w:rsid w:val="00B83615"/>
    <w:rsid w:val="00B837D7"/>
    <w:rsid w:val="00B843DE"/>
    <w:rsid w:val="00B848F6"/>
    <w:rsid w:val="00B85086"/>
    <w:rsid w:val="00B867F2"/>
    <w:rsid w:val="00B86F49"/>
    <w:rsid w:val="00B873E6"/>
    <w:rsid w:val="00B874F5"/>
    <w:rsid w:val="00B87565"/>
    <w:rsid w:val="00B87685"/>
    <w:rsid w:val="00B87712"/>
    <w:rsid w:val="00B90A30"/>
    <w:rsid w:val="00B90ACB"/>
    <w:rsid w:val="00B90AD2"/>
    <w:rsid w:val="00B92F1F"/>
    <w:rsid w:val="00B9326D"/>
    <w:rsid w:val="00B93AAC"/>
    <w:rsid w:val="00B93CC2"/>
    <w:rsid w:val="00B9499A"/>
    <w:rsid w:val="00B95D80"/>
    <w:rsid w:val="00B96045"/>
    <w:rsid w:val="00B9691A"/>
    <w:rsid w:val="00B96D29"/>
    <w:rsid w:val="00B9743E"/>
    <w:rsid w:val="00BA05B6"/>
    <w:rsid w:val="00BA08F5"/>
    <w:rsid w:val="00BA0F89"/>
    <w:rsid w:val="00BA1BDF"/>
    <w:rsid w:val="00BA1D6F"/>
    <w:rsid w:val="00BA2637"/>
    <w:rsid w:val="00BA2C54"/>
    <w:rsid w:val="00BA35B6"/>
    <w:rsid w:val="00BA3629"/>
    <w:rsid w:val="00BA3DC2"/>
    <w:rsid w:val="00BA441D"/>
    <w:rsid w:val="00BA4D85"/>
    <w:rsid w:val="00BA4E03"/>
    <w:rsid w:val="00BA4EC4"/>
    <w:rsid w:val="00BA4EF9"/>
    <w:rsid w:val="00BA512E"/>
    <w:rsid w:val="00BA517C"/>
    <w:rsid w:val="00BA522E"/>
    <w:rsid w:val="00BA5727"/>
    <w:rsid w:val="00BA5789"/>
    <w:rsid w:val="00BA5E7D"/>
    <w:rsid w:val="00BA650E"/>
    <w:rsid w:val="00BA68C5"/>
    <w:rsid w:val="00BA7312"/>
    <w:rsid w:val="00BA7482"/>
    <w:rsid w:val="00BA7C7B"/>
    <w:rsid w:val="00BA7FD8"/>
    <w:rsid w:val="00BB1262"/>
    <w:rsid w:val="00BB1289"/>
    <w:rsid w:val="00BB16AE"/>
    <w:rsid w:val="00BB2548"/>
    <w:rsid w:val="00BB2F12"/>
    <w:rsid w:val="00BB3635"/>
    <w:rsid w:val="00BB4D8F"/>
    <w:rsid w:val="00BB4F89"/>
    <w:rsid w:val="00BB54F1"/>
    <w:rsid w:val="00BB69DC"/>
    <w:rsid w:val="00BB6A1B"/>
    <w:rsid w:val="00BB6CD6"/>
    <w:rsid w:val="00BB7DF4"/>
    <w:rsid w:val="00BC18B1"/>
    <w:rsid w:val="00BC1A06"/>
    <w:rsid w:val="00BC247A"/>
    <w:rsid w:val="00BC2928"/>
    <w:rsid w:val="00BC2DA4"/>
    <w:rsid w:val="00BC3EDF"/>
    <w:rsid w:val="00BC3FE2"/>
    <w:rsid w:val="00BC497E"/>
    <w:rsid w:val="00BC5270"/>
    <w:rsid w:val="00BC5970"/>
    <w:rsid w:val="00BC5986"/>
    <w:rsid w:val="00BC5C6C"/>
    <w:rsid w:val="00BC6522"/>
    <w:rsid w:val="00BC66CC"/>
    <w:rsid w:val="00BC66DC"/>
    <w:rsid w:val="00BC7F9C"/>
    <w:rsid w:val="00BD016C"/>
    <w:rsid w:val="00BD0753"/>
    <w:rsid w:val="00BD0A24"/>
    <w:rsid w:val="00BD1278"/>
    <w:rsid w:val="00BD2162"/>
    <w:rsid w:val="00BD313C"/>
    <w:rsid w:val="00BD314F"/>
    <w:rsid w:val="00BD31FE"/>
    <w:rsid w:val="00BD3945"/>
    <w:rsid w:val="00BD46B9"/>
    <w:rsid w:val="00BD4C39"/>
    <w:rsid w:val="00BD7894"/>
    <w:rsid w:val="00BE12F4"/>
    <w:rsid w:val="00BE1A03"/>
    <w:rsid w:val="00BE1F4E"/>
    <w:rsid w:val="00BE229E"/>
    <w:rsid w:val="00BE22A2"/>
    <w:rsid w:val="00BE2FFB"/>
    <w:rsid w:val="00BE3588"/>
    <w:rsid w:val="00BE3A6B"/>
    <w:rsid w:val="00BE3AA8"/>
    <w:rsid w:val="00BE42EE"/>
    <w:rsid w:val="00BE432E"/>
    <w:rsid w:val="00BE4346"/>
    <w:rsid w:val="00BE47FF"/>
    <w:rsid w:val="00BE4ADF"/>
    <w:rsid w:val="00BE4B86"/>
    <w:rsid w:val="00BE4FD5"/>
    <w:rsid w:val="00BE57EF"/>
    <w:rsid w:val="00BE5A41"/>
    <w:rsid w:val="00BE6773"/>
    <w:rsid w:val="00BE68B6"/>
    <w:rsid w:val="00BE6C17"/>
    <w:rsid w:val="00BE6FB5"/>
    <w:rsid w:val="00BE778B"/>
    <w:rsid w:val="00BE7C88"/>
    <w:rsid w:val="00BF18FA"/>
    <w:rsid w:val="00BF1FF7"/>
    <w:rsid w:val="00BF22AE"/>
    <w:rsid w:val="00BF27E4"/>
    <w:rsid w:val="00BF31E0"/>
    <w:rsid w:val="00BF3CB0"/>
    <w:rsid w:val="00BF4852"/>
    <w:rsid w:val="00BF4A18"/>
    <w:rsid w:val="00BF56C4"/>
    <w:rsid w:val="00BF57AE"/>
    <w:rsid w:val="00BF58AF"/>
    <w:rsid w:val="00BF5936"/>
    <w:rsid w:val="00BF5CFD"/>
    <w:rsid w:val="00BF6345"/>
    <w:rsid w:val="00BF66E5"/>
    <w:rsid w:val="00BF6B33"/>
    <w:rsid w:val="00BF6F44"/>
    <w:rsid w:val="00BF6FB5"/>
    <w:rsid w:val="00BF742A"/>
    <w:rsid w:val="00BF7686"/>
    <w:rsid w:val="00C00495"/>
    <w:rsid w:val="00C0059A"/>
    <w:rsid w:val="00C00B7D"/>
    <w:rsid w:val="00C01746"/>
    <w:rsid w:val="00C01855"/>
    <w:rsid w:val="00C02635"/>
    <w:rsid w:val="00C0269E"/>
    <w:rsid w:val="00C02C44"/>
    <w:rsid w:val="00C03427"/>
    <w:rsid w:val="00C03457"/>
    <w:rsid w:val="00C03A20"/>
    <w:rsid w:val="00C03C73"/>
    <w:rsid w:val="00C03CB0"/>
    <w:rsid w:val="00C04A09"/>
    <w:rsid w:val="00C059C3"/>
    <w:rsid w:val="00C06980"/>
    <w:rsid w:val="00C0720C"/>
    <w:rsid w:val="00C078CD"/>
    <w:rsid w:val="00C079D0"/>
    <w:rsid w:val="00C07D4E"/>
    <w:rsid w:val="00C10102"/>
    <w:rsid w:val="00C1015C"/>
    <w:rsid w:val="00C1100C"/>
    <w:rsid w:val="00C1147A"/>
    <w:rsid w:val="00C116E2"/>
    <w:rsid w:val="00C11A9E"/>
    <w:rsid w:val="00C11ABF"/>
    <w:rsid w:val="00C11C15"/>
    <w:rsid w:val="00C11C20"/>
    <w:rsid w:val="00C11DDA"/>
    <w:rsid w:val="00C12970"/>
    <w:rsid w:val="00C132FC"/>
    <w:rsid w:val="00C13655"/>
    <w:rsid w:val="00C13BC9"/>
    <w:rsid w:val="00C13C87"/>
    <w:rsid w:val="00C14392"/>
    <w:rsid w:val="00C1488F"/>
    <w:rsid w:val="00C14BC0"/>
    <w:rsid w:val="00C155F8"/>
    <w:rsid w:val="00C1567B"/>
    <w:rsid w:val="00C15DF0"/>
    <w:rsid w:val="00C16408"/>
    <w:rsid w:val="00C1660D"/>
    <w:rsid w:val="00C16BC8"/>
    <w:rsid w:val="00C17344"/>
    <w:rsid w:val="00C17E55"/>
    <w:rsid w:val="00C2071C"/>
    <w:rsid w:val="00C2199B"/>
    <w:rsid w:val="00C225D4"/>
    <w:rsid w:val="00C22865"/>
    <w:rsid w:val="00C22B64"/>
    <w:rsid w:val="00C22D11"/>
    <w:rsid w:val="00C22E12"/>
    <w:rsid w:val="00C22F59"/>
    <w:rsid w:val="00C23442"/>
    <w:rsid w:val="00C249B5"/>
    <w:rsid w:val="00C24EA7"/>
    <w:rsid w:val="00C25126"/>
    <w:rsid w:val="00C261E2"/>
    <w:rsid w:val="00C26703"/>
    <w:rsid w:val="00C27CA6"/>
    <w:rsid w:val="00C303A1"/>
    <w:rsid w:val="00C31445"/>
    <w:rsid w:val="00C31492"/>
    <w:rsid w:val="00C314A9"/>
    <w:rsid w:val="00C321B7"/>
    <w:rsid w:val="00C327D3"/>
    <w:rsid w:val="00C32A5D"/>
    <w:rsid w:val="00C32DE7"/>
    <w:rsid w:val="00C3300D"/>
    <w:rsid w:val="00C330FF"/>
    <w:rsid w:val="00C33173"/>
    <w:rsid w:val="00C33662"/>
    <w:rsid w:val="00C33DCD"/>
    <w:rsid w:val="00C34C62"/>
    <w:rsid w:val="00C350C3"/>
    <w:rsid w:val="00C355DD"/>
    <w:rsid w:val="00C3568B"/>
    <w:rsid w:val="00C35ADF"/>
    <w:rsid w:val="00C35E30"/>
    <w:rsid w:val="00C35F87"/>
    <w:rsid w:val="00C363CF"/>
    <w:rsid w:val="00C37AE0"/>
    <w:rsid w:val="00C401EE"/>
    <w:rsid w:val="00C4068D"/>
    <w:rsid w:val="00C40B65"/>
    <w:rsid w:val="00C4150F"/>
    <w:rsid w:val="00C42789"/>
    <w:rsid w:val="00C42BA7"/>
    <w:rsid w:val="00C42CD9"/>
    <w:rsid w:val="00C43962"/>
    <w:rsid w:val="00C441D0"/>
    <w:rsid w:val="00C44722"/>
    <w:rsid w:val="00C4478F"/>
    <w:rsid w:val="00C44801"/>
    <w:rsid w:val="00C454DA"/>
    <w:rsid w:val="00C4588D"/>
    <w:rsid w:val="00C4615B"/>
    <w:rsid w:val="00C46245"/>
    <w:rsid w:val="00C4634B"/>
    <w:rsid w:val="00C46D4F"/>
    <w:rsid w:val="00C4718D"/>
    <w:rsid w:val="00C4738A"/>
    <w:rsid w:val="00C47C04"/>
    <w:rsid w:val="00C47FDC"/>
    <w:rsid w:val="00C5048F"/>
    <w:rsid w:val="00C50721"/>
    <w:rsid w:val="00C50E69"/>
    <w:rsid w:val="00C511B6"/>
    <w:rsid w:val="00C51523"/>
    <w:rsid w:val="00C515AD"/>
    <w:rsid w:val="00C52027"/>
    <w:rsid w:val="00C540FE"/>
    <w:rsid w:val="00C54DB8"/>
    <w:rsid w:val="00C55F7B"/>
    <w:rsid w:val="00C562B5"/>
    <w:rsid w:val="00C5658C"/>
    <w:rsid w:val="00C5675B"/>
    <w:rsid w:val="00C5682F"/>
    <w:rsid w:val="00C56DC6"/>
    <w:rsid w:val="00C572A0"/>
    <w:rsid w:val="00C57436"/>
    <w:rsid w:val="00C577BE"/>
    <w:rsid w:val="00C57C26"/>
    <w:rsid w:val="00C57F9C"/>
    <w:rsid w:val="00C616EB"/>
    <w:rsid w:val="00C62E51"/>
    <w:rsid w:val="00C6333E"/>
    <w:rsid w:val="00C6338C"/>
    <w:rsid w:val="00C638FE"/>
    <w:rsid w:val="00C63F48"/>
    <w:rsid w:val="00C6443E"/>
    <w:rsid w:val="00C64AEB"/>
    <w:rsid w:val="00C64DE7"/>
    <w:rsid w:val="00C65053"/>
    <w:rsid w:val="00C65152"/>
    <w:rsid w:val="00C65153"/>
    <w:rsid w:val="00C65918"/>
    <w:rsid w:val="00C66740"/>
    <w:rsid w:val="00C66ACB"/>
    <w:rsid w:val="00C66F78"/>
    <w:rsid w:val="00C67BB3"/>
    <w:rsid w:val="00C704A5"/>
    <w:rsid w:val="00C70C84"/>
    <w:rsid w:val="00C712B6"/>
    <w:rsid w:val="00C714EA"/>
    <w:rsid w:val="00C71A65"/>
    <w:rsid w:val="00C736C0"/>
    <w:rsid w:val="00C73796"/>
    <w:rsid w:val="00C7410E"/>
    <w:rsid w:val="00C744A9"/>
    <w:rsid w:val="00C75A2C"/>
    <w:rsid w:val="00C761BC"/>
    <w:rsid w:val="00C763BB"/>
    <w:rsid w:val="00C80011"/>
    <w:rsid w:val="00C80C65"/>
    <w:rsid w:val="00C80F73"/>
    <w:rsid w:val="00C8147F"/>
    <w:rsid w:val="00C81B63"/>
    <w:rsid w:val="00C82218"/>
    <w:rsid w:val="00C82223"/>
    <w:rsid w:val="00C82F29"/>
    <w:rsid w:val="00C82F66"/>
    <w:rsid w:val="00C83510"/>
    <w:rsid w:val="00C83A28"/>
    <w:rsid w:val="00C83A3E"/>
    <w:rsid w:val="00C83D2E"/>
    <w:rsid w:val="00C8424E"/>
    <w:rsid w:val="00C843EB"/>
    <w:rsid w:val="00C844A1"/>
    <w:rsid w:val="00C84A09"/>
    <w:rsid w:val="00C84A79"/>
    <w:rsid w:val="00C84CDB"/>
    <w:rsid w:val="00C85207"/>
    <w:rsid w:val="00C865C1"/>
    <w:rsid w:val="00C86778"/>
    <w:rsid w:val="00C87CC7"/>
    <w:rsid w:val="00C87E49"/>
    <w:rsid w:val="00C87F38"/>
    <w:rsid w:val="00C87FF5"/>
    <w:rsid w:val="00C90F09"/>
    <w:rsid w:val="00C927D0"/>
    <w:rsid w:val="00C92A19"/>
    <w:rsid w:val="00C92AEA"/>
    <w:rsid w:val="00C92EE1"/>
    <w:rsid w:val="00C943ED"/>
    <w:rsid w:val="00C9491E"/>
    <w:rsid w:val="00C94D9C"/>
    <w:rsid w:val="00C94E50"/>
    <w:rsid w:val="00C94FFF"/>
    <w:rsid w:val="00C9550B"/>
    <w:rsid w:val="00C96A4E"/>
    <w:rsid w:val="00C96AB9"/>
    <w:rsid w:val="00C97528"/>
    <w:rsid w:val="00C97B86"/>
    <w:rsid w:val="00CA0143"/>
    <w:rsid w:val="00CA0DD8"/>
    <w:rsid w:val="00CA341D"/>
    <w:rsid w:val="00CA3797"/>
    <w:rsid w:val="00CA3C00"/>
    <w:rsid w:val="00CA429E"/>
    <w:rsid w:val="00CA43F9"/>
    <w:rsid w:val="00CA47F7"/>
    <w:rsid w:val="00CA4B2E"/>
    <w:rsid w:val="00CA4F49"/>
    <w:rsid w:val="00CA51E2"/>
    <w:rsid w:val="00CA5601"/>
    <w:rsid w:val="00CA5A53"/>
    <w:rsid w:val="00CA6C91"/>
    <w:rsid w:val="00CA7105"/>
    <w:rsid w:val="00CA74E3"/>
    <w:rsid w:val="00CA7750"/>
    <w:rsid w:val="00CA79FF"/>
    <w:rsid w:val="00CB07FD"/>
    <w:rsid w:val="00CB17FC"/>
    <w:rsid w:val="00CB19B9"/>
    <w:rsid w:val="00CB1BFB"/>
    <w:rsid w:val="00CB29E2"/>
    <w:rsid w:val="00CB2F1C"/>
    <w:rsid w:val="00CB2FB8"/>
    <w:rsid w:val="00CB316E"/>
    <w:rsid w:val="00CB3212"/>
    <w:rsid w:val="00CB367A"/>
    <w:rsid w:val="00CB3BB9"/>
    <w:rsid w:val="00CB3DE3"/>
    <w:rsid w:val="00CB4E69"/>
    <w:rsid w:val="00CB53DF"/>
    <w:rsid w:val="00CB5AC3"/>
    <w:rsid w:val="00CB672D"/>
    <w:rsid w:val="00CB6CC9"/>
    <w:rsid w:val="00CB7046"/>
    <w:rsid w:val="00CB7906"/>
    <w:rsid w:val="00CB7B36"/>
    <w:rsid w:val="00CC0534"/>
    <w:rsid w:val="00CC0A54"/>
    <w:rsid w:val="00CC0EA6"/>
    <w:rsid w:val="00CC104D"/>
    <w:rsid w:val="00CC1179"/>
    <w:rsid w:val="00CC135D"/>
    <w:rsid w:val="00CC13D3"/>
    <w:rsid w:val="00CC193E"/>
    <w:rsid w:val="00CC1F13"/>
    <w:rsid w:val="00CC21BF"/>
    <w:rsid w:val="00CC277A"/>
    <w:rsid w:val="00CC29FC"/>
    <w:rsid w:val="00CC2A41"/>
    <w:rsid w:val="00CC357F"/>
    <w:rsid w:val="00CC4441"/>
    <w:rsid w:val="00CC45D4"/>
    <w:rsid w:val="00CC4A2A"/>
    <w:rsid w:val="00CC4BAB"/>
    <w:rsid w:val="00CC52AA"/>
    <w:rsid w:val="00CC6036"/>
    <w:rsid w:val="00CC64AE"/>
    <w:rsid w:val="00CC7A78"/>
    <w:rsid w:val="00CD0C63"/>
    <w:rsid w:val="00CD0D3A"/>
    <w:rsid w:val="00CD10FB"/>
    <w:rsid w:val="00CD179B"/>
    <w:rsid w:val="00CD1BA9"/>
    <w:rsid w:val="00CD2320"/>
    <w:rsid w:val="00CD39A9"/>
    <w:rsid w:val="00CD3E22"/>
    <w:rsid w:val="00CD4C77"/>
    <w:rsid w:val="00CD5186"/>
    <w:rsid w:val="00CD5529"/>
    <w:rsid w:val="00CD58AD"/>
    <w:rsid w:val="00CD5FF5"/>
    <w:rsid w:val="00CD66AD"/>
    <w:rsid w:val="00CD6830"/>
    <w:rsid w:val="00CD72D9"/>
    <w:rsid w:val="00CD756A"/>
    <w:rsid w:val="00CD7955"/>
    <w:rsid w:val="00CD7D7D"/>
    <w:rsid w:val="00CD7ECD"/>
    <w:rsid w:val="00CE09B4"/>
    <w:rsid w:val="00CE0B44"/>
    <w:rsid w:val="00CE0C3F"/>
    <w:rsid w:val="00CE1BC0"/>
    <w:rsid w:val="00CE2DEE"/>
    <w:rsid w:val="00CE382D"/>
    <w:rsid w:val="00CE4556"/>
    <w:rsid w:val="00CE4BDD"/>
    <w:rsid w:val="00CE5A50"/>
    <w:rsid w:val="00CE5CDB"/>
    <w:rsid w:val="00CE6532"/>
    <w:rsid w:val="00CE69DC"/>
    <w:rsid w:val="00CE6EEC"/>
    <w:rsid w:val="00CE7131"/>
    <w:rsid w:val="00CF01FC"/>
    <w:rsid w:val="00CF0797"/>
    <w:rsid w:val="00CF1BDE"/>
    <w:rsid w:val="00CF551F"/>
    <w:rsid w:val="00CF56F6"/>
    <w:rsid w:val="00CF639E"/>
    <w:rsid w:val="00CF6E2A"/>
    <w:rsid w:val="00CF6E91"/>
    <w:rsid w:val="00CF75B0"/>
    <w:rsid w:val="00CF75C5"/>
    <w:rsid w:val="00CF7777"/>
    <w:rsid w:val="00CF7AD2"/>
    <w:rsid w:val="00CF7C5B"/>
    <w:rsid w:val="00D001A1"/>
    <w:rsid w:val="00D00B87"/>
    <w:rsid w:val="00D00D00"/>
    <w:rsid w:val="00D01103"/>
    <w:rsid w:val="00D0117D"/>
    <w:rsid w:val="00D01372"/>
    <w:rsid w:val="00D013E7"/>
    <w:rsid w:val="00D0286A"/>
    <w:rsid w:val="00D031A2"/>
    <w:rsid w:val="00D03555"/>
    <w:rsid w:val="00D0385D"/>
    <w:rsid w:val="00D03D9A"/>
    <w:rsid w:val="00D03F2D"/>
    <w:rsid w:val="00D0456B"/>
    <w:rsid w:val="00D04A42"/>
    <w:rsid w:val="00D06015"/>
    <w:rsid w:val="00D06400"/>
    <w:rsid w:val="00D06D4C"/>
    <w:rsid w:val="00D06FAE"/>
    <w:rsid w:val="00D0748A"/>
    <w:rsid w:val="00D0789E"/>
    <w:rsid w:val="00D10913"/>
    <w:rsid w:val="00D11497"/>
    <w:rsid w:val="00D11AFA"/>
    <w:rsid w:val="00D11EA2"/>
    <w:rsid w:val="00D139C0"/>
    <w:rsid w:val="00D13A89"/>
    <w:rsid w:val="00D13D22"/>
    <w:rsid w:val="00D1423E"/>
    <w:rsid w:val="00D1470B"/>
    <w:rsid w:val="00D14D15"/>
    <w:rsid w:val="00D151CC"/>
    <w:rsid w:val="00D15260"/>
    <w:rsid w:val="00D153BA"/>
    <w:rsid w:val="00D15BCB"/>
    <w:rsid w:val="00D15C6C"/>
    <w:rsid w:val="00D15E6D"/>
    <w:rsid w:val="00D16606"/>
    <w:rsid w:val="00D16C0A"/>
    <w:rsid w:val="00D1748D"/>
    <w:rsid w:val="00D206AC"/>
    <w:rsid w:val="00D21505"/>
    <w:rsid w:val="00D21585"/>
    <w:rsid w:val="00D21677"/>
    <w:rsid w:val="00D218C6"/>
    <w:rsid w:val="00D21910"/>
    <w:rsid w:val="00D21C2E"/>
    <w:rsid w:val="00D21E7A"/>
    <w:rsid w:val="00D22650"/>
    <w:rsid w:val="00D22818"/>
    <w:rsid w:val="00D22B6C"/>
    <w:rsid w:val="00D22D91"/>
    <w:rsid w:val="00D234D6"/>
    <w:rsid w:val="00D23CF8"/>
    <w:rsid w:val="00D25706"/>
    <w:rsid w:val="00D25978"/>
    <w:rsid w:val="00D26279"/>
    <w:rsid w:val="00D266DB"/>
    <w:rsid w:val="00D2693D"/>
    <w:rsid w:val="00D269B5"/>
    <w:rsid w:val="00D2700C"/>
    <w:rsid w:val="00D27253"/>
    <w:rsid w:val="00D2739F"/>
    <w:rsid w:val="00D30889"/>
    <w:rsid w:val="00D309F1"/>
    <w:rsid w:val="00D30AB6"/>
    <w:rsid w:val="00D30C4F"/>
    <w:rsid w:val="00D30FDB"/>
    <w:rsid w:val="00D32033"/>
    <w:rsid w:val="00D322BD"/>
    <w:rsid w:val="00D32A0E"/>
    <w:rsid w:val="00D32ABD"/>
    <w:rsid w:val="00D33376"/>
    <w:rsid w:val="00D335E8"/>
    <w:rsid w:val="00D33998"/>
    <w:rsid w:val="00D33F06"/>
    <w:rsid w:val="00D34003"/>
    <w:rsid w:val="00D35772"/>
    <w:rsid w:val="00D37454"/>
    <w:rsid w:val="00D376ED"/>
    <w:rsid w:val="00D37D10"/>
    <w:rsid w:val="00D40054"/>
    <w:rsid w:val="00D41543"/>
    <w:rsid w:val="00D425B6"/>
    <w:rsid w:val="00D42B04"/>
    <w:rsid w:val="00D4486D"/>
    <w:rsid w:val="00D45B67"/>
    <w:rsid w:val="00D45C91"/>
    <w:rsid w:val="00D464E7"/>
    <w:rsid w:val="00D46A01"/>
    <w:rsid w:val="00D4731E"/>
    <w:rsid w:val="00D4753E"/>
    <w:rsid w:val="00D47A9D"/>
    <w:rsid w:val="00D47B92"/>
    <w:rsid w:val="00D47CC6"/>
    <w:rsid w:val="00D50011"/>
    <w:rsid w:val="00D50C22"/>
    <w:rsid w:val="00D516C1"/>
    <w:rsid w:val="00D521A2"/>
    <w:rsid w:val="00D521BA"/>
    <w:rsid w:val="00D52772"/>
    <w:rsid w:val="00D52B2B"/>
    <w:rsid w:val="00D551A1"/>
    <w:rsid w:val="00D55610"/>
    <w:rsid w:val="00D5693D"/>
    <w:rsid w:val="00D57302"/>
    <w:rsid w:val="00D603FF"/>
    <w:rsid w:val="00D60AAD"/>
    <w:rsid w:val="00D60B20"/>
    <w:rsid w:val="00D60E24"/>
    <w:rsid w:val="00D61284"/>
    <w:rsid w:val="00D61C77"/>
    <w:rsid w:val="00D61EAD"/>
    <w:rsid w:val="00D61EDC"/>
    <w:rsid w:val="00D61EED"/>
    <w:rsid w:val="00D6279F"/>
    <w:rsid w:val="00D634E4"/>
    <w:rsid w:val="00D63C01"/>
    <w:rsid w:val="00D63CCF"/>
    <w:rsid w:val="00D6442D"/>
    <w:rsid w:val="00D64605"/>
    <w:rsid w:val="00D64F35"/>
    <w:rsid w:val="00D655F5"/>
    <w:rsid w:val="00D65907"/>
    <w:rsid w:val="00D65959"/>
    <w:rsid w:val="00D65A9B"/>
    <w:rsid w:val="00D663B4"/>
    <w:rsid w:val="00D6683F"/>
    <w:rsid w:val="00D668AA"/>
    <w:rsid w:val="00D66D50"/>
    <w:rsid w:val="00D66ED8"/>
    <w:rsid w:val="00D67A5D"/>
    <w:rsid w:val="00D67AE0"/>
    <w:rsid w:val="00D700B9"/>
    <w:rsid w:val="00D7075E"/>
    <w:rsid w:val="00D70C4F"/>
    <w:rsid w:val="00D72406"/>
    <w:rsid w:val="00D73102"/>
    <w:rsid w:val="00D7322C"/>
    <w:rsid w:val="00D7392E"/>
    <w:rsid w:val="00D74048"/>
    <w:rsid w:val="00D74509"/>
    <w:rsid w:val="00D749E4"/>
    <w:rsid w:val="00D74A81"/>
    <w:rsid w:val="00D74FCF"/>
    <w:rsid w:val="00D7596F"/>
    <w:rsid w:val="00D75D58"/>
    <w:rsid w:val="00D761E1"/>
    <w:rsid w:val="00D7662D"/>
    <w:rsid w:val="00D769C2"/>
    <w:rsid w:val="00D77319"/>
    <w:rsid w:val="00D77B6C"/>
    <w:rsid w:val="00D77B88"/>
    <w:rsid w:val="00D77F7E"/>
    <w:rsid w:val="00D807E7"/>
    <w:rsid w:val="00D80E99"/>
    <w:rsid w:val="00D810B4"/>
    <w:rsid w:val="00D81390"/>
    <w:rsid w:val="00D81FDB"/>
    <w:rsid w:val="00D825D6"/>
    <w:rsid w:val="00D82EAB"/>
    <w:rsid w:val="00D834D2"/>
    <w:rsid w:val="00D8365D"/>
    <w:rsid w:val="00D83A1B"/>
    <w:rsid w:val="00D83D8B"/>
    <w:rsid w:val="00D83E5A"/>
    <w:rsid w:val="00D848D4"/>
    <w:rsid w:val="00D84F8A"/>
    <w:rsid w:val="00D8530E"/>
    <w:rsid w:val="00D853AC"/>
    <w:rsid w:val="00D853B4"/>
    <w:rsid w:val="00D8578E"/>
    <w:rsid w:val="00D85B80"/>
    <w:rsid w:val="00D85EEC"/>
    <w:rsid w:val="00D862C8"/>
    <w:rsid w:val="00D865AE"/>
    <w:rsid w:val="00D86FC1"/>
    <w:rsid w:val="00D86FC4"/>
    <w:rsid w:val="00D87436"/>
    <w:rsid w:val="00D874AF"/>
    <w:rsid w:val="00D876CC"/>
    <w:rsid w:val="00D87A00"/>
    <w:rsid w:val="00D90F5B"/>
    <w:rsid w:val="00D91F0E"/>
    <w:rsid w:val="00D91FC6"/>
    <w:rsid w:val="00D92885"/>
    <w:rsid w:val="00D92B5E"/>
    <w:rsid w:val="00D92E21"/>
    <w:rsid w:val="00D92F55"/>
    <w:rsid w:val="00D93783"/>
    <w:rsid w:val="00D9386B"/>
    <w:rsid w:val="00D94C9D"/>
    <w:rsid w:val="00D94CB0"/>
    <w:rsid w:val="00D94EAF"/>
    <w:rsid w:val="00D95333"/>
    <w:rsid w:val="00D95AB7"/>
    <w:rsid w:val="00D96726"/>
    <w:rsid w:val="00D96AE6"/>
    <w:rsid w:val="00D97881"/>
    <w:rsid w:val="00D97E87"/>
    <w:rsid w:val="00DA03CF"/>
    <w:rsid w:val="00DA0905"/>
    <w:rsid w:val="00DA095D"/>
    <w:rsid w:val="00DA09B9"/>
    <w:rsid w:val="00DA0AB3"/>
    <w:rsid w:val="00DA0C1D"/>
    <w:rsid w:val="00DA26D4"/>
    <w:rsid w:val="00DA2956"/>
    <w:rsid w:val="00DA3082"/>
    <w:rsid w:val="00DA37EA"/>
    <w:rsid w:val="00DA3926"/>
    <w:rsid w:val="00DA3B6D"/>
    <w:rsid w:val="00DA3C74"/>
    <w:rsid w:val="00DA3D1F"/>
    <w:rsid w:val="00DA4B3B"/>
    <w:rsid w:val="00DA5CD6"/>
    <w:rsid w:val="00DA5D3E"/>
    <w:rsid w:val="00DA6100"/>
    <w:rsid w:val="00DA6131"/>
    <w:rsid w:val="00DA69A3"/>
    <w:rsid w:val="00DA6AA4"/>
    <w:rsid w:val="00DA7208"/>
    <w:rsid w:val="00DA7333"/>
    <w:rsid w:val="00DA7A34"/>
    <w:rsid w:val="00DB072F"/>
    <w:rsid w:val="00DB07EA"/>
    <w:rsid w:val="00DB10D4"/>
    <w:rsid w:val="00DB1174"/>
    <w:rsid w:val="00DB153E"/>
    <w:rsid w:val="00DB1C42"/>
    <w:rsid w:val="00DB29E4"/>
    <w:rsid w:val="00DB29E8"/>
    <w:rsid w:val="00DB34D1"/>
    <w:rsid w:val="00DB3750"/>
    <w:rsid w:val="00DB385F"/>
    <w:rsid w:val="00DB3F5F"/>
    <w:rsid w:val="00DB43D3"/>
    <w:rsid w:val="00DB4746"/>
    <w:rsid w:val="00DB52FC"/>
    <w:rsid w:val="00DB59B4"/>
    <w:rsid w:val="00DB604C"/>
    <w:rsid w:val="00DB60A3"/>
    <w:rsid w:val="00DB60AD"/>
    <w:rsid w:val="00DB61DF"/>
    <w:rsid w:val="00DB66FF"/>
    <w:rsid w:val="00DB675D"/>
    <w:rsid w:val="00DB6ED1"/>
    <w:rsid w:val="00DB77D9"/>
    <w:rsid w:val="00DC1B18"/>
    <w:rsid w:val="00DC1CC4"/>
    <w:rsid w:val="00DC2597"/>
    <w:rsid w:val="00DC29C3"/>
    <w:rsid w:val="00DC2EF3"/>
    <w:rsid w:val="00DC349E"/>
    <w:rsid w:val="00DC3F6C"/>
    <w:rsid w:val="00DC48DA"/>
    <w:rsid w:val="00DC4C57"/>
    <w:rsid w:val="00DC52B8"/>
    <w:rsid w:val="00DC7198"/>
    <w:rsid w:val="00DC7880"/>
    <w:rsid w:val="00DC7BC8"/>
    <w:rsid w:val="00DD0996"/>
    <w:rsid w:val="00DD0D1D"/>
    <w:rsid w:val="00DD1128"/>
    <w:rsid w:val="00DD1284"/>
    <w:rsid w:val="00DD181C"/>
    <w:rsid w:val="00DD20D3"/>
    <w:rsid w:val="00DD2463"/>
    <w:rsid w:val="00DD29C8"/>
    <w:rsid w:val="00DD2D7E"/>
    <w:rsid w:val="00DD33D6"/>
    <w:rsid w:val="00DD3B3D"/>
    <w:rsid w:val="00DD4384"/>
    <w:rsid w:val="00DD5DE5"/>
    <w:rsid w:val="00DD5E37"/>
    <w:rsid w:val="00DD60D5"/>
    <w:rsid w:val="00DD6125"/>
    <w:rsid w:val="00DD7057"/>
    <w:rsid w:val="00DE06CB"/>
    <w:rsid w:val="00DE083F"/>
    <w:rsid w:val="00DE0B00"/>
    <w:rsid w:val="00DE10A2"/>
    <w:rsid w:val="00DE1219"/>
    <w:rsid w:val="00DE1B2C"/>
    <w:rsid w:val="00DE1B9E"/>
    <w:rsid w:val="00DE246A"/>
    <w:rsid w:val="00DE284C"/>
    <w:rsid w:val="00DE3023"/>
    <w:rsid w:val="00DE3411"/>
    <w:rsid w:val="00DE37D0"/>
    <w:rsid w:val="00DE39E4"/>
    <w:rsid w:val="00DE4114"/>
    <w:rsid w:val="00DE50DF"/>
    <w:rsid w:val="00DE533E"/>
    <w:rsid w:val="00DE616D"/>
    <w:rsid w:val="00DE61DD"/>
    <w:rsid w:val="00DE6368"/>
    <w:rsid w:val="00DE7242"/>
    <w:rsid w:val="00DE7665"/>
    <w:rsid w:val="00DE79C4"/>
    <w:rsid w:val="00DF024A"/>
    <w:rsid w:val="00DF0284"/>
    <w:rsid w:val="00DF0DEC"/>
    <w:rsid w:val="00DF1EF9"/>
    <w:rsid w:val="00DF293D"/>
    <w:rsid w:val="00DF3B0E"/>
    <w:rsid w:val="00DF4617"/>
    <w:rsid w:val="00DF4750"/>
    <w:rsid w:val="00DF47F0"/>
    <w:rsid w:val="00DF57BB"/>
    <w:rsid w:val="00DF65AF"/>
    <w:rsid w:val="00DF68FB"/>
    <w:rsid w:val="00DF6928"/>
    <w:rsid w:val="00DF75F2"/>
    <w:rsid w:val="00DF787A"/>
    <w:rsid w:val="00DF7DDB"/>
    <w:rsid w:val="00E002B5"/>
    <w:rsid w:val="00E004EC"/>
    <w:rsid w:val="00E00E95"/>
    <w:rsid w:val="00E00EE1"/>
    <w:rsid w:val="00E01454"/>
    <w:rsid w:val="00E03256"/>
    <w:rsid w:val="00E0389B"/>
    <w:rsid w:val="00E04994"/>
    <w:rsid w:val="00E04E36"/>
    <w:rsid w:val="00E05044"/>
    <w:rsid w:val="00E05845"/>
    <w:rsid w:val="00E06542"/>
    <w:rsid w:val="00E07986"/>
    <w:rsid w:val="00E07A64"/>
    <w:rsid w:val="00E07A70"/>
    <w:rsid w:val="00E07B76"/>
    <w:rsid w:val="00E10409"/>
    <w:rsid w:val="00E10866"/>
    <w:rsid w:val="00E108CB"/>
    <w:rsid w:val="00E10A07"/>
    <w:rsid w:val="00E11344"/>
    <w:rsid w:val="00E119BB"/>
    <w:rsid w:val="00E11A21"/>
    <w:rsid w:val="00E11D9E"/>
    <w:rsid w:val="00E11EB7"/>
    <w:rsid w:val="00E12209"/>
    <w:rsid w:val="00E12D64"/>
    <w:rsid w:val="00E1315D"/>
    <w:rsid w:val="00E13DC1"/>
    <w:rsid w:val="00E13FA1"/>
    <w:rsid w:val="00E14811"/>
    <w:rsid w:val="00E1483A"/>
    <w:rsid w:val="00E149BD"/>
    <w:rsid w:val="00E14D3A"/>
    <w:rsid w:val="00E154B4"/>
    <w:rsid w:val="00E15725"/>
    <w:rsid w:val="00E1573F"/>
    <w:rsid w:val="00E15E14"/>
    <w:rsid w:val="00E179D7"/>
    <w:rsid w:val="00E2056C"/>
    <w:rsid w:val="00E20B3F"/>
    <w:rsid w:val="00E21DD4"/>
    <w:rsid w:val="00E2241C"/>
    <w:rsid w:val="00E22828"/>
    <w:rsid w:val="00E22BFE"/>
    <w:rsid w:val="00E2302B"/>
    <w:rsid w:val="00E23712"/>
    <w:rsid w:val="00E248E7"/>
    <w:rsid w:val="00E24E19"/>
    <w:rsid w:val="00E25C7E"/>
    <w:rsid w:val="00E25D74"/>
    <w:rsid w:val="00E2658A"/>
    <w:rsid w:val="00E2662F"/>
    <w:rsid w:val="00E27C59"/>
    <w:rsid w:val="00E305D3"/>
    <w:rsid w:val="00E30735"/>
    <w:rsid w:val="00E30B01"/>
    <w:rsid w:val="00E30C3A"/>
    <w:rsid w:val="00E30E61"/>
    <w:rsid w:val="00E31A62"/>
    <w:rsid w:val="00E3235B"/>
    <w:rsid w:val="00E3248F"/>
    <w:rsid w:val="00E326B9"/>
    <w:rsid w:val="00E32A3A"/>
    <w:rsid w:val="00E32DA7"/>
    <w:rsid w:val="00E3305F"/>
    <w:rsid w:val="00E33419"/>
    <w:rsid w:val="00E33891"/>
    <w:rsid w:val="00E339FD"/>
    <w:rsid w:val="00E33C16"/>
    <w:rsid w:val="00E34578"/>
    <w:rsid w:val="00E34B56"/>
    <w:rsid w:val="00E34D65"/>
    <w:rsid w:val="00E35042"/>
    <w:rsid w:val="00E352BE"/>
    <w:rsid w:val="00E3568A"/>
    <w:rsid w:val="00E35EC5"/>
    <w:rsid w:val="00E36A55"/>
    <w:rsid w:val="00E37C8C"/>
    <w:rsid w:val="00E37E77"/>
    <w:rsid w:val="00E40CF7"/>
    <w:rsid w:val="00E40DD9"/>
    <w:rsid w:val="00E40E5E"/>
    <w:rsid w:val="00E4103B"/>
    <w:rsid w:val="00E4123C"/>
    <w:rsid w:val="00E41F86"/>
    <w:rsid w:val="00E4254A"/>
    <w:rsid w:val="00E42681"/>
    <w:rsid w:val="00E4293F"/>
    <w:rsid w:val="00E42D7E"/>
    <w:rsid w:val="00E42DCF"/>
    <w:rsid w:val="00E43C6E"/>
    <w:rsid w:val="00E443FC"/>
    <w:rsid w:val="00E4476C"/>
    <w:rsid w:val="00E45681"/>
    <w:rsid w:val="00E456E6"/>
    <w:rsid w:val="00E459C3"/>
    <w:rsid w:val="00E45FD3"/>
    <w:rsid w:val="00E45FD9"/>
    <w:rsid w:val="00E46985"/>
    <w:rsid w:val="00E46C4B"/>
    <w:rsid w:val="00E46F99"/>
    <w:rsid w:val="00E476B4"/>
    <w:rsid w:val="00E47D8B"/>
    <w:rsid w:val="00E50708"/>
    <w:rsid w:val="00E50738"/>
    <w:rsid w:val="00E50976"/>
    <w:rsid w:val="00E50E90"/>
    <w:rsid w:val="00E50EE3"/>
    <w:rsid w:val="00E51101"/>
    <w:rsid w:val="00E51163"/>
    <w:rsid w:val="00E517C7"/>
    <w:rsid w:val="00E51C31"/>
    <w:rsid w:val="00E52275"/>
    <w:rsid w:val="00E52555"/>
    <w:rsid w:val="00E527C6"/>
    <w:rsid w:val="00E52A7A"/>
    <w:rsid w:val="00E5301A"/>
    <w:rsid w:val="00E531A3"/>
    <w:rsid w:val="00E531E5"/>
    <w:rsid w:val="00E54314"/>
    <w:rsid w:val="00E54658"/>
    <w:rsid w:val="00E54DFE"/>
    <w:rsid w:val="00E55103"/>
    <w:rsid w:val="00E559EC"/>
    <w:rsid w:val="00E561D9"/>
    <w:rsid w:val="00E56679"/>
    <w:rsid w:val="00E56AF9"/>
    <w:rsid w:val="00E56E31"/>
    <w:rsid w:val="00E5704E"/>
    <w:rsid w:val="00E571FD"/>
    <w:rsid w:val="00E57396"/>
    <w:rsid w:val="00E5794A"/>
    <w:rsid w:val="00E57B88"/>
    <w:rsid w:val="00E57BA3"/>
    <w:rsid w:val="00E57C75"/>
    <w:rsid w:val="00E6086E"/>
    <w:rsid w:val="00E6181F"/>
    <w:rsid w:val="00E63282"/>
    <w:rsid w:val="00E63392"/>
    <w:rsid w:val="00E6359A"/>
    <w:rsid w:val="00E6563E"/>
    <w:rsid w:val="00E65987"/>
    <w:rsid w:val="00E67287"/>
    <w:rsid w:val="00E6784E"/>
    <w:rsid w:val="00E679BB"/>
    <w:rsid w:val="00E679C3"/>
    <w:rsid w:val="00E67FA7"/>
    <w:rsid w:val="00E70064"/>
    <w:rsid w:val="00E728F0"/>
    <w:rsid w:val="00E72EDC"/>
    <w:rsid w:val="00E73260"/>
    <w:rsid w:val="00E73C2E"/>
    <w:rsid w:val="00E73F1C"/>
    <w:rsid w:val="00E7402A"/>
    <w:rsid w:val="00E7510C"/>
    <w:rsid w:val="00E75A00"/>
    <w:rsid w:val="00E75F5E"/>
    <w:rsid w:val="00E764A3"/>
    <w:rsid w:val="00E764AA"/>
    <w:rsid w:val="00E76B8D"/>
    <w:rsid w:val="00E76E6F"/>
    <w:rsid w:val="00E77142"/>
    <w:rsid w:val="00E77EB7"/>
    <w:rsid w:val="00E80B50"/>
    <w:rsid w:val="00E80ED7"/>
    <w:rsid w:val="00E811C9"/>
    <w:rsid w:val="00E82AA8"/>
    <w:rsid w:val="00E82AF7"/>
    <w:rsid w:val="00E830B2"/>
    <w:rsid w:val="00E833BE"/>
    <w:rsid w:val="00E83659"/>
    <w:rsid w:val="00E836D6"/>
    <w:rsid w:val="00E8403D"/>
    <w:rsid w:val="00E84D22"/>
    <w:rsid w:val="00E84D2C"/>
    <w:rsid w:val="00E84E39"/>
    <w:rsid w:val="00E84E6F"/>
    <w:rsid w:val="00E84F76"/>
    <w:rsid w:val="00E853D3"/>
    <w:rsid w:val="00E85E42"/>
    <w:rsid w:val="00E87FAB"/>
    <w:rsid w:val="00E907AE"/>
    <w:rsid w:val="00E908BC"/>
    <w:rsid w:val="00E90C15"/>
    <w:rsid w:val="00E90E5D"/>
    <w:rsid w:val="00E916E7"/>
    <w:rsid w:val="00E91713"/>
    <w:rsid w:val="00E91BA8"/>
    <w:rsid w:val="00E92174"/>
    <w:rsid w:val="00E931C9"/>
    <w:rsid w:val="00E9516A"/>
    <w:rsid w:val="00E95E2F"/>
    <w:rsid w:val="00E968C1"/>
    <w:rsid w:val="00E968E8"/>
    <w:rsid w:val="00E96954"/>
    <w:rsid w:val="00E96C45"/>
    <w:rsid w:val="00E96EB6"/>
    <w:rsid w:val="00E97094"/>
    <w:rsid w:val="00E97EBB"/>
    <w:rsid w:val="00EA077F"/>
    <w:rsid w:val="00EA0799"/>
    <w:rsid w:val="00EA0E5A"/>
    <w:rsid w:val="00EA1234"/>
    <w:rsid w:val="00EA1384"/>
    <w:rsid w:val="00EA189E"/>
    <w:rsid w:val="00EA18CC"/>
    <w:rsid w:val="00EA2AE2"/>
    <w:rsid w:val="00EA300D"/>
    <w:rsid w:val="00EA3CF2"/>
    <w:rsid w:val="00EA401B"/>
    <w:rsid w:val="00EA4272"/>
    <w:rsid w:val="00EA43FD"/>
    <w:rsid w:val="00EA45EB"/>
    <w:rsid w:val="00EA5C30"/>
    <w:rsid w:val="00EA6562"/>
    <w:rsid w:val="00EA661A"/>
    <w:rsid w:val="00EA682E"/>
    <w:rsid w:val="00EA6DDA"/>
    <w:rsid w:val="00EA7798"/>
    <w:rsid w:val="00EA7A5B"/>
    <w:rsid w:val="00EB0473"/>
    <w:rsid w:val="00EB0960"/>
    <w:rsid w:val="00EB0E09"/>
    <w:rsid w:val="00EB156B"/>
    <w:rsid w:val="00EB1C05"/>
    <w:rsid w:val="00EB1C93"/>
    <w:rsid w:val="00EB20B2"/>
    <w:rsid w:val="00EB2855"/>
    <w:rsid w:val="00EB2A70"/>
    <w:rsid w:val="00EB3859"/>
    <w:rsid w:val="00EB412B"/>
    <w:rsid w:val="00EB4E36"/>
    <w:rsid w:val="00EB6016"/>
    <w:rsid w:val="00EB7015"/>
    <w:rsid w:val="00EB7AB4"/>
    <w:rsid w:val="00EC0499"/>
    <w:rsid w:val="00EC0F2F"/>
    <w:rsid w:val="00EC10C1"/>
    <w:rsid w:val="00EC183C"/>
    <w:rsid w:val="00EC24F0"/>
    <w:rsid w:val="00EC2848"/>
    <w:rsid w:val="00EC2FE5"/>
    <w:rsid w:val="00EC3594"/>
    <w:rsid w:val="00EC36B4"/>
    <w:rsid w:val="00EC38AE"/>
    <w:rsid w:val="00EC3E93"/>
    <w:rsid w:val="00EC40A6"/>
    <w:rsid w:val="00EC4871"/>
    <w:rsid w:val="00EC65BF"/>
    <w:rsid w:val="00EC6E70"/>
    <w:rsid w:val="00EC7946"/>
    <w:rsid w:val="00ED027B"/>
    <w:rsid w:val="00ED04C3"/>
    <w:rsid w:val="00ED0722"/>
    <w:rsid w:val="00ED0B6C"/>
    <w:rsid w:val="00ED0D0B"/>
    <w:rsid w:val="00ED13AE"/>
    <w:rsid w:val="00ED1979"/>
    <w:rsid w:val="00ED19B0"/>
    <w:rsid w:val="00ED1A9E"/>
    <w:rsid w:val="00ED25FF"/>
    <w:rsid w:val="00ED318C"/>
    <w:rsid w:val="00ED3CE9"/>
    <w:rsid w:val="00ED3E44"/>
    <w:rsid w:val="00ED3F1B"/>
    <w:rsid w:val="00ED4168"/>
    <w:rsid w:val="00ED418A"/>
    <w:rsid w:val="00ED4991"/>
    <w:rsid w:val="00ED49D9"/>
    <w:rsid w:val="00ED528B"/>
    <w:rsid w:val="00ED5D4D"/>
    <w:rsid w:val="00ED6714"/>
    <w:rsid w:val="00ED6EF1"/>
    <w:rsid w:val="00ED7655"/>
    <w:rsid w:val="00ED77A3"/>
    <w:rsid w:val="00EE01BC"/>
    <w:rsid w:val="00EE0375"/>
    <w:rsid w:val="00EE194C"/>
    <w:rsid w:val="00EE3166"/>
    <w:rsid w:val="00EE354F"/>
    <w:rsid w:val="00EE3A17"/>
    <w:rsid w:val="00EE4114"/>
    <w:rsid w:val="00EE4637"/>
    <w:rsid w:val="00EE5027"/>
    <w:rsid w:val="00EE511A"/>
    <w:rsid w:val="00EE6535"/>
    <w:rsid w:val="00EE662D"/>
    <w:rsid w:val="00EE6DF2"/>
    <w:rsid w:val="00EE6E9E"/>
    <w:rsid w:val="00EE76B1"/>
    <w:rsid w:val="00EE7AE4"/>
    <w:rsid w:val="00EF1147"/>
    <w:rsid w:val="00EF17B6"/>
    <w:rsid w:val="00EF1C14"/>
    <w:rsid w:val="00EF1F42"/>
    <w:rsid w:val="00EF3226"/>
    <w:rsid w:val="00EF3880"/>
    <w:rsid w:val="00EF3D6F"/>
    <w:rsid w:val="00EF3E7F"/>
    <w:rsid w:val="00EF4234"/>
    <w:rsid w:val="00EF45CE"/>
    <w:rsid w:val="00EF4C2C"/>
    <w:rsid w:val="00EF7039"/>
    <w:rsid w:val="00EF7040"/>
    <w:rsid w:val="00EF704A"/>
    <w:rsid w:val="00EF774D"/>
    <w:rsid w:val="00F0001F"/>
    <w:rsid w:val="00F00266"/>
    <w:rsid w:val="00F00598"/>
    <w:rsid w:val="00F00695"/>
    <w:rsid w:val="00F008AF"/>
    <w:rsid w:val="00F009C4"/>
    <w:rsid w:val="00F00B94"/>
    <w:rsid w:val="00F01189"/>
    <w:rsid w:val="00F011C0"/>
    <w:rsid w:val="00F0161C"/>
    <w:rsid w:val="00F016D6"/>
    <w:rsid w:val="00F018DC"/>
    <w:rsid w:val="00F01A93"/>
    <w:rsid w:val="00F022EC"/>
    <w:rsid w:val="00F032BC"/>
    <w:rsid w:val="00F03546"/>
    <w:rsid w:val="00F03D9A"/>
    <w:rsid w:val="00F03EF8"/>
    <w:rsid w:val="00F04CA7"/>
    <w:rsid w:val="00F0543B"/>
    <w:rsid w:val="00F0564A"/>
    <w:rsid w:val="00F05C24"/>
    <w:rsid w:val="00F0607C"/>
    <w:rsid w:val="00F0622B"/>
    <w:rsid w:val="00F066B7"/>
    <w:rsid w:val="00F066F8"/>
    <w:rsid w:val="00F067A7"/>
    <w:rsid w:val="00F06C2E"/>
    <w:rsid w:val="00F10A11"/>
    <w:rsid w:val="00F11075"/>
    <w:rsid w:val="00F11990"/>
    <w:rsid w:val="00F11DC8"/>
    <w:rsid w:val="00F135DB"/>
    <w:rsid w:val="00F135F8"/>
    <w:rsid w:val="00F13A33"/>
    <w:rsid w:val="00F14334"/>
    <w:rsid w:val="00F14563"/>
    <w:rsid w:val="00F146F2"/>
    <w:rsid w:val="00F14BD3"/>
    <w:rsid w:val="00F1587F"/>
    <w:rsid w:val="00F15F0C"/>
    <w:rsid w:val="00F16296"/>
    <w:rsid w:val="00F16FC2"/>
    <w:rsid w:val="00F17969"/>
    <w:rsid w:val="00F17CCE"/>
    <w:rsid w:val="00F17E32"/>
    <w:rsid w:val="00F20704"/>
    <w:rsid w:val="00F21BC5"/>
    <w:rsid w:val="00F21D2A"/>
    <w:rsid w:val="00F22506"/>
    <w:rsid w:val="00F22CBC"/>
    <w:rsid w:val="00F22F20"/>
    <w:rsid w:val="00F23487"/>
    <w:rsid w:val="00F23B99"/>
    <w:rsid w:val="00F23BB9"/>
    <w:rsid w:val="00F23BBF"/>
    <w:rsid w:val="00F23F45"/>
    <w:rsid w:val="00F24349"/>
    <w:rsid w:val="00F2437A"/>
    <w:rsid w:val="00F24A5E"/>
    <w:rsid w:val="00F24BFD"/>
    <w:rsid w:val="00F26B6D"/>
    <w:rsid w:val="00F2773F"/>
    <w:rsid w:val="00F27F36"/>
    <w:rsid w:val="00F3031E"/>
    <w:rsid w:val="00F309EE"/>
    <w:rsid w:val="00F30BFF"/>
    <w:rsid w:val="00F30D51"/>
    <w:rsid w:val="00F31D96"/>
    <w:rsid w:val="00F322E2"/>
    <w:rsid w:val="00F327F1"/>
    <w:rsid w:val="00F32885"/>
    <w:rsid w:val="00F33275"/>
    <w:rsid w:val="00F33845"/>
    <w:rsid w:val="00F338DE"/>
    <w:rsid w:val="00F340CD"/>
    <w:rsid w:val="00F3472A"/>
    <w:rsid w:val="00F35EE3"/>
    <w:rsid w:val="00F3686F"/>
    <w:rsid w:val="00F36C08"/>
    <w:rsid w:val="00F41547"/>
    <w:rsid w:val="00F4164D"/>
    <w:rsid w:val="00F41E75"/>
    <w:rsid w:val="00F440D1"/>
    <w:rsid w:val="00F44A19"/>
    <w:rsid w:val="00F44C70"/>
    <w:rsid w:val="00F45416"/>
    <w:rsid w:val="00F45E11"/>
    <w:rsid w:val="00F46163"/>
    <w:rsid w:val="00F466E5"/>
    <w:rsid w:val="00F47E15"/>
    <w:rsid w:val="00F5028D"/>
    <w:rsid w:val="00F507D8"/>
    <w:rsid w:val="00F51AB9"/>
    <w:rsid w:val="00F52672"/>
    <w:rsid w:val="00F52729"/>
    <w:rsid w:val="00F527F4"/>
    <w:rsid w:val="00F52B7C"/>
    <w:rsid w:val="00F53337"/>
    <w:rsid w:val="00F55014"/>
    <w:rsid w:val="00F55441"/>
    <w:rsid w:val="00F554F9"/>
    <w:rsid w:val="00F55DD8"/>
    <w:rsid w:val="00F56665"/>
    <w:rsid w:val="00F56B8C"/>
    <w:rsid w:val="00F56E7D"/>
    <w:rsid w:val="00F601BA"/>
    <w:rsid w:val="00F61973"/>
    <w:rsid w:val="00F61AFE"/>
    <w:rsid w:val="00F61B91"/>
    <w:rsid w:val="00F61C77"/>
    <w:rsid w:val="00F61D70"/>
    <w:rsid w:val="00F62012"/>
    <w:rsid w:val="00F62B9D"/>
    <w:rsid w:val="00F62C58"/>
    <w:rsid w:val="00F62FBF"/>
    <w:rsid w:val="00F6332F"/>
    <w:rsid w:val="00F636C9"/>
    <w:rsid w:val="00F64299"/>
    <w:rsid w:val="00F64732"/>
    <w:rsid w:val="00F66250"/>
    <w:rsid w:val="00F66BE3"/>
    <w:rsid w:val="00F66CC9"/>
    <w:rsid w:val="00F66E77"/>
    <w:rsid w:val="00F6719A"/>
    <w:rsid w:val="00F674EE"/>
    <w:rsid w:val="00F67C0F"/>
    <w:rsid w:val="00F70AD8"/>
    <w:rsid w:val="00F713F4"/>
    <w:rsid w:val="00F717F6"/>
    <w:rsid w:val="00F71A3D"/>
    <w:rsid w:val="00F72054"/>
    <w:rsid w:val="00F72068"/>
    <w:rsid w:val="00F723D1"/>
    <w:rsid w:val="00F72BBC"/>
    <w:rsid w:val="00F74168"/>
    <w:rsid w:val="00F748D2"/>
    <w:rsid w:val="00F754D5"/>
    <w:rsid w:val="00F75518"/>
    <w:rsid w:val="00F7581A"/>
    <w:rsid w:val="00F75AA5"/>
    <w:rsid w:val="00F7642B"/>
    <w:rsid w:val="00F77885"/>
    <w:rsid w:val="00F77A31"/>
    <w:rsid w:val="00F77ED2"/>
    <w:rsid w:val="00F77EDF"/>
    <w:rsid w:val="00F80125"/>
    <w:rsid w:val="00F80336"/>
    <w:rsid w:val="00F807FE"/>
    <w:rsid w:val="00F80A95"/>
    <w:rsid w:val="00F80B46"/>
    <w:rsid w:val="00F8186D"/>
    <w:rsid w:val="00F81AE0"/>
    <w:rsid w:val="00F822EB"/>
    <w:rsid w:val="00F82575"/>
    <w:rsid w:val="00F828BD"/>
    <w:rsid w:val="00F83010"/>
    <w:rsid w:val="00F83220"/>
    <w:rsid w:val="00F83F9A"/>
    <w:rsid w:val="00F846C7"/>
    <w:rsid w:val="00F84835"/>
    <w:rsid w:val="00F85918"/>
    <w:rsid w:val="00F8654C"/>
    <w:rsid w:val="00F866A3"/>
    <w:rsid w:val="00F8730D"/>
    <w:rsid w:val="00F87C7A"/>
    <w:rsid w:val="00F90790"/>
    <w:rsid w:val="00F90877"/>
    <w:rsid w:val="00F908BA"/>
    <w:rsid w:val="00F90CDB"/>
    <w:rsid w:val="00F90EDF"/>
    <w:rsid w:val="00F915D9"/>
    <w:rsid w:val="00F919A6"/>
    <w:rsid w:val="00F91A94"/>
    <w:rsid w:val="00F92C86"/>
    <w:rsid w:val="00F9323C"/>
    <w:rsid w:val="00F9552C"/>
    <w:rsid w:val="00F95DF2"/>
    <w:rsid w:val="00F96BFD"/>
    <w:rsid w:val="00F97CE7"/>
    <w:rsid w:val="00FA0095"/>
    <w:rsid w:val="00FA05AA"/>
    <w:rsid w:val="00FA0ACA"/>
    <w:rsid w:val="00FA0DA2"/>
    <w:rsid w:val="00FA1107"/>
    <w:rsid w:val="00FA1558"/>
    <w:rsid w:val="00FA15B6"/>
    <w:rsid w:val="00FA1833"/>
    <w:rsid w:val="00FA1CD2"/>
    <w:rsid w:val="00FA1EB7"/>
    <w:rsid w:val="00FA27E6"/>
    <w:rsid w:val="00FA3D43"/>
    <w:rsid w:val="00FA3E50"/>
    <w:rsid w:val="00FA4B95"/>
    <w:rsid w:val="00FA4D05"/>
    <w:rsid w:val="00FA5564"/>
    <w:rsid w:val="00FA55E6"/>
    <w:rsid w:val="00FA5B1B"/>
    <w:rsid w:val="00FA5E5C"/>
    <w:rsid w:val="00FA6BF2"/>
    <w:rsid w:val="00FA72A8"/>
    <w:rsid w:val="00FA73A3"/>
    <w:rsid w:val="00FB0072"/>
    <w:rsid w:val="00FB05FD"/>
    <w:rsid w:val="00FB1E4D"/>
    <w:rsid w:val="00FB2EA8"/>
    <w:rsid w:val="00FB3AE4"/>
    <w:rsid w:val="00FB3E46"/>
    <w:rsid w:val="00FB4836"/>
    <w:rsid w:val="00FB48B1"/>
    <w:rsid w:val="00FB4A95"/>
    <w:rsid w:val="00FB4EE4"/>
    <w:rsid w:val="00FB551C"/>
    <w:rsid w:val="00FB5E1D"/>
    <w:rsid w:val="00FB5F14"/>
    <w:rsid w:val="00FB67F3"/>
    <w:rsid w:val="00FB6D7B"/>
    <w:rsid w:val="00FB750E"/>
    <w:rsid w:val="00FC0454"/>
    <w:rsid w:val="00FC087E"/>
    <w:rsid w:val="00FC2283"/>
    <w:rsid w:val="00FC2599"/>
    <w:rsid w:val="00FC312B"/>
    <w:rsid w:val="00FC3E00"/>
    <w:rsid w:val="00FC4715"/>
    <w:rsid w:val="00FC488E"/>
    <w:rsid w:val="00FC4A61"/>
    <w:rsid w:val="00FC4B35"/>
    <w:rsid w:val="00FC4ECD"/>
    <w:rsid w:val="00FC4FE3"/>
    <w:rsid w:val="00FC54D2"/>
    <w:rsid w:val="00FC60C3"/>
    <w:rsid w:val="00FC684C"/>
    <w:rsid w:val="00FC68B9"/>
    <w:rsid w:val="00FD095D"/>
    <w:rsid w:val="00FD138B"/>
    <w:rsid w:val="00FD1410"/>
    <w:rsid w:val="00FD192C"/>
    <w:rsid w:val="00FD20FF"/>
    <w:rsid w:val="00FD3085"/>
    <w:rsid w:val="00FD314A"/>
    <w:rsid w:val="00FD3821"/>
    <w:rsid w:val="00FD4963"/>
    <w:rsid w:val="00FD6262"/>
    <w:rsid w:val="00FD62BF"/>
    <w:rsid w:val="00FD6343"/>
    <w:rsid w:val="00FD709F"/>
    <w:rsid w:val="00FD78C8"/>
    <w:rsid w:val="00FE15EF"/>
    <w:rsid w:val="00FE1723"/>
    <w:rsid w:val="00FE189D"/>
    <w:rsid w:val="00FE196F"/>
    <w:rsid w:val="00FE2658"/>
    <w:rsid w:val="00FE2AAA"/>
    <w:rsid w:val="00FE2EB3"/>
    <w:rsid w:val="00FE3005"/>
    <w:rsid w:val="00FE397F"/>
    <w:rsid w:val="00FE3E70"/>
    <w:rsid w:val="00FE47ED"/>
    <w:rsid w:val="00FE4BC6"/>
    <w:rsid w:val="00FE4F81"/>
    <w:rsid w:val="00FE527E"/>
    <w:rsid w:val="00FE664A"/>
    <w:rsid w:val="00FF0916"/>
    <w:rsid w:val="00FF0E14"/>
    <w:rsid w:val="00FF0E34"/>
    <w:rsid w:val="00FF13E5"/>
    <w:rsid w:val="00FF15FC"/>
    <w:rsid w:val="00FF183F"/>
    <w:rsid w:val="00FF1B30"/>
    <w:rsid w:val="00FF1E72"/>
    <w:rsid w:val="00FF205A"/>
    <w:rsid w:val="00FF24B2"/>
    <w:rsid w:val="00FF261D"/>
    <w:rsid w:val="00FF34A9"/>
    <w:rsid w:val="00FF3594"/>
    <w:rsid w:val="00FF4215"/>
    <w:rsid w:val="00FF44E5"/>
    <w:rsid w:val="00FF46FB"/>
    <w:rsid w:val="00FF4715"/>
    <w:rsid w:val="00FF4756"/>
    <w:rsid w:val="00FF4C5E"/>
    <w:rsid w:val="00FF4EBE"/>
    <w:rsid w:val="00FF5015"/>
    <w:rsid w:val="00FF616A"/>
    <w:rsid w:val="00FF6D04"/>
    <w:rsid w:val="00FF6F06"/>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27FC72"/>
  <w15:docId w15:val="{17775397-BC5A-49BD-A264-4B776AE6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9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E02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0E02FC"/>
    <w:pPr>
      <w:keepNext/>
      <w:jc w:val="center"/>
      <w:outlineLvl w:val="1"/>
    </w:pPr>
    <w:rPr>
      <w:sz w:val="28"/>
      <w:szCs w:val="28"/>
      <w:lang w:eastAsia="fr-FR"/>
    </w:rPr>
  </w:style>
  <w:style w:type="paragraph" w:styleId="Heading3">
    <w:name w:val="heading 3"/>
    <w:basedOn w:val="Normal"/>
    <w:next w:val="Normal"/>
    <w:link w:val="Heading3Char"/>
    <w:uiPriority w:val="9"/>
    <w:unhideWhenUsed/>
    <w:qFormat/>
    <w:rsid w:val="00E2658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02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0E02FC"/>
    <w:rPr>
      <w:rFonts w:ascii="Times New Roman" w:eastAsia="Times New Roman" w:hAnsi="Times New Roman" w:cs="Times New Roman"/>
      <w:sz w:val="28"/>
      <w:szCs w:val="28"/>
      <w:lang w:eastAsia="fr-FR"/>
    </w:rPr>
  </w:style>
  <w:style w:type="paragraph" w:styleId="BalloonText">
    <w:name w:val="Balloon Text"/>
    <w:basedOn w:val="Normal"/>
    <w:link w:val="BalloonTextChar"/>
    <w:uiPriority w:val="99"/>
    <w:semiHidden/>
    <w:rsid w:val="000E02FC"/>
    <w:rPr>
      <w:rFonts w:ascii="Tahoma" w:hAnsi="Tahoma" w:cs="Tahoma"/>
      <w:sz w:val="16"/>
      <w:szCs w:val="16"/>
    </w:rPr>
  </w:style>
  <w:style w:type="character" w:customStyle="1" w:styleId="BalloonTextChar">
    <w:name w:val="Balloon Text Char"/>
    <w:basedOn w:val="DefaultParagraphFont"/>
    <w:link w:val="BalloonText"/>
    <w:uiPriority w:val="99"/>
    <w:semiHidden/>
    <w:rsid w:val="000E02FC"/>
    <w:rPr>
      <w:rFonts w:ascii="Tahoma" w:eastAsia="Times New Roman" w:hAnsi="Tahoma" w:cs="Tahoma"/>
      <w:sz w:val="16"/>
      <w:szCs w:val="16"/>
    </w:rPr>
  </w:style>
  <w:style w:type="paragraph" w:styleId="BodyText">
    <w:name w:val="Body Text"/>
    <w:basedOn w:val="Normal"/>
    <w:link w:val="BodyTextChar"/>
    <w:uiPriority w:val="99"/>
    <w:rsid w:val="000E02FC"/>
    <w:pPr>
      <w:spacing w:after="120"/>
    </w:pPr>
  </w:style>
  <w:style w:type="character" w:customStyle="1" w:styleId="BodyTextChar">
    <w:name w:val="Body Text Char"/>
    <w:basedOn w:val="DefaultParagraphFont"/>
    <w:link w:val="BodyText"/>
    <w:uiPriority w:val="99"/>
    <w:rsid w:val="000E02FC"/>
    <w:rPr>
      <w:rFonts w:ascii="Times New Roman" w:eastAsia="Times New Roman" w:hAnsi="Times New Roman" w:cs="Times New Roman"/>
      <w:sz w:val="24"/>
      <w:szCs w:val="24"/>
    </w:rPr>
  </w:style>
  <w:style w:type="character" w:customStyle="1" w:styleId="sensecontent1">
    <w:name w:val="sense_content1"/>
    <w:basedOn w:val="DefaultParagraphFont"/>
    <w:uiPriority w:val="99"/>
    <w:rsid w:val="000E02FC"/>
    <w:rPr>
      <w:rFonts w:ascii="Times New Roman" w:hAnsi="Times New Roman" w:cs="Times New Roman"/>
    </w:rPr>
  </w:style>
  <w:style w:type="character" w:customStyle="1" w:styleId="syn1">
    <w:name w:val="syn1"/>
    <w:basedOn w:val="DefaultParagraphFont"/>
    <w:uiPriority w:val="99"/>
    <w:rsid w:val="000E02FC"/>
    <w:rPr>
      <w:rFonts w:cs="Times New Roman"/>
    </w:rPr>
  </w:style>
  <w:style w:type="character" w:customStyle="1" w:styleId="EndnoteTextChar">
    <w:name w:val="Endnote Text Char"/>
    <w:basedOn w:val="DefaultParagraphFont"/>
    <w:link w:val="EndnoteText"/>
    <w:uiPriority w:val="99"/>
    <w:semiHidden/>
    <w:rsid w:val="000E02FC"/>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rsid w:val="000E02FC"/>
    <w:rPr>
      <w:sz w:val="20"/>
      <w:szCs w:val="20"/>
    </w:rPr>
  </w:style>
  <w:style w:type="paragraph" w:styleId="FootnoteText">
    <w:name w:val="footnote text"/>
    <w:basedOn w:val="Normal"/>
    <w:link w:val="FootnoteTextChar"/>
    <w:uiPriority w:val="99"/>
    <w:rsid w:val="000E02FC"/>
    <w:rPr>
      <w:sz w:val="20"/>
      <w:szCs w:val="20"/>
    </w:rPr>
  </w:style>
  <w:style w:type="character" w:customStyle="1" w:styleId="FootnoteTextChar">
    <w:name w:val="Footnote Text Char"/>
    <w:basedOn w:val="DefaultParagraphFont"/>
    <w:link w:val="FootnoteText"/>
    <w:uiPriority w:val="99"/>
    <w:rsid w:val="000E02FC"/>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0E02FC"/>
    <w:rPr>
      <w:rFonts w:cs="Times New Roman"/>
      <w:vertAlign w:val="superscript"/>
    </w:rPr>
  </w:style>
  <w:style w:type="paragraph" w:styleId="ListParagraph">
    <w:name w:val="List Paragraph"/>
    <w:basedOn w:val="Normal"/>
    <w:uiPriority w:val="34"/>
    <w:qFormat/>
    <w:rsid w:val="000E02FC"/>
    <w:pPr>
      <w:ind w:left="720"/>
    </w:pPr>
  </w:style>
  <w:style w:type="paragraph" w:customStyle="1" w:styleId="ColorfulList-Accent11">
    <w:name w:val="Colorful List - Accent 11"/>
    <w:basedOn w:val="Normal"/>
    <w:uiPriority w:val="99"/>
    <w:rsid w:val="000E02FC"/>
    <w:pPr>
      <w:spacing w:after="200" w:line="276" w:lineRule="auto"/>
      <w:ind w:left="720"/>
    </w:pPr>
    <w:rPr>
      <w:rFonts w:ascii="Calibri" w:hAnsi="Calibri" w:cs="Calibri"/>
      <w:sz w:val="22"/>
      <w:szCs w:val="22"/>
      <w:lang w:val="en-CA"/>
    </w:rPr>
  </w:style>
  <w:style w:type="paragraph" w:styleId="Caption">
    <w:name w:val="caption"/>
    <w:basedOn w:val="Normal"/>
    <w:next w:val="Normal"/>
    <w:uiPriority w:val="35"/>
    <w:qFormat/>
    <w:rsid w:val="000E02FC"/>
    <w:pPr>
      <w:spacing w:after="200"/>
    </w:pPr>
    <w:rPr>
      <w:rFonts w:ascii="Calibri" w:hAnsi="Calibri" w:cs="Calibri"/>
      <w:b/>
      <w:bCs/>
      <w:color w:val="4F81BD"/>
      <w:sz w:val="18"/>
      <w:szCs w:val="18"/>
      <w:lang w:val="en-CA"/>
    </w:rPr>
  </w:style>
  <w:style w:type="paragraph" w:styleId="Footer">
    <w:name w:val="footer"/>
    <w:basedOn w:val="Normal"/>
    <w:link w:val="FooterChar"/>
    <w:uiPriority w:val="99"/>
    <w:rsid w:val="000E02FC"/>
    <w:pPr>
      <w:tabs>
        <w:tab w:val="center" w:pos="4844"/>
        <w:tab w:val="right" w:pos="9689"/>
      </w:tabs>
    </w:pPr>
  </w:style>
  <w:style w:type="character" w:customStyle="1" w:styleId="FooterChar">
    <w:name w:val="Footer Char"/>
    <w:basedOn w:val="DefaultParagraphFont"/>
    <w:link w:val="Footer"/>
    <w:uiPriority w:val="99"/>
    <w:rsid w:val="000E02FC"/>
    <w:rPr>
      <w:rFonts w:ascii="Times New Roman" w:eastAsia="Times New Roman" w:hAnsi="Times New Roman" w:cs="Times New Roman"/>
      <w:sz w:val="24"/>
      <w:szCs w:val="24"/>
    </w:rPr>
  </w:style>
  <w:style w:type="character" w:styleId="PageNumber">
    <w:name w:val="page number"/>
    <w:basedOn w:val="DefaultParagraphFont"/>
    <w:uiPriority w:val="99"/>
    <w:rsid w:val="000E02FC"/>
    <w:rPr>
      <w:rFonts w:cs="Times New Roman"/>
    </w:rPr>
  </w:style>
  <w:style w:type="character" w:customStyle="1" w:styleId="CommentTextChar">
    <w:name w:val="Comment Text Char"/>
    <w:basedOn w:val="DefaultParagraphFont"/>
    <w:link w:val="CommentText"/>
    <w:uiPriority w:val="99"/>
    <w:rsid w:val="000E02FC"/>
    <w:rPr>
      <w:rFonts w:ascii="Tahoma" w:eastAsia="Times New Roman" w:hAnsi="Tahoma" w:cs="Tahoma"/>
      <w:sz w:val="16"/>
      <w:szCs w:val="20"/>
    </w:rPr>
  </w:style>
  <w:style w:type="paragraph" w:styleId="CommentText">
    <w:name w:val="annotation text"/>
    <w:basedOn w:val="Normal"/>
    <w:link w:val="CommentTextChar"/>
    <w:uiPriority w:val="99"/>
    <w:rsid w:val="000E02FC"/>
    <w:rPr>
      <w:rFonts w:ascii="Tahoma" w:hAnsi="Tahoma" w:cs="Tahoma"/>
      <w:sz w:val="16"/>
      <w:szCs w:val="20"/>
    </w:rPr>
  </w:style>
  <w:style w:type="character" w:customStyle="1" w:styleId="CommentSubjectChar">
    <w:name w:val="Comment Subject Char"/>
    <w:basedOn w:val="CommentTextChar"/>
    <w:link w:val="CommentSubject"/>
    <w:uiPriority w:val="99"/>
    <w:semiHidden/>
    <w:rsid w:val="000E02FC"/>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0E02FC"/>
    <w:rPr>
      <w:b/>
      <w:bCs/>
    </w:rPr>
  </w:style>
  <w:style w:type="character" w:customStyle="1" w:styleId="medium-font1">
    <w:name w:val="medium-font1"/>
    <w:basedOn w:val="DefaultParagraphFont"/>
    <w:uiPriority w:val="99"/>
    <w:rsid w:val="000E02FC"/>
    <w:rPr>
      <w:rFonts w:cs="Times New Roman"/>
      <w:sz w:val="19"/>
      <w:szCs w:val="19"/>
    </w:rPr>
  </w:style>
  <w:style w:type="character" w:styleId="Hyperlink">
    <w:name w:val="Hyperlink"/>
    <w:basedOn w:val="DefaultParagraphFont"/>
    <w:uiPriority w:val="99"/>
    <w:semiHidden/>
    <w:rsid w:val="000E02FC"/>
    <w:rPr>
      <w:rFonts w:cs="Times New Roman"/>
      <w:color w:val="0000FF"/>
      <w:u w:val="single"/>
    </w:rPr>
  </w:style>
  <w:style w:type="character" w:customStyle="1" w:styleId="title-link-wrapper1">
    <w:name w:val="title-link-wrapper1"/>
    <w:basedOn w:val="DefaultParagraphFont"/>
    <w:uiPriority w:val="99"/>
    <w:rsid w:val="000E02FC"/>
    <w:rPr>
      <w:rFonts w:cs="Times New Roman"/>
    </w:rPr>
  </w:style>
  <w:style w:type="character" w:styleId="PlaceholderText">
    <w:name w:val="Placeholder Text"/>
    <w:basedOn w:val="DefaultParagraphFont"/>
    <w:uiPriority w:val="99"/>
    <w:semiHidden/>
    <w:rsid w:val="000E02FC"/>
    <w:rPr>
      <w:rFonts w:cs="Times New Roman"/>
      <w:color w:val="808080"/>
    </w:rPr>
  </w:style>
  <w:style w:type="table" w:styleId="TableGrid">
    <w:name w:val="Table Grid"/>
    <w:basedOn w:val="TableNormal"/>
    <w:uiPriority w:val="39"/>
    <w:rsid w:val="000E02FC"/>
    <w:pPr>
      <w:spacing w:after="0" w:line="240" w:lineRule="auto"/>
    </w:pPr>
    <w:rPr>
      <w:rFonts w:ascii="Calibri" w:eastAsia="Times New Roman" w:hAnsi="Calibri" w:cs="Times"/>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E02FC"/>
    <w:pPr>
      <w:tabs>
        <w:tab w:val="center" w:pos="4680"/>
        <w:tab w:val="right" w:pos="9360"/>
      </w:tabs>
    </w:pPr>
  </w:style>
  <w:style w:type="character" w:customStyle="1" w:styleId="HeaderChar">
    <w:name w:val="Header Char"/>
    <w:basedOn w:val="DefaultParagraphFont"/>
    <w:link w:val="Header"/>
    <w:uiPriority w:val="99"/>
    <w:rsid w:val="000E02FC"/>
    <w:rPr>
      <w:rFonts w:ascii="Times New Roman" w:eastAsia="Times New Roman" w:hAnsi="Times New Roman" w:cs="Times New Roman"/>
      <w:sz w:val="24"/>
      <w:szCs w:val="24"/>
    </w:rPr>
  </w:style>
  <w:style w:type="paragraph" w:styleId="NormalWeb">
    <w:name w:val="Normal (Web)"/>
    <w:basedOn w:val="Normal"/>
    <w:uiPriority w:val="99"/>
    <w:rsid w:val="000E02FC"/>
    <w:pPr>
      <w:spacing w:before="100" w:beforeAutospacing="1" w:after="100" w:afterAutospacing="1"/>
    </w:pPr>
  </w:style>
  <w:style w:type="character" w:styleId="FollowedHyperlink">
    <w:name w:val="FollowedHyperlink"/>
    <w:basedOn w:val="DefaultParagraphFont"/>
    <w:uiPriority w:val="99"/>
    <w:rsid w:val="000E02FC"/>
    <w:rPr>
      <w:rFonts w:cs="Times New Roman"/>
      <w:color w:val="800080"/>
      <w:u w:val="single"/>
    </w:rPr>
  </w:style>
  <w:style w:type="character" w:customStyle="1" w:styleId="a">
    <w:name w:val="a"/>
    <w:basedOn w:val="DefaultParagraphFont"/>
    <w:rsid w:val="000E02FC"/>
    <w:rPr>
      <w:rFonts w:cs="Times New Roman"/>
    </w:rPr>
  </w:style>
  <w:style w:type="character" w:styleId="Strong">
    <w:name w:val="Strong"/>
    <w:basedOn w:val="DefaultParagraphFont"/>
    <w:uiPriority w:val="22"/>
    <w:qFormat/>
    <w:rsid w:val="000E02FC"/>
    <w:rPr>
      <w:b/>
      <w:bCs/>
    </w:rPr>
  </w:style>
  <w:style w:type="character" w:customStyle="1" w:styleId="medium-font">
    <w:name w:val="medium-font"/>
    <w:basedOn w:val="DefaultParagraphFont"/>
    <w:rsid w:val="000E02FC"/>
  </w:style>
  <w:style w:type="character" w:customStyle="1" w:styleId="gsa1">
    <w:name w:val="gs_a1"/>
    <w:basedOn w:val="DefaultParagraphFont"/>
    <w:rsid w:val="000E02FC"/>
    <w:rPr>
      <w:color w:val="008000"/>
    </w:rPr>
  </w:style>
  <w:style w:type="character" w:styleId="Emphasis">
    <w:name w:val="Emphasis"/>
    <w:basedOn w:val="DefaultParagraphFont"/>
    <w:uiPriority w:val="20"/>
    <w:qFormat/>
    <w:rsid w:val="000E02FC"/>
    <w:rPr>
      <w:i/>
      <w:iCs/>
    </w:rPr>
  </w:style>
  <w:style w:type="paragraph" w:styleId="NoSpacing">
    <w:name w:val="No Spacing"/>
    <w:uiPriority w:val="1"/>
    <w:qFormat/>
    <w:rsid w:val="000E02FC"/>
    <w:pPr>
      <w:spacing w:after="0" w:line="240" w:lineRule="auto"/>
    </w:pPr>
    <w:rPr>
      <w:rFonts w:ascii="Times New Roman" w:eastAsia="Times New Roman" w:hAnsi="Times New Roman" w:cs="Times New Roman"/>
      <w:sz w:val="24"/>
      <w:szCs w:val="24"/>
    </w:rPr>
  </w:style>
  <w:style w:type="character" w:customStyle="1" w:styleId="searchword">
    <w:name w:val="searchword"/>
    <w:basedOn w:val="DefaultParagraphFont"/>
    <w:rsid w:val="000E02FC"/>
    <w:rPr>
      <w:shd w:val="clear" w:color="auto" w:fill="FFFF00"/>
    </w:rPr>
  </w:style>
  <w:style w:type="paragraph" w:styleId="HTMLPreformatted">
    <w:name w:val="HTML Preformatted"/>
    <w:basedOn w:val="Normal"/>
    <w:link w:val="HTMLPreformattedChar"/>
    <w:unhideWhenUsed/>
    <w:rsid w:val="000E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E02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0E02FC"/>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0E02FC"/>
    <w:rPr>
      <w:rFonts w:ascii="Consolas" w:hAnsi="Consolas"/>
      <w:sz w:val="21"/>
      <w:szCs w:val="21"/>
      <w:lang w:val="en-CA"/>
    </w:rPr>
  </w:style>
  <w:style w:type="character" w:customStyle="1" w:styleId="object3">
    <w:name w:val="object3"/>
    <w:basedOn w:val="DefaultParagraphFont"/>
    <w:rsid w:val="000E02FC"/>
    <w:rPr>
      <w:strike w:val="0"/>
      <w:dstrike w:val="0"/>
      <w:color w:val="00008B"/>
      <w:u w:val="none"/>
      <w:effect w:val="none"/>
    </w:rPr>
  </w:style>
  <w:style w:type="character" w:customStyle="1" w:styleId="object4">
    <w:name w:val="object4"/>
    <w:basedOn w:val="DefaultParagraphFont"/>
    <w:rsid w:val="000E02FC"/>
    <w:rPr>
      <w:strike w:val="0"/>
      <w:dstrike w:val="0"/>
      <w:color w:val="00008B"/>
      <w:u w:val="none"/>
      <w:effect w:val="none"/>
    </w:rPr>
  </w:style>
  <w:style w:type="character" w:customStyle="1" w:styleId="object5">
    <w:name w:val="object5"/>
    <w:basedOn w:val="DefaultParagraphFont"/>
    <w:rsid w:val="000E02FC"/>
    <w:rPr>
      <w:strike w:val="0"/>
      <w:dstrike w:val="0"/>
      <w:color w:val="00008B"/>
      <w:u w:val="none"/>
      <w:effect w:val="none"/>
    </w:rPr>
  </w:style>
  <w:style w:type="character" w:customStyle="1" w:styleId="object6">
    <w:name w:val="object6"/>
    <w:basedOn w:val="DefaultParagraphFont"/>
    <w:rsid w:val="000E02FC"/>
    <w:rPr>
      <w:strike w:val="0"/>
      <w:dstrike w:val="0"/>
      <w:color w:val="00008B"/>
      <w:u w:val="none"/>
      <w:effect w:val="none"/>
    </w:rPr>
  </w:style>
  <w:style w:type="character" w:customStyle="1" w:styleId="object7">
    <w:name w:val="object7"/>
    <w:basedOn w:val="DefaultParagraphFont"/>
    <w:rsid w:val="000E02FC"/>
    <w:rPr>
      <w:strike w:val="0"/>
      <w:dstrike w:val="0"/>
      <w:color w:val="00008B"/>
      <w:u w:val="none"/>
      <w:effect w:val="none"/>
    </w:rPr>
  </w:style>
  <w:style w:type="character" w:customStyle="1" w:styleId="object8">
    <w:name w:val="object8"/>
    <w:basedOn w:val="DefaultParagraphFont"/>
    <w:rsid w:val="000E02FC"/>
    <w:rPr>
      <w:strike w:val="0"/>
      <w:dstrike w:val="0"/>
      <w:color w:val="00008B"/>
      <w:u w:val="none"/>
      <w:effect w:val="none"/>
    </w:rPr>
  </w:style>
  <w:style w:type="character" w:customStyle="1" w:styleId="object9">
    <w:name w:val="object9"/>
    <w:basedOn w:val="DefaultParagraphFont"/>
    <w:rsid w:val="000E02FC"/>
    <w:rPr>
      <w:strike w:val="0"/>
      <w:dstrike w:val="0"/>
      <w:color w:val="00008B"/>
      <w:u w:val="none"/>
      <w:effect w:val="none"/>
    </w:rPr>
  </w:style>
  <w:style w:type="character" w:customStyle="1" w:styleId="object10">
    <w:name w:val="object10"/>
    <w:basedOn w:val="DefaultParagraphFont"/>
    <w:rsid w:val="000E02FC"/>
    <w:rPr>
      <w:strike w:val="0"/>
      <w:dstrike w:val="0"/>
      <w:color w:val="00008B"/>
      <w:u w:val="none"/>
      <w:effect w:val="none"/>
    </w:rPr>
  </w:style>
  <w:style w:type="character" w:customStyle="1" w:styleId="object11">
    <w:name w:val="object11"/>
    <w:basedOn w:val="DefaultParagraphFont"/>
    <w:rsid w:val="000E02FC"/>
    <w:rPr>
      <w:strike w:val="0"/>
      <w:dstrike w:val="0"/>
      <w:color w:val="00008B"/>
      <w:u w:val="none"/>
      <w:effect w:val="none"/>
    </w:rPr>
  </w:style>
  <w:style w:type="character" w:customStyle="1" w:styleId="object2">
    <w:name w:val="object2"/>
    <w:basedOn w:val="DefaultParagraphFont"/>
    <w:rsid w:val="000E02FC"/>
    <w:rPr>
      <w:strike w:val="0"/>
      <w:dstrike w:val="0"/>
      <w:color w:val="00008B"/>
      <w:u w:val="none"/>
      <w:effect w:val="none"/>
    </w:rPr>
  </w:style>
  <w:style w:type="character" w:styleId="CommentReference">
    <w:name w:val="annotation reference"/>
    <w:basedOn w:val="DefaultParagraphFont"/>
    <w:uiPriority w:val="99"/>
    <w:semiHidden/>
    <w:unhideWhenUsed/>
    <w:rsid w:val="00203889"/>
    <w:rPr>
      <w:sz w:val="16"/>
      <w:szCs w:val="16"/>
    </w:rPr>
  </w:style>
  <w:style w:type="character" w:customStyle="1" w:styleId="apple-converted-space">
    <w:name w:val="apple-converted-space"/>
    <w:basedOn w:val="DefaultParagraphFont"/>
    <w:rsid w:val="00DA3FAD"/>
  </w:style>
  <w:style w:type="character" w:customStyle="1" w:styleId="object">
    <w:name w:val="object"/>
    <w:basedOn w:val="DefaultParagraphFont"/>
    <w:rsid w:val="00A90A54"/>
  </w:style>
  <w:style w:type="paragraph" w:styleId="Revision">
    <w:name w:val="Revision"/>
    <w:hidden/>
    <w:uiPriority w:val="99"/>
    <w:semiHidden/>
    <w:rsid w:val="002D3EAE"/>
    <w:pPr>
      <w:spacing w:after="0"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6E00ED"/>
  </w:style>
  <w:style w:type="table" w:customStyle="1" w:styleId="TableGrid1">
    <w:name w:val="Table Grid1"/>
    <w:basedOn w:val="TableNormal"/>
    <w:next w:val="TableGrid"/>
    <w:uiPriority w:val="59"/>
    <w:rsid w:val="006E00ED"/>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ldCentered">
    <w:name w:val="Style Bold Centered"/>
    <w:basedOn w:val="Normal"/>
    <w:rsid w:val="006E00ED"/>
    <w:pPr>
      <w:suppressAutoHyphens/>
      <w:spacing w:after="240"/>
      <w:jc w:val="center"/>
    </w:pPr>
    <w:rPr>
      <w:b/>
      <w:bCs/>
      <w:kern w:val="1"/>
      <w:szCs w:val="20"/>
      <w:lang w:eastAsia="ar-SA"/>
    </w:rPr>
  </w:style>
  <w:style w:type="paragraph" w:customStyle="1" w:styleId="Referencesandnotes">
    <w:name w:val="References and notes"/>
    <w:basedOn w:val="Normal"/>
    <w:rsid w:val="00EF45CE"/>
    <w:pPr>
      <w:spacing w:before="120"/>
      <w:ind w:left="720" w:hanging="720"/>
    </w:pPr>
  </w:style>
  <w:style w:type="character" w:customStyle="1" w:styleId="Heading3Char">
    <w:name w:val="Heading 3 Char"/>
    <w:basedOn w:val="DefaultParagraphFont"/>
    <w:link w:val="Heading3"/>
    <w:uiPriority w:val="9"/>
    <w:rsid w:val="00E2658A"/>
    <w:rPr>
      <w:rFonts w:asciiTheme="majorHAnsi" w:eastAsiaTheme="majorEastAsia" w:hAnsiTheme="majorHAnsi" w:cstheme="majorBidi"/>
      <w:color w:val="243F60" w:themeColor="accent1" w:themeShade="7F"/>
      <w:sz w:val="24"/>
      <w:szCs w:val="24"/>
    </w:rPr>
  </w:style>
  <w:style w:type="paragraph" w:styleId="DocumentMap">
    <w:name w:val="Document Map"/>
    <w:basedOn w:val="Normal"/>
    <w:link w:val="DocumentMapChar"/>
    <w:uiPriority w:val="99"/>
    <w:semiHidden/>
    <w:unhideWhenUsed/>
    <w:rsid w:val="00DD5E37"/>
    <w:rPr>
      <w:rFonts w:ascii="Lucida Grande" w:hAnsi="Lucida Grande" w:cs="Lucida Grande"/>
    </w:rPr>
  </w:style>
  <w:style w:type="character" w:customStyle="1" w:styleId="DocumentMapChar">
    <w:name w:val="Document Map Char"/>
    <w:basedOn w:val="DefaultParagraphFont"/>
    <w:link w:val="DocumentMap"/>
    <w:uiPriority w:val="99"/>
    <w:semiHidden/>
    <w:rsid w:val="00DD5E37"/>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1097">
      <w:bodyDiv w:val="1"/>
      <w:marLeft w:val="0"/>
      <w:marRight w:val="0"/>
      <w:marTop w:val="0"/>
      <w:marBottom w:val="0"/>
      <w:divBdr>
        <w:top w:val="none" w:sz="0" w:space="0" w:color="auto"/>
        <w:left w:val="none" w:sz="0" w:space="0" w:color="auto"/>
        <w:bottom w:val="none" w:sz="0" w:space="0" w:color="auto"/>
        <w:right w:val="none" w:sz="0" w:space="0" w:color="auto"/>
      </w:divBdr>
    </w:div>
    <w:div w:id="110243924">
      <w:bodyDiv w:val="1"/>
      <w:marLeft w:val="0"/>
      <w:marRight w:val="0"/>
      <w:marTop w:val="0"/>
      <w:marBottom w:val="0"/>
      <w:divBdr>
        <w:top w:val="none" w:sz="0" w:space="0" w:color="auto"/>
        <w:left w:val="none" w:sz="0" w:space="0" w:color="auto"/>
        <w:bottom w:val="none" w:sz="0" w:space="0" w:color="auto"/>
        <w:right w:val="none" w:sz="0" w:space="0" w:color="auto"/>
      </w:divBdr>
    </w:div>
    <w:div w:id="128328022">
      <w:bodyDiv w:val="1"/>
      <w:marLeft w:val="0"/>
      <w:marRight w:val="0"/>
      <w:marTop w:val="0"/>
      <w:marBottom w:val="0"/>
      <w:divBdr>
        <w:top w:val="none" w:sz="0" w:space="0" w:color="auto"/>
        <w:left w:val="none" w:sz="0" w:space="0" w:color="auto"/>
        <w:bottom w:val="none" w:sz="0" w:space="0" w:color="auto"/>
        <w:right w:val="none" w:sz="0" w:space="0" w:color="auto"/>
      </w:divBdr>
    </w:div>
    <w:div w:id="245959652">
      <w:bodyDiv w:val="1"/>
      <w:marLeft w:val="0"/>
      <w:marRight w:val="0"/>
      <w:marTop w:val="0"/>
      <w:marBottom w:val="0"/>
      <w:divBdr>
        <w:top w:val="none" w:sz="0" w:space="0" w:color="auto"/>
        <w:left w:val="none" w:sz="0" w:space="0" w:color="auto"/>
        <w:bottom w:val="none" w:sz="0" w:space="0" w:color="auto"/>
        <w:right w:val="none" w:sz="0" w:space="0" w:color="auto"/>
      </w:divBdr>
    </w:div>
    <w:div w:id="246497203">
      <w:bodyDiv w:val="1"/>
      <w:marLeft w:val="0"/>
      <w:marRight w:val="0"/>
      <w:marTop w:val="0"/>
      <w:marBottom w:val="0"/>
      <w:divBdr>
        <w:top w:val="none" w:sz="0" w:space="0" w:color="auto"/>
        <w:left w:val="none" w:sz="0" w:space="0" w:color="auto"/>
        <w:bottom w:val="none" w:sz="0" w:space="0" w:color="auto"/>
        <w:right w:val="none" w:sz="0" w:space="0" w:color="auto"/>
      </w:divBdr>
    </w:div>
    <w:div w:id="279263712">
      <w:bodyDiv w:val="1"/>
      <w:marLeft w:val="0"/>
      <w:marRight w:val="0"/>
      <w:marTop w:val="0"/>
      <w:marBottom w:val="0"/>
      <w:divBdr>
        <w:top w:val="none" w:sz="0" w:space="0" w:color="auto"/>
        <w:left w:val="none" w:sz="0" w:space="0" w:color="auto"/>
        <w:bottom w:val="none" w:sz="0" w:space="0" w:color="auto"/>
        <w:right w:val="none" w:sz="0" w:space="0" w:color="auto"/>
      </w:divBdr>
    </w:div>
    <w:div w:id="378364459">
      <w:bodyDiv w:val="1"/>
      <w:marLeft w:val="0"/>
      <w:marRight w:val="0"/>
      <w:marTop w:val="0"/>
      <w:marBottom w:val="0"/>
      <w:divBdr>
        <w:top w:val="none" w:sz="0" w:space="0" w:color="auto"/>
        <w:left w:val="none" w:sz="0" w:space="0" w:color="auto"/>
        <w:bottom w:val="none" w:sz="0" w:space="0" w:color="auto"/>
        <w:right w:val="none" w:sz="0" w:space="0" w:color="auto"/>
      </w:divBdr>
    </w:div>
    <w:div w:id="488596588">
      <w:bodyDiv w:val="1"/>
      <w:marLeft w:val="0"/>
      <w:marRight w:val="0"/>
      <w:marTop w:val="0"/>
      <w:marBottom w:val="0"/>
      <w:divBdr>
        <w:top w:val="none" w:sz="0" w:space="0" w:color="auto"/>
        <w:left w:val="none" w:sz="0" w:space="0" w:color="auto"/>
        <w:bottom w:val="none" w:sz="0" w:space="0" w:color="auto"/>
        <w:right w:val="none" w:sz="0" w:space="0" w:color="auto"/>
      </w:divBdr>
    </w:div>
    <w:div w:id="494298441">
      <w:bodyDiv w:val="1"/>
      <w:marLeft w:val="0"/>
      <w:marRight w:val="0"/>
      <w:marTop w:val="0"/>
      <w:marBottom w:val="0"/>
      <w:divBdr>
        <w:top w:val="none" w:sz="0" w:space="0" w:color="auto"/>
        <w:left w:val="none" w:sz="0" w:space="0" w:color="auto"/>
        <w:bottom w:val="none" w:sz="0" w:space="0" w:color="auto"/>
        <w:right w:val="none" w:sz="0" w:space="0" w:color="auto"/>
      </w:divBdr>
    </w:div>
    <w:div w:id="528496954">
      <w:bodyDiv w:val="1"/>
      <w:marLeft w:val="0"/>
      <w:marRight w:val="0"/>
      <w:marTop w:val="0"/>
      <w:marBottom w:val="0"/>
      <w:divBdr>
        <w:top w:val="none" w:sz="0" w:space="0" w:color="auto"/>
        <w:left w:val="none" w:sz="0" w:space="0" w:color="auto"/>
        <w:bottom w:val="none" w:sz="0" w:space="0" w:color="auto"/>
        <w:right w:val="none" w:sz="0" w:space="0" w:color="auto"/>
      </w:divBdr>
    </w:div>
    <w:div w:id="550531233">
      <w:bodyDiv w:val="1"/>
      <w:marLeft w:val="0"/>
      <w:marRight w:val="0"/>
      <w:marTop w:val="0"/>
      <w:marBottom w:val="0"/>
      <w:divBdr>
        <w:top w:val="none" w:sz="0" w:space="0" w:color="auto"/>
        <w:left w:val="none" w:sz="0" w:space="0" w:color="auto"/>
        <w:bottom w:val="none" w:sz="0" w:space="0" w:color="auto"/>
        <w:right w:val="none" w:sz="0" w:space="0" w:color="auto"/>
      </w:divBdr>
    </w:div>
    <w:div w:id="699743215">
      <w:bodyDiv w:val="1"/>
      <w:marLeft w:val="0"/>
      <w:marRight w:val="0"/>
      <w:marTop w:val="0"/>
      <w:marBottom w:val="0"/>
      <w:divBdr>
        <w:top w:val="none" w:sz="0" w:space="0" w:color="auto"/>
        <w:left w:val="none" w:sz="0" w:space="0" w:color="auto"/>
        <w:bottom w:val="none" w:sz="0" w:space="0" w:color="auto"/>
        <w:right w:val="none" w:sz="0" w:space="0" w:color="auto"/>
      </w:divBdr>
    </w:div>
    <w:div w:id="748843431">
      <w:bodyDiv w:val="1"/>
      <w:marLeft w:val="0"/>
      <w:marRight w:val="0"/>
      <w:marTop w:val="0"/>
      <w:marBottom w:val="0"/>
      <w:divBdr>
        <w:top w:val="none" w:sz="0" w:space="0" w:color="auto"/>
        <w:left w:val="none" w:sz="0" w:space="0" w:color="auto"/>
        <w:bottom w:val="none" w:sz="0" w:space="0" w:color="auto"/>
        <w:right w:val="none" w:sz="0" w:space="0" w:color="auto"/>
      </w:divBdr>
    </w:div>
    <w:div w:id="808401757">
      <w:bodyDiv w:val="1"/>
      <w:marLeft w:val="0"/>
      <w:marRight w:val="0"/>
      <w:marTop w:val="0"/>
      <w:marBottom w:val="0"/>
      <w:divBdr>
        <w:top w:val="none" w:sz="0" w:space="0" w:color="auto"/>
        <w:left w:val="none" w:sz="0" w:space="0" w:color="auto"/>
        <w:bottom w:val="none" w:sz="0" w:space="0" w:color="auto"/>
        <w:right w:val="none" w:sz="0" w:space="0" w:color="auto"/>
      </w:divBdr>
    </w:div>
    <w:div w:id="866452642">
      <w:bodyDiv w:val="1"/>
      <w:marLeft w:val="0"/>
      <w:marRight w:val="0"/>
      <w:marTop w:val="0"/>
      <w:marBottom w:val="0"/>
      <w:divBdr>
        <w:top w:val="none" w:sz="0" w:space="0" w:color="auto"/>
        <w:left w:val="none" w:sz="0" w:space="0" w:color="auto"/>
        <w:bottom w:val="none" w:sz="0" w:space="0" w:color="auto"/>
        <w:right w:val="none" w:sz="0" w:space="0" w:color="auto"/>
      </w:divBdr>
    </w:div>
    <w:div w:id="933827995">
      <w:bodyDiv w:val="1"/>
      <w:marLeft w:val="0"/>
      <w:marRight w:val="0"/>
      <w:marTop w:val="0"/>
      <w:marBottom w:val="0"/>
      <w:divBdr>
        <w:top w:val="none" w:sz="0" w:space="0" w:color="auto"/>
        <w:left w:val="none" w:sz="0" w:space="0" w:color="auto"/>
        <w:bottom w:val="none" w:sz="0" w:space="0" w:color="auto"/>
        <w:right w:val="none" w:sz="0" w:space="0" w:color="auto"/>
      </w:divBdr>
    </w:div>
    <w:div w:id="1059940200">
      <w:bodyDiv w:val="1"/>
      <w:marLeft w:val="0"/>
      <w:marRight w:val="0"/>
      <w:marTop w:val="0"/>
      <w:marBottom w:val="0"/>
      <w:divBdr>
        <w:top w:val="none" w:sz="0" w:space="0" w:color="auto"/>
        <w:left w:val="none" w:sz="0" w:space="0" w:color="auto"/>
        <w:bottom w:val="none" w:sz="0" w:space="0" w:color="auto"/>
        <w:right w:val="none" w:sz="0" w:space="0" w:color="auto"/>
      </w:divBdr>
    </w:div>
    <w:div w:id="1103300072">
      <w:bodyDiv w:val="1"/>
      <w:marLeft w:val="0"/>
      <w:marRight w:val="0"/>
      <w:marTop w:val="0"/>
      <w:marBottom w:val="0"/>
      <w:divBdr>
        <w:top w:val="none" w:sz="0" w:space="0" w:color="auto"/>
        <w:left w:val="none" w:sz="0" w:space="0" w:color="auto"/>
        <w:bottom w:val="none" w:sz="0" w:space="0" w:color="auto"/>
        <w:right w:val="none" w:sz="0" w:space="0" w:color="auto"/>
      </w:divBdr>
    </w:div>
    <w:div w:id="1107233430">
      <w:bodyDiv w:val="1"/>
      <w:marLeft w:val="0"/>
      <w:marRight w:val="0"/>
      <w:marTop w:val="0"/>
      <w:marBottom w:val="0"/>
      <w:divBdr>
        <w:top w:val="none" w:sz="0" w:space="0" w:color="auto"/>
        <w:left w:val="none" w:sz="0" w:space="0" w:color="auto"/>
        <w:bottom w:val="none" w:sz="0" w:space="0" w:color="auto"/>
        <w:right w:val="none" w:sz="0" w:space="0" w:color="auto"/>
      </w:divBdr>
    </w:div>
    <w:div w:id="1174030444">
      <w:bodyDiv w:val="1"/>
      <w:marLeft w:val="0"/>
      <w:marRight w:val="0"/>
      <w:marTop w:val="0"/>
      <w:marBottom w:val="0"/>
      <w:divBdr>
        <w:top w:val="none" w:sz="0" w:space="0" w:color="auto"/>
        <w:left w:val="none" w:sz="0" w:space="0" w:color="auto"/>
        <w:bottom w:val="none" w:sz="0" w:space="0" w:color="auto"/>
        <w:right w:val="none" w:sz="0" w:space="0" w:color="auto"/>
      </w:divBdr>
    </w:div>
    <w:div w:id="1186601137">
      <w:bodyDiv w:val="1"/>
      <w:marLeft w:val="0"/>
      <w:marRight w:val="0"/>
      <w:marTop w:val="0"/>
      <w:marBottom w:val="0"/>
      <w:divBdr>
        <w:top w:val="none" w:sz="0" w:space="0" w:color="auto"/>
        <w:left w:val="none" w:sz="0" w:space="0" w:color="auto"/>
        <w:bottom w:val="none" w:sz="0" w:space="0" w:color="auto"/>
        <w:right w:val="none" w:sz="0" w:space="0" w:color="auto"/>
      </w:divBdr>
    </w:div>
    <w:div w:id="1228341370">
      <w:bodyDiv w:val="1"/>
      <w:marLeft w:val="0"/>
      <w:marRight w:val="0"/>
      <w:marTop w:val="0"/>
      <w:marBottom w:val="0"/>
      <w:divBdr>
        <w:top w:val="none" w:sz="0" w:space="0" w:color="auto"/>
        <w:left w:val="none" w:sz="0" w:space="0" w:color="auto"/>
        <w:bottom w:val="none" w:sz="0" w:space="0" w:color="auto"/>
        <w:right w:val="none" w:sz="0" w:space="0" w:color="auto"/>
      </w:divBdr>
    </w:div>
    <w:div w:id="1320236131">
      <w:bodyDiv w:val="1"/>
      <w:marLeft w:val="0"/>
      <w:marRight w:val="0"/>
      <w:marTop w:val="0"/>
      <w:marBottom w:val="0"/>
      <w:divBdr>
        <w:top w:val="none" w:sz="0" w:space="0" w:color="auto"/>
        <w:left w:val="none" w:sz="0" w:space="0" w:color="auto"/>
        <w:bottom w:val="none" w:sz="0" w:space="0" w:color="auto"/>
        <w:right w:val="none" w:sz="0" w:space="0" w:color="auto"/>
      </w:divBdr>
    </w:div>
    <w:div w:id="1430783135">
      <w:bodyDiv w:val="1"/>
      <w:marLeft w:val="0"/>
      <w:marRight w:val="0"/>
      <w:marTop w:val="0"/>
      <w:marBottom w:val="0"/>
      <w:divBdr>
        <w:top w:val="none" w:sz="0" w:space="0" w:color="auto"/>
        <w:left w:val="none" w:sz="0" w:space="0" w:color="auto"/>
        <w:bottom w:val="none" w:sz="0" w:space="0" w:color="auto"/>
        <w:right w:val="none" w:sz="0" w:space="0" w:color="auto"/>
      </w:divBdr>
    </w:div>
    <w:div w:id="1432510237">
      <w:bodyDiv w:val="1"/>
      <w:marLeft w:val="0"/>
      <w:marRight w:val="0"/>
      <w:marTop w:val="0"/>
      <w:marBottom w:val="0"/>
      <w:divBdr>
        <w:top w:val="none" w:sz="0" w:space="0" w:color="auto"/>
        <w:left w:val="none" w:sz="0" w:space="0" w:color="auto"/>
        <w:bottom w:val="none" w:sz="0" w:space="0" w:color="auto"/>
        <w:right w:val="none" w:sz="0" w:space="0" w:color="auto"/>
      </w:divBdr>
    </w:div>
    <w:div w:id="1445540414">
      <w:bodyDiv w:val="1"/>
      <w:marLeft w:val="0"/>
      <w:marRight w:val="0"/>
      <w:marTop w:val="0"/>
      <w:marBottom w:val="0"/>
      <w:divBdr>
        <w:top w:val="none" w:sz="0" w:space="0" w:color="auto"/>
        <w:left w:val="none" w:sz="0" w:space="0" w:color="auto"/>
        <w:bottom w:val="none" w:sz="0" w:space="0" w:color="auto"/>
        <w:right w:val="none" w:sz="0" w:space="0" w:color="auto"/>
      </w:divBdr>
    </w:div>
    <w:div w:id="1667243341">
      <w:bodyDiv w:val="1"/>
      <w:marLeft w:val="0"/>
      <w:marRight w:val="0"/>
      <w:marTop w:val="0"/>
      <w:marBottom w:val="0"/>
      <w:divBdr>
        <w:top w:val="none" w:sz="0" w:space="0" w:color="auto"/>
        <w:left w:val="none" w:sz="0" w:space="0" w:color="auto"/>
        <w:bottom w:val="none" w:sz="0" w:space="0" w:color="auto"/>
        <w:right w:val="none" w:sz="0" w:space="0" w:color="auto"/>
      </w:divBdr>
    </w:div>
    <w:div w:id="1724985928">
      <w:bodyDiv w:val="1"/>
      <w:marLeft w:val="0"/>
      <w:marRight w:val="0"/>
      <w:marTop w:val="0"/>
      <w:marBottom w:val="0"/>
      <w:divBdr>
        <w:top w:val="none" w:sz="0" w:space="0" w:color="auto"/>
        <w:left w:val="none" w:sz="0" w:space="0" w:color="auto"/>
        <w:bottom w:val="none" w:sz="0" w:space="0" w:color="auto"/>
        <w:right w:val="none" w:sz="0" w:space="0" w:color="auto"/>
      </w:divBdr>
    </w:div>
    <w:div w:id="1739402439">
      <w:bodyDiv w:val="1"/>
      <w:marLeft w:val="0"/>
      <w:marRight w:val="0"/>
      <w:marTop w:val="0"/>
      <w:marBottom w:val="0"/>
      <w:divBdr>
        <w:top w:val="none" w:sz="0" w:space="0" w:color="auto"/>
        <w:left w:val="none" w:sz="0" w:space="0" w:color="auto"/>
        <w:bottom w:val="none" w:sz="0" w:space="0" w:color="auto"/>
        <w:right w:val="none" w:sz="0" w:space="0" w:color="auto"/>
      </w:divBdr>
    </w:div>
    <w:div w:id="1791582248">
      <w:bodyDiv w:val="1"/>
      <w:marLeft w:val="0"/>
      <w:marRight w:val="0"/>
      <w:marTop w:val="0"/>
      <w:marBottom w:val="0"/>
      <w:divBdr>
        <w:top w:val="none" w:sz="0" w:space="0" w:color="auto"/>
        <w:left w:val="none" w:sz="0" w:space="0" w:color="auto"/>
        <w:bottom w:val="none" w:sz="0" w:space="0" w:color="auto"/>
        <w:right w:val="none" w:sz="0" w:space="0" w:color="auto"/>
      </w:divBdr>
    </w:div>
    <w:div w:id="1803035152">
      <w:bodyDiv w:val="1"/>
      <w:marLeft w:val="0"/>
      <w:marRight w:val="0"/>
      <w:marTop w:val="0"/>
      <w:marBottom w:val="0"/>
      <w:divBdr>
        <w:top w:val="none" w:sz="0" w:space="0" w:color="auto"/>
        <w:left w:val="none" w:sz="0" w:space="0" w:color="auto"/>
        <w:bottom w:val="none" w:sz="0" w:space="0" w:color="auto"/>
        <w:right w:val="none" w:sz="0" w:space="0" w:color="auto"/>
      </w:divBdr>
    </w:div>
    <w:div w:id="1871337045">
      <w:bodyDiv w:val="1"/>
      <w:marLeft w:val="0"/>
      <w:marRight w:val="0"/>
      <w:marTop w:val="0"/>
      <w:marBottom w:val="0"/>
      <w:divBdr>
        <w:top w:val="none" w:sz="0" w:space="0" w:color="auto"/>
        <w:left w:val="none" w:sz="0" w:space="0" w:color="auto"/>
        <w:bottom w:val="none" w:sz="0" w:space="0" w:color="auto"/>
        <w:right w:val="none" w:sz="0" w:space="0" w:color="auto"/>
      </w:divBdr>
    </w:div>
    <w:div w:id="1938322534">
      <w:bodyDiv w:val="1"/>
      <w:marLeft w:val="0"/>
      <w:marRight w:val="0"/>
      <w:marTop w:val="0"/>
      <w:marBottom w:val="0"/>
      <w:divBdr>
        <w:top w:val="none" w:sz="0" w:space="0" w:color="auto"/>
        <w:left w:val="none" w:sz="0" w:space="0" w:color="auto"/>
        <w:bottom w:val="none" w:sz="0" w:space="0" w:color="auto"/>
        <w:right w:val="none" w:sz="0" w:space="0" w:color="auto"/>
      </w:divBdr>
    </w:div>
    <w:div w:id="1955088652">
      <w:bodyDiv w:val="1"/>
      <w:marLeft w:val="0"/>
      <w:marRight w:val="0"/>
      <w:marTop w:val="0"/>
      <w:marBottom w:val="0"/>
      <w:divBdr>
        <w:top w:val="none" w:sz="0" w:space="0" w:color="auto"/>
        <w:left w:val="none" w:sz="0" w:space="0" w:color="auto"/>
        <w:bottom w:val="none" w:sz="0" w:space="0" w:color="auto"/>
        <w:right w:val="none" w:sz="0" w:space="0" w:color="auto"/>
      </w:divBdr>
    </w:div>
    <w:div w:id="2025209429">
      <w:bodyDiv w:val="1"/>
      <w:marLeft w:val="0"/>
      <w:marRight w:val="0"/>
      <w:marTop w:val="0"/>
      <w:marBottom w:val="0"/>
      <w:divBdr>
        <w:top w:val="none" w:sz="0" w:space="0" w:color="auto"/>
        <w:left w:val="none" w:sz="0" w:space="0" w:color="auto"/>
        <w:bottom w:val="none" w:sz="0" w:space="0" w:color="auto"/>
        <w:right w:val="none" w:sz="0" w:space="0" w:color="auto"/>
      </w:divBdr>
    </w:div>
    <w:div w:id="2041857187">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911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arubin\Dropbox\Nurture\July2018\descriptive%20of%20matching%20in%20year%205.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ubin\Dropbox\Nurture\July2018\descriptive%20of%20matching%20in%20year%205.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ubin\Dropbox\Nurture\July2018\descriptive%20of%20matching%20in%20year%205.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ubin\Dropbox\Nurture\July2018\descriptive%20of%20matching%20in%20year%20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cs typeface="+mj-cs"/>
              </a:rPr>
              <a:t>Number of A articles based on first placement (Sample 1)</a:t>
            </a:r>
            <a:endParaRPr lang="he-IL" sz="1200">
              <a:effectLst/>
              <a:cs typeface="+mj-cs"/>
            </a:endParaRPr>
          </a:p>
        </c:rich>
      </c:tx>
      <c:overlay val="0"/>
      <c:spPr>
        <a:noFill/>
        <a:ln>
          <a:noFill/>
        </a:ln>
        <a:effectLst/>
      </c:spPr>
    </c:title>
    <c:autoTitleDeleted val="0"/>
    <c:plotArea>
      <c:layout/>
      <c:scatterChart>
        <c:scatterStyle val="lineMarker"/>
        <c:varyColors val="0"/>
        <c:ser>
          <c:idx val="0"/>
          <c:order val="0"/>
          <c:tx>
            <c:strRef>
              <c:f>'graphs unconditional'!$C$28</c:f>
              <c:strCache>
                <c:ptCount val="1"/>
                <c:pt idx="0">
                  <c:v>Top 20 Mean</c:v>
                </c:pt>
              </c:strCache>
            </c:strRef>
          </c:tx>
          <c:spPr>
            <a:ln w="44450" cap="rnd">
              <a:solidFill>
                <a:schemeClr val="tx1"/>
              </a:solidFill>
              <a:prstDash val="sysDot"/>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unconditional'!$C$29:$C$38</c:f>
              <c:numCache>
                <c:formatCode>General</c:formatCode>
                <c:ptCount val="10"/>
                <c:pt idx="0">
                  <c:v>0.89467969999999997</c:v>
                </c:pt>
                <c:pt idx="1">
                  <c:v>1.1270359999999999</c:v>
                </c:pt>
                <c:pt idx="2">
                  <c:v>1.389794</c:v>
                </c:pt>
                <c:pt idx="3">
                  <c:v>1.6862109999999999</c:v>
                </c:pt>
                <c:pt idx="4">
                  <c:v>1.9402820000000001</c:v>
                </c:pt>
                <c:pt idx="5">
                  <c:v>2.1943540000000001</c:v>
                </c:pt>
                <c:pt idx="6">
                  <c:v>2.429967</c:v>
                </c:pt>
                <c:pt idx="7">
                  <c:v>2.6601520000000001</c:v>
                </c:pt>
                <c:pt idx="8">
                  <c:v>2.885993</c:v>
                </c:pt>
                <c:pt idx="9">
                  <c:v>3.099891</c:v>
                </c:pt>
              </c:numCache>
            </c:numRef>
          </c:yVal>
          <c:smooth val="0"/>
          <c:extLst>
            <c:ext xmlns:c16="http://schemas.microsoft.com/office/drawing/2014/chart" uri="{C3380CC4-5D6E-409C-BE32-E72D297353CC}">
              <c16:uniqueId val="{00000000-8929-40AF-90B0-3DA4DAB055D0}"/>
            </c:ext>
          </c:extLst>
        </c:ser>
        <c:ser>
          <c:idx val="1"/>
          <c:order val="1"/>
          <c:tx>
            <c:strRef>
              <c:f>'graphs unconditional'!$D$28</c:f>
              <c:strCache>
                <c:ptCount val="1"/>
                <c:pt idx="0">
                  <c:v>Top 20 Top 25%</c:v>
                </c:pt>
              </c:strCache>
            </c:strRef>
          </c:tx>
          <c:spPr>
            <a:ln w="44450" cap="rnd">
              <a:solidFill>
                <a:schemeClr val="tx1"/>
              </a:solidFill>
              <a:prstDash val="sysDash"/>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unconditional'!$D$29:$D$38</c:f>
              <c:numCache>
                <c:formatCode>General</c:formatCode>
                <c:ptCount val="10"/>
                <c:pt idx="0">
                  <c:v>1</c:v>
                </c:pt>
                <c:pt idx="1">
                  <c:v>2</c:v>
                </c:pt>
                <c:pt idx="2">
                  <c:v>2</c:v>
                </c:pt>
                <c:pt idx="3">
                  <c:v>3</c:v>
                </c:pt>
                <c:pt idx="4">
                  <c:v>3</c:v>
                </c:pt>
                <c:pt idx="5">
                  <c:v>3</c:v>
                </c:pt>
                <c:pt idx="6">
                  <c:v>4</c:v>
                </c:pt>
                <c:pt idx="7">
                  <c:v>4</c:v>
                </c:pt>
                <c:pt idx="8">
                  <c:v>4</c:v>
                </c:pt>
                <c:pt idx="9">
                  <c:v>5</c:v>
                </c:pt>
              </c:numCache>
            </c:numRef>
          </c:yVal>
          <c:smooth val="0"/>
          <c:extLst>
            <c:ext xmlns:c16="http://schemas.microsoft.com/office/drawing/2014/chart" uri="{C3380CC4-5D6E-409C-BE32-E72D297353CC}">
              <c16:uniqueId val="{00000001-8929-40AF-90B0-3DA4DAB055D0}"/>
            </c:ext>
          </c:extLst>
        </c:ser>
        <c:ser>
          <c:idx val="2"/>
          <c:order val="2"/>
          <c:tx>
            <c:strRef>
              <c:f>'graphs unconditional'!$E$28</c:f>
              <c:strCache>
                <c:ptCount val="1"/>
                <c:pt idx="0">
                  <c:v>Top 20 Top 10%</c:v>
                </c:pt>
              </c:strCache>
            </c:strRef>
          </c:tx>
          <c:spPr>
            <a:ln w="44450" cap="rnd">
              <a:solidFill>
                <a:schemeClr val="tx1"/>
              </a:solidFill>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unconditional'!$E$29:$E$38</c:f>
              <c:numCache>
                <c:formatCode>General</c:formatCode>
                <c:ptCount val="10"/>
                <c:pt idx="0">
                  <c:v>2</c:v>
                </c:pt>
                <c:pt idx="1">
                  <c:v>3</c:v>
                </c:pt>
                <c:pt idx="2">
                  <c:v>3</c:v>
                </c:pt>
                <c:pt idx="3">
                  <c:v>4</c:v>
                </c:pt>
                <c:pt idx="4">
                  <c:v>4</c:v>
                </c:pt>
                <c:pt idx="5">
                  <c:v>5</c:v>
                </c:pt>
                <c:pt idx="6">
                  <c:v>5</c:v>
                </c:pt>
                <c:pt idx="7">
                  <c:v>6</c:v>
                </c:pt>
                <c:pt idx="8">
                  <c:v>7</c:v>
                </c:pt>
                <c:pt idx="9">
                  <c:v>7</c:v>
                </c:pt>
              </c:numCache>
            </c:numRef>
          </c:yVal>
          <c:smooth val="0"/>
          <c:extLst>
            <c:ext xmlns:c16="http://schemas.microsoft.com/office/drawing/2014/chart" uri="{C3380CC4-5D6E-409C-BE32-E72D297353CC}">
              <c16:uniqueId val="{00000002-8929-40AF-90B0-3DA4DAB055D0}"/>
            </c:ext>
          </c:extLst>
        </c:ser>
        <c:ser>
          <c:idx val="3"/>
          <c:order val="3"/>
          <c:tx>
            <c:strRef>
              <c:f>'graphs unconditional'!$F$28</c:f>
              <c:strCache>
                <c:ptCount val="1"/>
                <c:pt idx="0">
                  <c:v>50-100 Mean</c:v>
                </c:pt>
              </c:strCache>
            </c:strRef>
          </c:tx>
          <c:spPr>
            <a:ln w="19050" cap="rnd">
              <a:solidFill>
                <a:schemeClr val="tx1">
                  <a:lumMod val="65000"/>
                  <a:lumOff val="35000"/>
                </a:schemeClr>
              </a:solidFill>
              <a:prstDash val="sysDot"/>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unconditional'!$F$29:$F$38</c:f>
              <c:numCache>
                <c:formatCode>General</c:formatCode>
                <c:ptCount val="10"/>
                <c:pt idx="0">
                  <c:v>0.51920120000000003</c:v>
                </c:pt>
                <c:pt idx="1">
                  <c:v>0.63440859999999999</c:v>
                </c:pt>
                <c:pt idx="2">
                  <c:v>0.76344080000000003</c:v>
                </c:pt>
                <c:pt idx="3">
                  <c:v>0.89247310000000002</c:v>
                </c:pt>
                <c:pt idx="4">
                  <c:v>0.99692780000000003</c:v>
                </c:pt>
                <c:pt idx="5">
                  <c:v>1.0967739999999999</c:v>
                </c:pt>
                <c:pt idx="6">
                  <c:v>1.18126</c:v>
                </c:pt>
                <c:pt idx="7">
                  <c:v>1.28725</c:v>
                </c:pt>
                <c:pt idx="8">
                  <c:v>1.399386</c:v>
                </c:pt>
                <c:pt idx="9">
                  <c:v>1.4992319999999999</c:v>
                </c:pt>
              </c:numCache>
            </c:numRef>
          </c:yVal>
          <c:smooth val="0"/>
          <c:extLst>
            <c:ext xmlns:c16="http://schemas.microsoft.com/office/drawing/2014/chart" uri="{C3380CC4-5D6E-409C-BE32-E72D297353CC}">
              <c16:uniqueId val="{00000003-8929-40AF-90B0-3DA4DAB055D0}"/>
            </c:ext>
          </c:extLst>
        </c:ser>
        <c:ser>
          <c:idx val="4"/>
          <c:order val="4"/>
          <c:tx>
            <c:strRef>
              <c:f>'graphs unconditional'!$G$28</c:f>
              <c:strCache>
                <c:ptCount val="1"/>
                <c:pt idx="0">
                  <c:v>50-100 Top 25%</c:v>
                </c:pt>
              </c:strCache>
            </c:strRef>
          </c:tx>
          <c:spPr>
            <a:ln w="19050" cap="rnd">
              <a:solidFill>
                <a:schemeClr val="tx1">
                  <a:lumMod val="50000"/>
                  <a:lumOff val="50000"/>
                </a:schemeClr>
              </a:solidFill>
              <a:prstDash val="dash"/>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unconditional'!$G$29:$G$38</c:f>
              <c:numCache>
                <c:formatCode>General</c:formatCode>
                <c:ptCount val="10"/>
                <c:pt idx="0">
                  <c:v>1</c:v>
                </c:pt>
                <c:pt idx="1">
                  <c:v>1</c:v>
                </c:pt>
                <c:pt idx="2">
                  <c:v>1</c:v>
                </c:pt>
                <c:pt idx="3">
                  <c:v>1</c:v>
                </c:pt>
                <c:pt idx="4">
                  <c:v>2</c:v>
                </c:pt>
                <c:pt idx="5">
                  <c:v>2</c:v>
                </c:pt>
                <c:pt idx="6">
                  <c:v>2</c:v>
                </c:pt>
                <c:pt idx="7">
                  <c:v>2</c:v>
                </c:pt>
                <c:pt idx="8">
                  <c:v>2</c:v>
                </c:pt>
                <c:pt idx="9">
                  <c:v>2</c:v>
                </c:pt>
              </c:numCache>
            </c:numRef>
          </c:yVal>
          <c:smooth val="0"/>
          <c:extLst>
            <c:ext xmlns:c16="http://schemas.microsoft.com/office/drawing/2014/chart" uri="{C3380CC4-5D6E-409C-BE32-E72D297353CC}">
              <c16:uniqueId val="{00000004-8929-40AF-90B0-3DA4DAB055D0}"/>
            </c:ext>
          </c:extLst>
        </c:ser>
        <c:ser>
          <c:idx val="5"/>
          <c:order val="5"/>
          <c:tx>
            <c:strRef>
              <c:f>'graphs unconditional'!$H$28</c:f>
              <c:strCache>
                <c:ptCount val="1"/>
                <c:pt idx="0">
                  <c:v>50-100 Top 10%</c:v>
                </c:pt>
              </c:strCache>
            </c:strRef>
          </c:tx>
          <c:spPr>
            <a:ln w="19050" cap="rnd">
              <a:solidFill>
                <a:schemeClr val="tx1">
                  <a:lumMod val="65000"/>
                  <a:lumOff val="35000"/>
                </a:schemeClr>
              </a:solidFill>
              <a:round/>
            </a:ln>
            <a:effectLst/>
          </c:spPr>
          <c:marker>
            <c:symbol val="none"/>
          </c:marker>
          <c:xVal>
            <c:numRef>
              <c:f>'graphs unconditional'!$B$29:$B$38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'graphs unconditional'!$H$29:$H$38</c:f>
              <c:numCache>
                <c:formatCode>General</c:formatCode>
                <c:ptCount val="10"/>
                <c:pt idx="0">
                  <c:v>1</c:v>
                </c:pt>
                <c:pt idx="1">
                  <c:v>2</c:v>
                </c:pt>
                <c:pt idx="2">
                  <c:v>2</c:v>
                </c:pt>
                <c:pt idx="3">
                  <c:v>2</c:v>
                </c:pt>
                <c:pt idx="4">
                  <c:v>3</c:v>
                </c:pt>
                <c:pt idx="5">
                  <c:v>3</c:v>
                </c:pt>
                <c:pt idx="6">
                  <c:v>3</c:v>
                </c:pt>
                <c:pt idx="7">
                  <c:v>3</c:v>
                </c:pt>
                <c:pt idx="8">
                  <c:v>4</c:v>
                </c:pt>
                <c:pt idx="9">
                  <c:v>4</c:v>
                </c:pt>
              </c:numCache>
            </c:numRef>
          </c:yVal>
          <c:smooth val="0"/>
          <c:extLst>
            <c:ext xmlns:c16="http://schemas.microsoft.com/office/drawing/2014/chart" uri="{C3380CC4-5D6E-409C-BE32-E72D297353CC}">
              <c16:uniqueId val="{00000005-8929-40AF-90B0-3DA4DAB055D0}"/>
            </c:ext>
          </c:extLst>
        </c:ser>
        <c:dLbls>
          <c:showLegendKey val="0"/>
          <c:showVal val="0"/>
          <c:showCatName val="0"/>
          <c:showSerName val="0"/>
          <c:showPercent val="0"/>
          <c:showBubbleSize val="0"/>
        </c:dLbls>
        <c:axId val="213148344"/>
        <c:axId val="213147168"/>
      </c:scatterChart>
      <c:valAx>
        <c:axId val="213148344"/>
        <c:scaling>
          <c:orientation val="minMax"/>
          <c:max val="1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7168"/>
        <c:crosses val="autoZero"/>
        <c:crossBetween val="midCat"/>
        <c:majorUnit val="1"/>
        <c:minorUnit val="1"/>
      </c:valAx>
      <c:valAx>
        <c:axId val="21314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8344"/>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i="0" baseline="0">
                <a:effectLst/>
              </a:rPr>
              <a:t>Number of A articles based on first placement (Sample 2)</a:t>
            </a:r>
            <a:endParaRPr lang="en-US" sz="1100">
              <a:effectLst/>
            </a:endParaRPr>
          </a:p>
        </c:rich>
      </c:tx>
      <c:overlay val="0"/>
      <c:spPr>
        <a:noFill/>
        <a:ln>
          <a:noFill/>
        </a:ln>
        <a:effectLst/>
      </c:spPr>
    </c:title>
    <c:autoTitleDeleted val="0"/>
    <c:plotArea>
      <c:layout/>
      <c:scatterChart>
        <c:scatterStyle val="lineMarker"/>
        <c:varyColors val="0"/>
        <c:ser>
          <c:idx val="0"/>
          <c:order val="0"/>
          <c:tx>
            <c:strRef>
              <c:f>'graphs unconditional'!$C$3</c:f>
              <c:strCache>
                <c:ptCount val="1"/>
                <c:pt idx="0">
                  <c:v>Top 20 Mean</c:v>
                </c:pt>
              </c:strCache>
            </c:strRef>
          </c:tx>
          <c:spPr>
            <a:ln w="44450" cap="rnd">
              <a:solidFill>
                <a:schemeClr val="tx1"/>
              </a:solidFill>
              <a:prstDash val="sysDot"/>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unconditional'!$C$4:$C$23</c:f>
              <c:numCache>
                <c:formatCode>General</c:formatCode>
                <c:ptCount val="20"/>
                <c:pt idx="0">
                  <c:v>0.89126559999999999</c:v>
                </c:pt>
                <c:pt idx="1">
                  <c:v>1.1158650000000001</c:v>
                </c:pt>
                <c:pt idx="2">
                  <c:v>1.3333330000000001</c:v>
                </c:pt>
                <c:pt idx="3">
                  <c:v>1.6042780000000001</c:v>
                </c:pt>
                <c:pt idx="4">
                  <c:v>1.818182</c:v>
                </c:pt>
                <c:pt idx="5">
                  <c:v>2.005347</c:v>
                </c:pt>
                <c:pt idx="6">
                  <c:v>2.2049910000000001</c:v>
                </c:pt>
                <c:pt idx="7">
                  <c:v>2.4046340000000002</c:v>
                </c:pt>
                <c:pt idx="8">
                  <c:v>2.6007129999999998</c:v>
                </c:pt>
                <c:pt idx="9">
                  <c:v>2.7664879999999998</c:v>
                </c:pt>
                <c:pt idx="10">
                  <c:v>2.9251339999999999</c:v>
                </c:pt>
                <c:pt idx="11">
                  <c:v>3.0748660000000001</c:v>
                </c:pt>
                <c:pt idx="12">
                  <c:v>3.2477719999999999</c:v>
                </c:pt>
                <c:pt idx="13">
                  <c:v>3.4171119999999999</c:v>
                </c:pt>
                <c:pt idx="14">
                  <c:v>3.614973</c:v>
                </c:pt>
                <c:pt idx="15">
                  <c:v>3.7985739999999999</c:v>
                </c:pt>
                <c:pt idx="16">
                  <c:v>3.966132</c:v>
                </c:pt>
                <c:pt idx="17">
                  <c:v>4.1194300000000004</c:v>
                </c:pt>
                <c:pt idx="18">
                  <c:v>4.2442070000000003</c:v>
                </c:pt>
                <c:pt idx="19">
                  <c:v>4.3992870000000002</c:v>
                </c:pt>
              </c:numCache>
            </c:numRef>
          </c:yVal>
          <c:smooth val="0"/>
          <c:extLst>
            <c:ext xmlns:c16="http://schemas.microsoft.com/office/drawing/2014/chart" uri="{C3380CC4-5D6E-409C-BE32-E72D297353CC}">
              <c16:uniqueId val="{00000000-485D-4DE9-BD3B-B18495B54B46}"/>
            </c:ext>
          </c:extLst>
        </c:ser>
        <c:ser>
          <c:idx val="1"/>
          <c:order val="1"/>
          <c:tx>
            <c:strRef>
              <c:f>'graphs unconditional'!$D$3</c:f>
              <c:strCache>
                <c:ptCount val="1"/>
                <c:pt idx="0">
                  <c:v>Top 20 Top 25%</c:v>
                </c:pt>
              </c:strCache>
            </c:strRef>
          </c:tx>
          <c:spPr>
            <a:ln w="44450" cap="rnd">
              <a:solidFill>
                <a:schemeClr val="tx1"/>
              </a:solidFill>
              <a:prstDash val="sysDash"/>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unconditional'!$D$4:$D$23</c:f>
              <c:numCache>
                <c:formatCode>General</c:formatCode>
                <c:ptCount val="20"/>
                <c:pt idx="0">
                  <c:v>1</c:v>
                </c:pt>
                <c:pt idx="1">
                  <c:v>2</c:v>
                </c:pt>
                <c:pt idx="2">
                  <c:v>2</c:v>
                </c:pt>
                <c:pt idx="3">
                  <c:v>2</c:v>
                </c:pt>
                <c:pt idx="4">
                  <c:v>3</c:v>
                </c:pt>
                <c:pt idx="5">
                  <c:v>3</c:v>
                </c:pt>
                <c:pt idx="6">
                  <c:v>3</c:v>
                </c:pt>
                <c:pt idx="7">
                  <c:v>4</c:v>
                </c:pt>
                <c:pt idx="8">
                  <c:v>4</c:v>
                </c:pt>
                <c:pt idx="9">
                  <c:v>4</c:v>
                </c:pt>
                <c:pt idx="10">
                  <c:v>4</c:v>
                </c:pt>
                <c:pt idx="11">
                  <c:v>4</c:v>
                </c:pt>
                <c:pt idx="12">
                  <c:v>5</c:v>
                </c:pt>
                <c:pt idx="13">
                  <c:v>5</c:v>
                </c:pt>
                <c:pt idx="14">
                  <c:v>5</c:v>
                </c:pt>
                <c:pt idx="15">
                  <c:v>5</c:v>
                </c:pt>
                <c:pt idx="16">
                  <c:v>6</c:v>
                </c:pt>
                <c:pt idx="17">
                  <c:v>6</c:v>
                </c:pt>
                <c:pt idx="18">
                  <c:v>6</c:v>
                </c:pt>
                <c:pt idx="19">
                  <c:v>6</c:v>
                </c:pt>
              </c:numCache>
            </c:numRef>
          </c:yVal>
          <c:smooth val="0"/>
          <c:extLst>
            <c:ext xmlns:c16="http://schemas.microsoft.com/office/drawing/2014/chart" uri="{C3380CC4-5D6E-409C-BE32-E72D297353CC}">
              <c16:uniqueId val="{00000001-485D-4DE9-BD3B-B18495B54B46}"/>
            </c:ext>
          </c:extLst>
        </c:ser>
        <c:ser>
          <c:idx val="2"/>
          <c:order val="2"/>
          <c:tx>
            <c:strRef>
              <c:f>'graphs unconditional'!$E$3</c:f>
              <c:strCache>
                <c:ptCount val="1"/>
                <c:pt idx="0">
                  <c:v>Top 20 Top 10%</c:v>
                </c:pt>
              </c:strCache>
            </c:strRef>
          </c:tx>
          <c:spPr>
            <a:ln w="44450" cap="rnd">
              <a:solidFill>
                <a:schemeClr val="tx1"/>
              </a:solidFill>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unconditional'!$E$4:$E$23</c:f>
              <c:numCache>
                <c:formatCode>General</c:formatCode>
                <c:ptCount val="20"/>
                <c:pt idx="0">
                  <c:v>2</c:v>
                </c:pt>
                <c:pt idx="1">
                  <c:v>2</c:v>
                </c:pt>
                <c:pt idx="2">
                  <c:v>3</c:v>
                </c:pt>
                <c:pt idx="3">
                  <c:v>4</c:v>
                </c:pt>
                <c:pt idx="4">
                  <c:v>4</c:v>
                </c:pt>
                <c:pt idx="5">
                  <c:v>5</c:v>
                </c:pt>
                <c:pt idx="6">
                  <c:v>5</c:v>
                </c:pt>
                <c:pt idx="7">
                  <c:v>6</c:v>
                </c:pt>
                <c:pt idx="8">
                  <c:v>6</c:v>
                </c:pt>
                <c:pt idx="9">
                  <c:v>7</c:v>
                </c:pt>
                <c:pt idx="10">
                  <c:v>7</c:v>
                </c:pt>
                <c:pt idx="11">
                  <c:v>7</c:v>
                </c:pt>
                <c:pt idx="12">
                  <c:v>8</c:v>
                </c:pt>
                <c:pt idx="13">
                  <c:v>9</c:v>
                </c:pt>
                <c:pt idx="14">
                  <c:v>9</c:v>
                </c:pt>
                <c:pt idx="15">
                  <c:v>10</c:v>
                </c:pt>
                <c:pt idx="16">
                  <c:v>10</c:v>
                </c:pt>
                <c:pt idx="17">
                  <c:v>11</c:v>
                </c:pt>
                <c:pt idx="18">
                  <c:v>11</c:v>
                </c:pt>
                <c:pt idx="19">
                  <c:v>12</c:v>
                </c:pt>
              </c:numCache>
            </c:numRef>
          </c:yVal>
          <c:smooth val="0"/>
          <c:extLst>
            <c:ext xmlns:c16="http://schemas.microsoft.com/office/drawing/2014/chart" uri="{C3380CC4-5D6E-409C-BE32-E72D297353CC}">
              <c16:uniqueId val="{00000002-485D-4DE9-BD3B-B18495B54B46}"/>
            </c:ext>
          </c:extLst>
        </c:ser>
        <c:ser>
          <c:idx val="3"/>
          <c:order val="3"/>
          <c:tx>
            <c:strRef>
              <c:f>'graphs unconditional'!$F$3</c:f>
              <c:strCache>
                <c:ptCount val="1"/>
                <c:pt idx="0">
                  <c:v>50-100 Mean</c:v>
                </c:pt>
              </c:strCache>
            </c:strRef>
          </c:tx>
          <c:spPr>
            <a:ln w="19050" cap="rnd">
              <a:solidFill>
                <a:schemeClr val="tx1">
                  <a:lumMod val="65000"/>
                  <a:lumOff val="35000"/>
                </a:schemeClr>
              </a:solidFill>
              <a:prstDash val="sysDot"/>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unconditional'!$F$4:$F$23</c:f>
              <c:numCache>
                <c:formatCode>General</c:formatCode>
                <c:ptCount val="20"/>
                <c:pt idx="0">
                  <c:v>0.52559730000000005</c:v>
                </c:pt>
                <c:pt idx="1">
                  <c:v>0.64163820000000005</c:v>
                </c:pt>
                <c:pt idx="2">
                  <c:v>0.73378840000000001</c:v>
                </c:pt>
                <c:pt idx="3">
                  <c:v>0.81911259999999997</c:v>
                </c:pt>
                <c:pt idx="4">
                  <c:v>0.8771331</c:v>
                </c:pt>
                <c:pt idx="5">
                  <c:v>0.95221840000000002</c:v>
                </c:pt>
                <c:pt idx="6">
                  <c:v>1</c:v>
                </c:pt>
                <c:pt idx="7">
                  <c:v>1.0682590000000001</c:v>
                </c:pt>
                <c:pt idx="8">
                  <c:v>1.1569970000000001</c:v>
                </c:pt>
                <c:pt idx="9">
                  <c:v>1.221843</c:v>
                </c:pt>
                <c:pt idx="10">
                  <c:v>1.276451</c:v>
                </c:pt>
                <c:pt idx="11">
                  <c:v>1.3583620000000001</c:v>
                </c:pt>
                <c:pt idx="12">
                  <c:v>1.4539249999999999</c:v>
                </c:pt>
                <c:pt idx="13">
                  <c:v>1.5324230000000001</c:v>
                </c:pt>
                <c:pt idx="14">
                  <c:v>1.610922</c:v>
                </c:pt>
                <c:pt idx="15">
                  <c:v>1.6825939999999999</c:v>
                </c:pt>
                <c:pt idx="16">
                  <c:v>1.744027</c:v>
                </c:pt>
                <c:pt idx="17">
                  <c:v>1.8225260000000001</c:v>
                </c:pt>
                <c:pt idx="18">
                  <c:v>1.8976109999999999</c:v>
                </c:pt>
                <c:pt idx="19">
                  <c:v>1.9692829999999999</c:v>
                </c:pt>
              </c:numCache>
            </c:numRef>
          </c:yVal>
          <c:smooth val="0"/>
          <c:extLst>
            <c:ext xmlns:c16="http://schemas.microsoft.com/office/drawing/2014/chart" uri="{C3380CC4-5D6E-409C-BE32-E72D297353CC}">
              <c16:uniqueId val="{00000003-485D-4DE9-BD3B-B18495B54B46}"/>
            </c:ext>
          </c:extLst>
        </c:ser>
        <c:ser>
          <c:idx val="4"/>
          <c:order val="4"/>
          <c:tx>
            <c:strRef>
              <c:f>'graphs unconditional'!$G$3</c:f>
              <c:strCache>
                <c:ptCount val="1"/>
                <c:pt idx="0">
                  <c:v>50-100 Top 25%</c:v>
                </c:pt>
              </c:strCache>
            </c:strRef>
          </c:tx>
          <c:spPr>
            <a:ln w="19050" cap="rnd">
              <a:solidFill>
                <a:schemeClr val="tx1">
                  <a:lumMod val="50000"/>
                  <a:lumOff val="50000"/>
                </a:schemeClr>
              </a:solidFill>
              <a:prstDash val="dash"/>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unconditional'!$G$4:$G$23</c:f>
              <c:numCache>
                <c:formatCode>General</c:formatCode>
                <c:ptCount val="20"/>
                <c:pt idx="0">
                  <c:v>1</c:v>
                </c:pt>
                <c:pt idx="1">
                  <c:v>1</c:v>
                </c:pt>
                <c:pt idx="2">
                  <c:v>1</c:v>
                </c:pt>
                <c:pt idx="3">
                  <c:v>1</c:v>
                </c:pt>
                <c:pt idx="4">
                  <c:v>2</c:v>
                </c:pt>
                <c:pt idx="5">
                  <c:v>2</c:v>
                </c:pt>
                <c:pt idx="6">
                  <c:v>2</c:v>
                </c:pt>
                <c:pt idx="7">
                  <c:v>2</c:v>
                </c:pt>
                <c:pt idx="8">
                  <c:v>2</c:v>
                </c:pt>
                <c:pt idx="9">
                  <c:v>2</c:v>
                </c:pt>
                <c:pt idx="10">
                  <c:v>2</c:v>
                </c:pt>
                <c:pt idx="11">
                  <c:v>2</c:v>
                </c:pt>
                <c:pt idx="12">
                  <c:v>2</c:v>
                </c:pt>
                <c:pt idx="13">
                  <c:v>2</c:v>
                </c:pt>
                <c:pt idx="14">
                  <c:v>3</c:v>
                </c:pt>
                <c:pt idx="15">
                  <c:v>3</c:v>
                </c:pt>
                <c:pt idx="16">
                  <c:v>3</c:v>
                </c:pt>
                <c:pt idx="17">
                  <c:v>3</c:v>
                </c:pt>
                <c:pt idx="18">
                  <c:v>3</c:v>
                </c:pt>
                <c:pt idx="19">
                  <c:v>3</c:v>
                </c:pt>
              </c:numCache>
            </c:numRef>
          </c:yVal>
          <c:smooth val="0"/>
          <c:extLst>
            <c:ext xmlns:c16="http://schemas.microsoft.com/office/drawing/2014/chart" uri="{C3380CC4-5D6E-409C-BE32-E72D297353CC}">
              <c16:uniqueId val="{00000004-485D-4DE9-BD3B-B18495B54B46}"/>
            </c:ext>
          </c:extLst>
        </c:ser>
        <c:ser>
          <c:idx val="5"/>
          <c:order val="5"/>
          <c:tx>
            <c:strRef>
              <c:f>'graphs unconditional'!$H$3</c:f>
              <c:strCache>
                <c:ptCount val="1"/>
                <c:pt idx="0">
                  <c:v>50-100 Top 10%</c:v>
                </c:pt>
              </c:strCache>
            </c:strRef>
          </c:tx>
          <c:spPr>
            <a:ln w="19050" cap="rnd">
              <a:solidFill>
                <a:schemeClr val="tx1">
                  <a:lumMod val="65000"/>
                  <a:lumOff val="35000"/>
                </a:schemeClr>
              </a:solidFill>
              <a:round/>
            </a:ln>
            <a:effectLst/>
          </c:spPr>
          <c:marker>
            <c:symbol val="none"/>
          </c:marker>
          <c:xVal>
            <c:numRef>
              <c:f>'graphs unconditional'!$B$4:$B$23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'graphs unconditional'!$H$4:$H$23</c:f>
              <c:numCache>
                <c:formatCode>General</c:formatCode>
                <c:ptCount val="20"/>
                <c:pt idx="0">
                  <c:v>1</c:v>
                </c:pt>
                <c:pt idx="1">
                  <c:v>2</c:v>
                </c:pt>
                <c:pt idx="2">
                  <c:v>2</c:v>
                </c:pt>
                <c:pt idx="3">
                  <c:v>2</c:v>
                </c:pt>
                <c:pt idx="4">
                  <c:v>3</c:v>
                </c:pt>
                <c:pt idx="5">
                  <c:v>3</c:v>
                </c:pt>
                <c:pt idx="6">
                  <c:v>3</c:v>
                </c:pt>
                <c:pt idx="7">
                  <c:v>3</c:v>
                </c:pt>
                <c:pt idx="8">
                  <c:v>3</c:v>
                </c:pt>
                <c:pt idx="9">
                  <c:v>3</c:v>
                </c:pt>
                <c:pt idx="10">
                  <c:v>4</c:v>
                </c:pt>
                <c:pt idx="11">
                  <c:v>4</c:v>
                </c:pt>
                <c:pt idx="12">
                  <c:v>4</c:v>
                </c:pt>
                <c:pt idx="13">
                  <c:v>4</c:v>
                </c:pt>
                <c:pt idx="14">
                  <c:v>4</c:v>
                </c:pt>
                <c:pt idx="15">
                  <c:v>5</c:v>
                </c:pt>
                <c:pt idx="16">
                  <c:v>5</c:v>
                </c:pt>
                <c:pt idx="17">
                  <c:v>5</c:v>
                </c:pt>
                <c:pt idx="18">
                  <c:v>5</c:v>
                </c:pt>
                <c:pt idx="19">
                  <c:v>5</c:v>
                </c:pt>
              </c:numCache>
            </c:numRef>
          </c:yVal>
          <c:smooth val="0"/>
          <c:extLst>
            <c:ext xmlns:c16="http://schemas.microsoft.com/office/drawing/2014/chart" uri="{C3380CC4-5D6E-409C-BE32-E72D297353CC}">
              <c16:uniqueId val="{00000005-485D-4DE9-BD3B-B18495B54B46}"/>
            </c:ext>
          </c:extLst>
        </c:ser>
        <c:dLbls>
          <c:showLegendKey val="0"/>
          <c:showVal val="0"/>
          <c:showCatName val="0"/>
          <c:showSerName val="0"/>
          <c:showPercent val="0"/>
          <c:showBubbleSize val="0"/>
        </c:dLbls>
        <c:axId val="213147952"/>
        <c:axId val="213146384"/>
      </c:scatterChart>
      <c:valAx>
        <c:axId val="213147952"/>
        <c:scaling>
          <c:orientation val="minMax"/>
          <c:max val="2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6384"/>
        <c:crosses val="autoZero"/>
        <c:crossBetween val="midCat"/>
        <c:majorUnit val="1"/>
        <c:minorUnit val="1"/>
      </c:valAx>
      <c:valAx>
        <c:axId val="21314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795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Authors accumulated producity at tenure=5</a:t>
            </a:r>
            <a:r>
              <a:rPr lang="en-US" sz="1200" baseline="0"/>
              <a:t> (Sample 1)</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'Descriptive performance'!$H$6</c:f>
              <c:strCache>
                <c:ptCount val="1"/>
                <c:pt idx="0">
                  <c:v>Top 20</c:v>
                </c:pt>
              </c:strCache>
            </c:strRef>
          </c:tx>
          <c:spPr>
            <a:solidFill>
              <a:schemeClr val="tx1"/>
            </a:solidFill>
            <a:ln>
              <a:noFill/>
            </a:ln>
            <a:effectLst/>
          </c:spPr>
          <c:invertIfNegative val="0"/>
          <c:cat>
            <c:strRef>
              <c:f>'Descriptive performance'!$I$3:$S$3</c:f>
              <c:strCache>
                <c:ptCount val="11"/>
                <c:pt idx="0">
                  <c:v>0</c:v>
                </c:pt>
                <c:pt idx="1">
                  <c:v>1</c:v>
                </c:pt>
                <c:pt idx="2">
                  <c:v>2</c:v>
                </c:pt>
                <c:pt idx="3">
                  <c:v>3</c:v>
                </c:pt>
                <c:pt idx="4">
                  <c:v>4</c:v>
                </c:pt>
                <c:pt idx="5">
                  <c:v>5</c:v>
                </c:pt>
                <c:pt idx="6">
                  <c:v>6</c:v>
                </c:pt>
                <c:pt idx="7">
                  <c:v>7</c:v>
                </c:pt>
                <c:pt idx="8">
                  <c:v>8</c:v>
                </c:pt>
                <c:pt idx="9">
                  <c:v>9</c:v>
                </c:pt>
                <c:pt idx="10">
                  <c:v>10+</c:v>
                </c:pt>
              </c:strCache>
            </c:strRef>
          </c:cat>
          <c:val>
            <c:numRef>
              <c:f>'Descriptive performance'!$I$6:$S$6</c:f>
              <c:numCache>
                <c:formatCode>0.00%</c:formatCode>
                <c:ptCount val="11"/>
                <c:pt idx="0">
                  <c:v>0.24647122692725298</c:v>
                </c:pt>
                <c:pt idx="1">
                  <c:v>0.24104234527687296</c:v>
                </c:pt>
                <c:pt idx="2">
                  <c:v>0.19543973941368079</c:v>
                </c:pt>
                <c:pt idx="3">
                  <c:v>0.14440825190010859</c:v>
                </c:pt>
                <c:pt idx="4">
                  <c:v>7.4918566775244305E-2</c:v>
                </c:pt>
                <c:pt idx="5">
                  <c:v>4.8859934853420196E-2</c:v>
                </c:pt>
                <c:pt idx="6">
                  <c:v>2.3887079261672096E-2</c:v>
                </c:pt>
                <c:pt idx="7">
                  <c:v>1.5200868621064061E-2</c:v>
                </c:pt>
                <c:pt idx="8">
                  <c:v>6.5146579804560263E-3</c:v>
                </c:pt>
                <c:pt idx="9">
                  <c:v>3.2573289902280132E-3</c:v>
                </c:pt>
                <c:pt idx="10">
                  <c:v>0</c:v>
                </c:pt>
              </c:numCache>
            </c:numRef>
          </c:val>
          <c:extLst>
            <c:ext xmlns:c16="http://schemas.microsoft.com/office/drawing/2014/chart" uri="{C3380CC4-5D6E-409C-BE32-E72D297353CC}">
              <c16:uniqueId val="{00000000-2FFE-45D3-9F16-3F63B7D5AAC5}"/>
            </c:ext>
          </c:extLst>
        </c:ser>
        <c:ser>
          <c:idx val="1"/>
          <c:order val="1"/>
          <c:tx>
            <c:strRef>
              <c:f>'Descriptive performance'!$H$7</c:f>
              <c:strCache>
                <c:ptCount val="1"/>
                <c:pt idx="0">
                  <c:v>Top 51-100</c:v>
                </c:pt>
              </c:strCache>
            </c:strRef>
          </c:tx>
          <c:spPr>
            <a:solidFill>
              <a:schemeClr val="tx1">
                <a:lumMod val="50000"/>
                <a:lumOff val="50000"/>
              </a:schemeClr>
            </a:solidFill>
            <a:ln>
              <a:noFill/>
            </a:ln>
            <a:effectLst/>
          </c:spPr>
          <c:invertIfNegative val="0"/>
          <c:cat>
            <c:strRef>
              <c:f>'Descriptive performance'!$I$3:$S$3</c:f>
              <c:strCache>
                <c:ptCount val="11"/>
                <c:pt idx="0">
                  <c:v>0</c:v>
                </c:pt>
                <c:pt idx="1">
                  <c:v>1</c:v>
                </c:pt>
                <c:pt idx="2">
                  <c:v>2</c:v>
                </c:pt>
                <c:pt idx="3">
                  <c:v>3</c:v>
                </c:pt>
                <c:pt idx="4">
                  <c:v>4</c:v>
                </c:pt>
                <c:pt idx="5">
                  <c:v>5</c:v>
                </c:pt>
                <c:pt idx="6">
                  <c:v>6</c:v>
                </c:pt>
                <c:pt idx="7">
                  <c:v>7</c:v>
                </c:pt>
                <c:pt idx="8">
                  <c:v>8</c:v>
                </c:pt>
                <c:pt idx="9">
                  <c:v>9</c:v>
                </c:pt>
                <c:pt idx="10">
                  <c:v>10+</c:v>
                </c:pt>
              </c:strCache>
            </c:strRef>
          </c:cat>
          <c:val>
            <c:numRef>
              <c:f>'Descriptive performance'!$I$7:$S$7</c:f>
              <c:numCache>
                <c:formatCode>0.00%</c:formatCode>
                <c:ptCount val="11"/>
                <c:pt idx="0">
                  <c:v>0.48233486943164361</c:v>
                </c:pt>
                <c:pt idx="1">
                  <c:v>0.23809523809523808</c:v>
                </c:pt>
                <c:pt idx="2">
                  <c:v>0.16129032258064516</c:v>
                </c:pt>
                <c:pt idx="3">
                  <c:v>7.0660522273425494E-2</c:v>
                </c:pt>
                <c:pt idx="4">
                  <c:v>2.6113671274961597E-2</c:v>
                </c:pt>
                <c:pt idx="5">
                  <c:v>1.2288786482334869E-2</c:v>
                </c:pt>
                <c:pt idx="6">
                  <c:v>6.1443932411674347E-3</c:v>
                </c:pt>
                <c:pt idx="7">
                  <c:v>3.0721966205837174E-3</c:v>
                </c:pt>
                <c:pt idx="8">
                  <c:v>0</c:v>
                </c:pt>
                <c:pt idx="9">
                  <c:v>0</c:v>
                </c:pt>
                <c:pt idx="10">
                  <c:v>0</c:v>
                </c:pt>
              </c:numCache>
            </c:numRef>
          </c:val>
          <c:extLst>
            <c:ext xmlns:c16="http://schemas.microsoft.com/office/drawing/2014/chart" uri="{C3380CC4-5D6E-409C-BE32-E72D297353CC}">
              <c16:uniqueId val="{00000001-2FFE-45D3-9F16-3F63B7D5AAC5}"/>
            </c:ext>
          </c:extLst>
        </c:ser>
        <c:dLbls>
          <c:showLegendKey val="0"/>
          <c:showVal val="0"/>
          <c:showCatName val="0"/>
          <c:showSerName val="0"/>
          <c:showPercent val="0"/>
          <c:showBubbleSize val="0"/>
        </c:dLbls>
        <c:gapWidth val="219"/>
        <c:overlap val="-27"/>
        <c:axId val="213146776"/>
        <c:axId val="213145992"/>
      </c:barChart>
      <c:catAx>
        <c:axId val="21314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5992"/>
        <c:crosses val="autoZero"/>
        <c:auto val="1"/>
        <c:lblAlgn val="ctr"/>
        <c:lblOffset val="100"/>
        <c:noMultiLvlLbl val="0"/>
      </c:catAx>
      <c:valAx>
        <c:axId val="213145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6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Authors accumulated producity at tenure=10 (Sample 2)</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77696392602088"/>
          <c:y val="0.19995793116586233"/>
          <c:w val="0.85334951881014875"/>
          <c:h val="0.61498432487605714"/>
        </c:manualLayout>
      </c:layout>
      <c:barChart>
        <c:barDir val="col"/>
        <c:grouping val="clustered"/>
        <c:varyColors val="0"/>
        <c:ser>
          <c:idx val="0"/>
          <c:order val="0"/>
          <c:tx>
            <c:strRef>
              <c:f>'Descriptive performance'!$H$55</c:f>
              <c:strCache>
                <c:ptCount val="1"/>
                <c:pt idx="0">
                  <c:v>Top 20</c:v>
                </c:pt>
              </c:strCache>
            </c:strRef>
          </c:tx>
          <c:spPr>
            <a:solidFill>
              <a:schemeClr val="tx1"/>
            </a:solidFill>
            <a:ln>
              <a:noFill/>
            </a:ln>
            <a:effectLst/>
          </c:spPr>
          <c:invertIfNegative val="0"/>
          <c:cat>
            <c:strRef>
              <c:f>'Descriptive performance'!$I$52:$S$52</c:f>
              <c:strCache>
                <c:ptCount val="11"/>
                <c:pt idx="0">
                  <c:v>0</c:v>
                </c:pt>
                <c:pt idx="1">
                  <c:v>1</c:v>
                </c:pt>
                <c:pt idx="2">
                  <c:v>2</c:v>
                </c:pt>
                <c:pt idx="3">
                  <c:v>3</c:v>
                </c:pt>
                <c:pt idx="4">
                  <c:v>4</c:v>
                </c:pt>
                <c:pt idx="5">
                  <c:v>5</c:v>
                </c:pt>
                <c:pt idx="6">
                  <c:v>6</c:v>
                </c:pt>
                <c:pt idx="7">
                  <c:v>7</c:v>
                </c:pt>
                <c:pt idx="8">
                  <c:v>8</c:v>
                </c:pt>
                <c:pt idx="9">
                  <c:v>9</c:v>
                </c:pt>
                <c:pt idx="10">
                  <c:v>10+</c:v>
                </c:pt>
              </c:strCache>
            </c:strRef>
          </c:cat>
          <c:val>
            <c:numRef>
              <c:f>'Descriptive performance'!$I$55:$S$55</c:f>
              <c:numCache>
                <c:formatCode>0.00%</c:formatCode>
                <c:ptCount val="11"/>
                <c:pt idx="0">
                  <c:v>0.19964349376114082</c:v>
                </c:pt>
                <c:pt idx="1">
                  <c:v>0.20855614973262032</c:v>
                </c:pt>
                <c:pt idx="2">
                  <c:v>0.16934046345811052</c:v>
                </c:pt>
                <c:pt idx="3">
                  <c:v>0.1140819964349376</c:v>
                </c:pt>
                <c:pt idx="4">
                  <c:v>8.7344028520499106E-2</c:v>
                </c:pt>
                <c:pt idx="5">
                  <c:v>8.1996434937611412E-2</c:v>
                </c:pt>
                <c:pt idx="6">
                  <c:v>3.3868092691622102E-2</c:v>
                </c:pt>
                <c:pt idx="7">
                  <c:v>3.9215686274509803E-2</c:v>
                </c:pt>
                <c:pt idx="8">
                  <c:v>1.9607843137254902E-2</c:v>
                </c:pt>
                <c:pt idx="9">
                  <c:v>2.3172905525846704E-2</c:v>
                </c:pt>
                <c:pt idx="10">
                  <c:v>2.3172905525846704E-2</c:v>
                </c:pt>
              </c:numCache>
            </c:numRef>
          </c:val>
          <c:extLst>
            <c:ext xmlns:c16="http://schemas.microsoft.com/office/drawing/2014/chart" uri="{C3380CC4-5D6E-409C-BE32-E72D297353CC}">
              <c16:uniqueId val="{00000000-A164-487C-BA77-419EDA76A5AF}"/>
            </c:ext>
          </c:extLst>
        </c:ser>
        <c:ser>
          <c:idx val="1"/>
          <c:order val="1"/>
          <c:tx>
            <c:strRef>
              <c:f>'Descriptive performance'!$H$56</c:f>
              <c:strCache>
                <c:ptCount val="1"/>
                <c:pt idx="0">
                  <c:v>Top 51-100</c:v>
                </c:pt>
              </c:strCache>
            </c:strRef>
          </c:tx>
          <c:spPr>
            <a:solidFill>
              <a:schemeClr val="tx1">
                <a:lumMod val="50000"/>
                <a:lumOff val="50000"/>
              </a:schemeClr>
            </a:solidFill>
            <a:ln>
              <a:noFill/>
            </a:ln>
            <a:effectLst/>
          </c:spPr>
          <c:invertIfNegative val="0"/>
          <c:cat>
            <c:strRef>
              <c:f>'Descriptive performance'!$I$52:$S$52</c:f>
              <c:strCache>
                <c:ptCount val="11"/>
                <c:pt idx="0">
                  <c:v>0</c:v>
                </c:pt>
                <c:pt idx="1">
                  <c:v>1</c:v>
                </c:pt>
                <c:pt idx="2">
                  <c:v>2</c:v>
                </c:pt>
                <c:pt idx="3">
                  <c:v>3</c:v>
                </c:pt>
                <c:pt idx="4">
                  <c:v>4</c:v>
                </c:pt>
                <c:pt idx="5">
                  <c:v>5</c:v>
                </c:pt>
                <c:pt idx="6">
                  <c:v>6</c:v>
                </c:pt>
                <c:pt idx="7">
                  <c:v>7</c:v>
                </c:pt>
                <c:pt idx="8">
                  <c:v>8</c:v>
                </c:pt>
                <c:pt idx="9">
                  <c:v>9</c:v>
                </c:pt>
                <c:pt idx="10">
                  <c:v>10+</c:v>
                </c:pt>
              </c:strCache>
            </c:strRef>
          </c:cat>
          <c:val>
            <c:numRef>
              <c:f>'Descriptive performance'!$I$56:$S$56</c:f>
              <c:numCache>
                <c:formatCode>0.00%</c:formatCode>
                <c:ptCount val="11"/>
                <c:pt idx="0">
                  <c:v>0.46416382252559729</c:v>
                </c:pt>
                <c:pt idx="1">
                  <c:v>0.21843003412969283</c:v>
                </c:pt>
                <c:pt idx="2">
                  <c:v>0.12627986348122866</c:v>
                </c:pt>
                <c:pt idx="3">
                  <c:v>9.2150170648464161E-2</c:v>
                </c:pt>
                <c:pt idx="4">
                  <c:v>5.8020477815699661E-2</c:v>
                </c:pt>
                <c:pt idx="5">
                  <c:v>2.3890784982935155E-2</c:v>
                </c:pt>
                <c:pt idx="6">
                  <c:v>1.0238907849829351E-2</c:v>
                </c:pt>
                <c:pt idx="7">
                  <c:v>0</c:v>
                </c:pt>
                <c:pt idx="8">
                  <c:v>3.4129692832764505E-3</c:v>
                </c:pt>
                <c:pt idx="9">
                  <c:v>0</c:v>
                </c:pt>
                <c:pt idx="10">
                  <c:v>3.4129692832764505E-3</c:v>
                </c:pt>
              </c:numCache>
            </c:numRef>
          </c:val>
          <c:extLst>
            <c:ext xmlns:c16="http://schemas.microsoft.com/office/drawing/2014/chart" uri="{C3380CC4-5D6E-409C-BE32-E72D297353CC}">
              <c16:uniqueId val="{00000001-A164-487C-BA77-419EDA76A5AF}"/>
            </c:ext>
          </c:extLst>
        </c:ser>
        <c:dLbls>
          <c:showLegendKey val="0"/>
          <c:showVal val="0"/>
          <c:showCatName val="0"/>
          <c:showSerName val="0"/>
          <c:showPercent val="0"/>
          <c:showBubbleSize val="0"/>
        </c:dLbls>
        <c:gapWidth val="219"/>
        <c:overlap val="-27"/>
        <c:axId val="564549592"/>
        <c:axId val="582150128"/>
      </c:barChart>
      <c:catAx>
        <c:axId val="56454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150128"/>
        <c:crosses val="autoZero"/>
        <c:auto val="1"/>
        <c:lblAlgn val="ctr"/>
        <c:lblOffset val="100"/>
        <c:noMultiLvlLbl val="0"/>
      </c:catAx>
      <c:valAx>
        <c:axId val="582150128"/>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49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3433731622708E-2"/>
          <c:y val="1.1368248647766645E-2"/>
          <c:w val="0.91996431914542154"/>
          <c:h val="0.88338043888856632"/>
        </c:manualLayout>
      </c:layout>
      <c:scatterChart>
        <c:scatterStyle val="lineMarker"/>
        <c:varyColors val="0"/>
        <c:ser>
          <c:idx val="0"/>
          <c:order val="0"/>
          <c:tx>
            <c:strRef>
              <c:f>'Matching at year 5'!$B$42</c:f>
              <c:strCache>
                <c:ptCount val="1"/>
                <c:pt idx="0">
                  <c:v>0 Top A Top 20</c:v>
                </c:pt>
              </c:strCache>
            </c:strRef>
          </c:tx>
          <c:spPr>
            <a:ln w="19050" cap="rnd">
              <a:solidFill>
                <a:schemeClr val="tx1"/>
              </a:solidFill>
              <a:prstDash val="sysDot"/>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5'!$C$42:$H$42</c:f>
              <c:numCache>
                <c:formatCode>General</c:formatCode>
                <c:ptCount val="6"/>
                <c:pt idx="0">
                  <c:v>0</c:v>
                </c:pt>
                <c:pt idx="1">
                  <c:v>0.12</c:v>
                </c:pt>
                <c:pt idx="2">
                  <c:v>0.18</c:v>
                </c:pt>
                <c:pt idx="3">
                  <c:v>0.26</c:v>
                </c:pt>
                <c:pt idx="4">
                  <c:v>0.36</c:v>
                </c:pt>
                <c:pt idx="5">
                  <c:v>0.41</c:v>
                </c:pt>
              </c:numCache>
            </c:numRef>
          </c:yVal>
          <c:smooth val="0"/>
          <c:extLst>
            <c:ext xmlns:c16="http://schemas.microsoft.com/office/drawing/2014/chart" uri="{C3380CC4-5D6E-409C-BE32-E72D297353CC}">
              <c16:uniqueId val="{00000000-8819-4F59-9F9C-D96707F7DAC9}"/>
            </c:ext>
          </c:extLst>
        </c:ser>
        <c:ser>
          <c:idx val="1"/>
          <c:order val="1"/>
          <c:tx>
            <c:strRef>
              <c:f>'Matching at year 5'!$B$43</c:f>
              <c:strCache>
                <c:ptCount val="1"/>
                <c:pt idx="0">
                  <c:v>1 Top A Top 20</c:v>
                </c:pt>
              </c:strCache>
            </c:strRef>
          </c:tx>
          <c:spPr>
            <a:ln w="31750" cap="rnd">
              <a:solidFill>
                <a:schemeClr val="tx1"/>
              </a:solidFill>
              <a:prstDash val="sysDash"/>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5'!$C$43:$H$43</c:f>
              <c:numCache>
                <c:formatCode>General</c:formatCode>
                <c:ptCount val="6"/>
                <c:pt idx="0">
                  <c:v>0</c:v>
                </c:pt>
                <c:pt idx="1">
                  <c:v>0.1399999999999999</c:v>
                </c:pt>
                <c:pt idx="2">
                  <c:v>0.34000000000000008</c:v>
                </c:pt>
                <c:pt idx="3">
                  <c:v>0.5</c:v>
                </c:pt>
                <c:pt idx="4">
                  <c:v>0.62999999999999989</c:v>
                </c:pt>
                <c:pt idx="5">
                  <c:v>0.76</c:v>
                </c:pt>
              </c:numCache>
            </c:numRef>
          </c:yVal>
          <c:smooth val="0"/>
          <c:extLst>
            <c:ext xmlns:c16="http://schemas.microsoft.com/office/drawing/2014/chart" uri="{C3380CC4-5D6E-409C-BE32-E72D297353CC}">
              <c16:uniqueId val="{00000001-8819-4F59-9F9C-D96707F7DAC9}"/>
            </c:ext>
          </c:extLst>
        </c:ser>
        <c:ser>
          <c:idx val="2"/>
          <c:order val="2"/>
          <c:tx>
            <c:strRef>
              <c:f>'Matching at year 5'!$B$44</c:f>
              <c:strCache>
                <c:ptCount val="1"/>
                <c:pt idx="0">
                  <c:v>2 Top A Top 20</c:v>
                </c:pt>
              </c:strCache>
            </c:strRef>
          </c:tx>
          <c:spPr>
            <a:ln w="44450" cap="rnd">
              <a:solidFill>
                <a:schemeClr val="tx1"/>
              </a:solidFill>
              <a:prstDash val="dash"/>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5'!$C$44:$H$44</c:f>
              <c:numCache>
                <c:formatCode>General</c:formatCode>
                <c:ptCount val="6"/>
                <c:pt idx="0">
                  <c:v>0</c:v>
                </c:pt>
                <c:pt idx="1">
                  <c:v>0.22999999999999998</c:v>
                </c:pt>
                <c:pt idx="2">
                  <c:v>0.45000000000000018</c:v>
                </c:pt>
                <c:pt idx="3">
                  <c:v>0.64999999999999991</c:v>
                </c:pt>
                <c:pt idx="4">
                  <c:v>0.91000000000000014</c:v>
                </c:pt>
                <c:pt idx="5">
                  <c:v>1.1000000000000001</c:v>
                </c:pt>
              </c:numCache>
            </c:numRef>
          </c:yVal>
          <c:smooth val="0"/>
          <c:extLst>
            <c:ext xmlns:c16="http://schemas.microsoft.com/office/drawing/2014/chart" uri="{C3380CC4-5D6E-409C-BE32-E72D297353CC}">
              <c16:uniqueId val="{00000002-8819-4F59-9F9C-D96707F7DAC9}"/>
            </c:ext>
          </c:extLst>
        </c:ser>
        <c:ser>
          <c:idx val="3"/>
          <c:order val="3"/>
          <c:tx>
            <c:strRef>
              <c:f>'Matching at year 5'!$B$45</c:f>
              <c:strCache>
                <c:ptCount val="1"/>
                <c:pt idx="0">
                  <c:v>3 Top A Top 20</c:v>
                </c:pt>
              </c:strCache>
            </c:strRef>
          </c:tx>
          <c:spPr>
            <a:ln w="19050" cap="rnd">
              <a:solidFill>
                <a:schemeClr val="tx1"/>
              </a:solidFill>
              <a:prstDash val="solid"/>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5'!$C$45:$H$45</c:f>
              <c:numCache>
                <c:formatCode>General</c:formatCode>
                <c:ptCount val="6"/>
                <c:pt idx="0">
                  <c:v>0</c:v>
                </c:pt>
                <c:pt idx="1">
                  <c:v>0.37999999999999989</c:v>
                </c:pt>
                <c:pt idx="2">
                  <c:v>0.73</c:v>
                </c:pt>
                <c:pt idx="3">
                  <c:v>1.04</c:v>
                </c:pt>
                <c:pt idx="4">
                  <c:v>1.4100000000000001</c:v>
                </c:pt>
                <c:pt idx="5">
                  <c:v>1.7300000000000004</c:v>
                </c:pt>
              </c:numCache>
            </c:numRef>
          </c:yVal>
          <c:smooth val="0"/>
          <c:extLst>
            <c:ext xmlns:c16="http://schemas.microsoft.com/office/drawing/2014/chart" uri="{C3380CC4-5D6E-409C-BE32-E72D297353CC}">
              <c16:uniqueId val="{00000003-8819-4F59-9F9C-D96707F7DAC9}"/>
            </c:ext>
          </c:extLst>
        </c:ser>
        <c:ser>
          <c:idx val="4"/>
          <c:order val="4"/>
          <c:tx>
            <c:strRef>
              <c:f>'Matching at year 5'!$B$46</c:f>
              <c:strCache>
                <c:ptCount val="1"/>
                <c:pt idx="0">
                  <c:v>4 Top A Top 20</c:v>
                </c:pt>
              </c:strCache>
            </c:strRef>
          </c:tx>
          <c:spPr>
            <a:ln w="34925" cap="rnd">
              <a:solidFill>
                <a:schemeClr val="tx1"/>
              </a:solidFill>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5'!$C$46:$H$46</c:f>
              <c:numCache>
                <c:formatCode>General</c:formatCode>
                <c:ptCount val="6"/>
                <c:pt idx="0">
                  <c:v>0</c:v>
                </c:pt>
                <c:pt idx="1">
                  <c:v>0.61000000000000032</c:v>
                </c:pt>
                <c:pt idx="2">
                  <c:v>0.96999999999999975</c:v>
                </c:pt>
                <c:pt idx="3">
                  <c:v>1.46</c:v>
                </c:pt>
                <c:pt idx="4">
                  <c:v>1.7599999999999998</c:v>
                </c:pt>
                <c:pt idx="5">
                  <c:v>2.2400000000000002</c:v>
                </c:pt>
              </c:numCache>
            </c:numRef>
          </c:yVal>
          <c:smooth val="0"/>
          <c:extLst>
            <c:ext xmlns:c16="http://schemas.microsoft.com/office/drawing/2014/chart" uri="{C3380CC4-5D6E-409C-BE32-E72D297353CC}">
              <c16:uniqueId val="{00000004-8819-4F59-9F9C-D96707F7DAC9}"/>
            </c:ext>
          </c:extLst>
        </c:ser>
        <c:ser>
          <c:idx val="5"/>
          <c:order val="5"/>
          <c:tx>
            <c:strRef>
              <c:f>'Matching at year 5'!$B$47</c:f>
              <c:strCache>
                <c:ptCount val="1"/>
                <c:pt idx="0">
                  <c:v>0 Top A 51-100</c:v>
                </c:pt>
              </c:strCache>
            </c:strRef>
          </c:tx>
          <c:spPr>
            <a:ln w="19050" cap="rnd">
              <a:solidFill>
                <a:srgbClr val="FF0000"/>
              </a:solidFill>
              <a:prstDash val="sysDot"/>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5'!$C$47:$H$47</c:f>
              <c:numCache>
                <c:formatCode>General</c:formatCode>
                <c:ptCount val="6"/>
                <c:pt idx="0">
                  <c:v>0</c:v>
                </c:pt>
                <c:pt idx="1">
                  <c:v>2.2200000000000001E-2</c:v>
                </c:pt>
                <c:pt idx="2">
                  <c:v>4.8000000000000001E-2</c:v>
                </c:pt>
                <c:pt idx="3">
                  <c:v>8.3000000000000004E-2</c:v>
                </c:pt>
                <c:pt idx="4">
                  <c:v>0.11799999999999999</c:v>
                </c:pt>
                <c:pt idx="5">
                  <c:v>0.16600000000000001</c:v>
                </c:pt>
              </c:numCache>
            </c:numRef>
          </c:yVal>
          <c:smooth val="0"/>
          <c:extLst>
            <c:ext xmlns:c16="http://schemas.microsoft.com/office/drawing/2014/chart" uri="{C3380CC4-5D6E-409C-BE32-E72D297353CC}">
              <c16:uniqueId val="{00000005-8819-4F59-9F9C-D96707F7DAC9}"/>
            </c:ext>
          </c:extLst>
        </c:ser>
        <c:ser>
          <c:idx val="6"/>
          <c:order val="6"/>
          <c:tx>
            <c:strRef>
              <c:f>'Matching at year 5'!$B$48</c:f>
              <c:strCache>
                <c:ptCount val="1"/>
                <c:pt idx="0">
                  <c:v>1 Top A 51-100</c:v>
                </c:pt>
              </c:strCache>
            </c:strRef>
          </c:tx>
          <c:spPr>
            <a:ln w="31750" cap="rnd">
              <a:solidFill>
                <a:srgbClr val="FF0000"/>
              </a:solidFill>
              <a:prstDash val="sysDash"/>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5'!$C$48:$H$48</c:f>
              <c:numCache>
                <c:formatCode>General</c:formatCode>
                <c:ptCount val="6"/>
                <c:pt idx="0">
                  <c:v>0</c:v>
                </c:pt>
                <c:pt idx="1">
                  <c:v>0.1399999999999999</c:v>
                </c:pt>
                <c:pt idx="2">
                  <c:v>0.21999999999999997</c:v>
                </c:pt>
                <c:pt idx="3">
                  <c:v>0.30000000000000004</c:v>
                </c:pt>
                <c:pt idx="4">
                  <c:v>0.3899999999999999</c:v>
                </c:pt>
                <c:pt idx="5">
                  <c:v>0.48</c:v>
                </c:pt>
              </c:numCache>
            </c:numRef>
          </c:yVal>
          <c:smooth val="0"/>
          <c:extLst>
            <c:ext xmlns:c16="http://schemas.microsoft.com/office/drawing/2014/chart" uri="{C3380CC4-5D6E-409C-BE32-E72D297353CC}">
              <c16:uniqueId val="{00000006-8819-4F59-9F9C-D96707F7DAC9}"/>
            </c:ext>
          </c:extLst>
        </c:ser>
        <c:ser>
          <c:idx val="7"/>
          <c:order val="7"/>
          <c:tx>
            <c:strRef>
              <c:f>'Matching at year 5'!$B$49</c:f>
              <c:strCache>
                <c:ptCount val="1"/>
                <c:pt idx="0">
                  <c:v>2 Top A 51-100</c:v>
                </c:pt>
              </c:strCache>
            </c:strRef>
          </c:tx>
          <c:spPr>
            <a:ln w="41275" cap="rnd">
              <a:solidFill>
                <a:srgbClr val="FF0000"/>
              </a:solidFill>
              <a:prstDash val="dash"/>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5'!$C$49:$H$49</c:f>
              <c:numCache>
                <c:formatCode>General</c:formatCode>
                <c:ptCount val="6"/>
                <c:pt idx="0">
                  <c:v>0</c:v>
                </c:pt>
                <c:pt idx="1">
                  <c:v>0.14999999999999991</c:v>
                </c:pt>
                <c:pt idx="2">
                  <c:v>0.25</c:v>
                </c:pt>
                <c:pt idx="3">
                  <c:v>0.4700000000000002</c:v>
                </c:pt>
                <c:pt idx="4">
                  <c:v>0.73</c:v>
                </c:pt>
                <c:pt idx="5">
                  <c:v>0.98</c:v>
                </c:pt>
              </c:numCache>
            </c:numRef>
          </c:yVal>
          <c:smooth val="0"/>
          <c:extLst>
            <c:ext xmlns:c16="http://schemas.microsoft.com/office/drawing/2014/chart" uri="{C3380CC4-5D6E-409C-BE32-E72D297353CC}">
              <c16:uniqueId val="{00000007-8819-4F59-9F9C-D96707F7DAC9}"/>
            </c:ext>
          </c:extLst>
        </c:ser>
        <c:ser>
          <c:idx val="8"/>
          <c:order val="8"/>
          <c:tx>
            <c:strRef>
              <c:f>'Matching at year 5'!$B$50</c:f>
              <c:strCache>
                <c:ptCount val="1"/>
                <c:pt idx="0">
                  <c:v>3 Top A 51-100</c:v>
                </c:pt>
              </c:strCache>
            </c:strRef>
          </c:tx>
          <c:spPr>
            <a:ln w="19050" cap="rnd">
              <a:solidFill>
                <a:srgbClr val="FF0000"/>
              </a:solidFill>
              <a:prstDash val="solid"/>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5'!$C$50:$H$50</c:f>
              <c:numCache>
                <c:formatCode>General</c:formatCode>
                <c:ptCount val="6"/>
                <c:pt idx="0">
                  <c:v>0</c:v>
                </c:pt>
                <c:pt idx="1">
                  <c:v>0.22999999999999998</c:v>
                </c:pt>
                <c:pt idx="2">
                  <c:v>0.37999999999999989</c:v>
                </c:pt>
                <c:pt idx="3">
                  <c:v>0.62999999999999989</c:v>
                </c:pt>
                <c:pt idx="4">
                  <c:v>0.87999999999999989</c:v>
                </c:pt>
                <c:pt idx="5">
                  <c:v>1.0300000000000002</c:v>
                </c:pt>
              </c:numCache>
            </c:numRef>
          </c:yVal>
          <c:smooth val="0"/>
          <c:extLst>
            <c:ext xmlns:c16="http://schemas.microsoft.com/office/drawing/2014/chart" uri="{C3380CC4-5D6E-409C-BE32-E72D297353CC}">
              <c16:uniqueId val="{00000008-8819-4F59-9F9C-D96707F7DAC9}"/>
            </c:ext>
          </c:extLst>
        </c:ser>
        <c:ser>
          <c:idx val="9"/>
          <c:order val="9"/>
          <c:tx>
            <c:strRef>
              <c:f>'Matching at year 5'!$B$51</c:f>
              <c:strCache>
                <c:ptCount val="1"/>
                <c:pt idx="0">
                  <c:v>4 Top A 51-100</c:v>
                </c:pt>
              </c:strCache>
            </c:strRef>
          </c:tx>
          <c:spPr>
            <a:ln w="34925" cap="rnd">
              <a:solidFill>
                <a:srgbClr val="FF0000"/>
              </a:solidFill>
              <a:round/>
            </a:ln>
            <a:effectLst/>
          </c:spPr>
          <c:marker>
            <c:symbol val="none"/>
          </c:marker>
          <c:xVal>
            <c:numRef>
              <c:f>'Matching at year 5'!$C$41:$H$41</c:f>
              <c:numCache>
                <c:formatCode>General</c:formatCode>
                <c:ptCount val="6"/>
                <c:pt idx="0">
                  <c:v>5</c:v>
                </c:pt>
                <c:pt idx="1">
                  <c:v>6</c:v>
                </c:pt>
                <c:pt idx="2">
                  <c:v>7</c:v>
                </c:pt>
                <c:pt idx="3">
                  <c:v>8</c:v>
                </c:pt>
                <c:pt idx="4">
                  <c:v>9</c:v>
                </c:pt>
                <c:pt idx="5">
                  <c:v>10</c:v>
                </c:pt>
              </c:numCache>
            </c:numRef>
          </c:xVal>
          <c:yVal>
            <c:numRef>
              <c:f>'Matching at year 5'!$C$51:$H$51</c:f>
              <c:numCache>
                <c:formatCode>General</c:formatCode>
                <c:ptCount val="6"/>
                <c:pt idx="0">
                  <c:v>0</c:v>
                </c:pt>
                <c:pt idx="1">
                  <c:v>0.21999999999999975</c:v>
                </c:pt>
                <c:pt idx="2">
                  <c:v>0.54999999999999982</c:v>
                </c:pt>
                <c:pt idx="3">
                  <c:v>0.71999999999999975</c:v>
                </c:pt>
                <c:pt idx="4">
                  <c:v>1</c:v>
                </c:pt>
                <c:pt idx="5">
                  <c:v>1.3899999999999997</c:v>
                </c:pt>
              </c:numCache>
            </c:numRef>
          </c:yVal>
          <c:smooth val="0"/>
          <c:extLst>
            <c:ext xmlns:c16="http://schemas.microsoft.com/office/drawing/2014/chart" uri="{C3380CC4-5D6E-409C-BE32-E72D297353CC}">
              <c16:uniqueId val="{00000009-8819-4F59-9F9C-D96707F7DAC9}"/>
            </c:ext>
          </c:extLst>
        </c:ser>
        <c:dLbls>
          <c:showLegendKey val="0"/>
          <c:showVal val="0"/>
          <c:showCatName val="0"/>
          <c:showSerName val="0"/>
          <c:showPercent val="0"/>
          <c:showBubbleSize val="0"/>
        </c:dLbls>
        <c:axId val="585776248"/>
        <c:axId val="585776640"/>
      </c:scatterChart>
      <c:valAx>
        <c:axId val="585776248"/>
        <c:scaling>
          <c:orientation val="minMax"/>
          <c:max val="10"/>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776640"/>
        <c:crosses val="autoZero"/>
        <c:crossBetween val="midCat"/>
        <c:majorUnit val="1"/>
      </c:valAx>
      <c:valAx>
        <c:axId val="58577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776248"/>
        <c:crosses val="autoZero"/>
        <c:crossBetween val="midCat"/>
      </c:valAx>
      <c:spPr>
        <a:noFill/>
        <a:ln>
          <a:noFill/>
        </a:ln>
        <a:effectLst/>
      </c:spPr>
    </c:plotArea>
    <c:legend>
      <c:legendPos val="b"/>
      <c:layout>
        <c:manualLayout>
          <c:xMode val="edge"/>
          <c:yMode val="edge"/>
          <c:x val="0"/>
          <c:y val="0.91523574229334692"/>
          <c:w val="0.97958825774580871"/>
          <c:h val="7.66670917147502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A01C9-FE29-4FD6-9F84-7AB160C7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9162</Words>
  <Characters>52227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Amir Rubin</cp:lastModifiedBy>
  <cp:revision>2</cp:revision>
  <cp:lastPrinted>2018-01-18T16:35:00Z</cp:lastPrinted>
  <dcterms:created xsi:type="dcterms:W3CDTF">2018-10-30T20:54:00Z</dcterms:created>
  <dcterms:modified xsi:type="dcterms:W3CDTF">2018-10-30T20:54:00Z</dcterms:modified>
</cp:coreProperties>
</file>