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3990" w:hanging="3990" w:hangingChars="1900"/>
        <w:jc w:val="left"/>
        <w:rPr>
          <w:rFonts w:hint="default"/>
          <w:sz w:val="24"/>
          <w:szCs w:val="24"/>
        </w:rPr>
      </w:pPr>
      <w:r>
        <w:rPr>
          <w:rFonts w:hint="default"/>
        </w:rPr>
        <w:t xml:space="preserve">       </w:t>
      </w:r>
      <w:r>
        <w:rPr>
          <w:rFonts w:hint="default"/>
          <w:sz w:val="36"/>
          <w:szCs w:val="36"/>
          <w:lang w:val="en-US" w:eastAsia="zh-CN"/>
        </w:rPr>
        <w:t xml:space="preserve">Old Tax Regime vs New Tax Regime </w:t>
      </w:r>
      <w:r>
        <w:rPr>
          <w:rFonts w:hint="default"/>
          <w:sz w:val="36"/>
          <w:szCs w:val="36"/>
        </w:rPr>
        <w:t xml:space="preserve">        </w:t>
      </w:r>
      <w:r>
        <w:rPr>
          <w:rFonts w:hint="default"/>
          <w:sz w:val="24"/>
          <w:szCs w:val="24"/>
        </w:rPr>
        <w:t xml:space="preserve">Which one should you choose? </w:t>
      </w:r>
    </w:p>
    <w:p>
      <w:pPr>
        <w:rPr>
          <w:rFonts w:hint="default"/>
          <w:sz w:val="24"/>
          <w:szCs w:val="24"/>
        </w:rPr>
      </w:pPr>
    </w:p>
    <w:p>
      <w:pPr>
        <w:keepNext w:val="0"/>
        <w:keepLines w:val="0"/>
        <w:widowControl/>
        <w:suppressLineNumbers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eastAsia="zh-CN" w:bidi="ar-SA"/>
        </w:rPr>
        <w:t xml:space="preserve">In the recent past, we have seen a shift from old tax regime to a new tax regime. </w:t>
      </w:r>
      <w:r>
        <w:rPr>
          <w:rFonts w:hint="default" w:asciiTheme="minorHAnsi" w:hAnsiTheme="minorHAnsi" w:eastAsiaTheme="minorEastAsia" w:cstheme="minorBidi"/>
          <w:kern w:val="2"/>
          <w:sz w:val="24"/>
          <w:szCs w:val="24"/>
          <w:lang w:val="en-US" w:eastAsia="zh-CN" w:bidi="ar-SA"/>
        </w:rPr>
        <w:t xml:space="preserve">The government of India announced the new income tax regime in Budget 2020, which became an option for taxpayers from FY2021. However, </w:t>
      </w:r>
      <w:r>
        <w:rPr>
          <w:rFonts w:hint="default" w:asciiTheme="minorHAnsi" w:hAnsiTheme="minorHAnsi" w:eastAsiaTheme="minorEastAsia" w:cstheme="minorBidi"/>
          <w:b/>
          <w:bCs/>
          <w:kern w:val="2"/>
          <w:sz w:val="24"/>
          <w:szCs w:val="24"/>
          <w:lang w:val="en-US" w:eastAsia="zh-CN" w:bidi="ar-SA"/>
        </w:rPr>
        <w:t>its adoption remained low</w:t>
      </w:r>
      <w:r>
        <w:rPr>
          <w:rFonts w:hint="default" w:asciiTheme="minorHAnsi" w:hAnsiTheme="minorHAnsi" w:eastAsiaTheme="minorEastAsia" w:cstheme="minorBidi"/>
          <w:kern w:val="2"/>
          <w:sz w:val="24"/>
          <w:szCs w:val="24"/>
          <w:lang w:val="en-US" w:eastAsia="zh-CN" w:bidi="ar-SA"/>
        </w:rPr>
        <w:t xml:space="preserve">. In the Union Budget 2023, </w:t>
      </w:r>
      <w:r>
        <w:rPr>
          <w:rFonts w:hint="default" w:asciiTheme="minorHAnsi" w:hAnsiTheme="minorHAnsi" w:eastAsiaTheme="minorEastAsia" w:cstheme="minorBidi"/>
          <w:kern w:val="2"/>
          <w:sz w:val="24"/>
          <w:szCs w:val="24"/>
          <w:lang w:eastAsia="zh-CN" w:bidi="ar-SA"/>
        </w:rPr>
        <w:t>the government</w:t>
      </w:r>
      <w:r>
        <w:rPr>
          <w:rFonts w:hint="default" w:asciiTheme="minorHAnsi" w:hAnsiTheme="minorHAnsi" w:eastAsiaTheme="minorEastAsia" w:cstheme="minorBidi"/>
          <w:kern w:val="2"/>
          <w:sz w:val="24"/>
          <w:szCs w:val="24"/>
          <w:lang w:val="en-US" w:eastAsia="zh-CN" w:bidi="ar-SA"/>
        </w:rPr>
        <w:t xml:space="preserve"> announced a major tweak to the new tax regime to encourage more adoption. These changes will come into effect for the financial year that falls between April 2023 and March 2024 (FY2023-24, or simply FY24), which also translates to assessment year (AY) 2024-25.</w:t>
      </w:r>
    </w:p>
    <w:p>
      <w:pPr>
        <w:rPr>
          <w:rFonts w:hint="default" w:asciiTheme="minorHAnsi" w:hAnsiTheme="minorHAnsi" w:eastAsiaTheme="minorEastAsia" w:cstheme="minorBidi"/>
          <w:kern w:val="2"/>
          <w:sz w:val="24"/>
          <w:szCs w:val="24"/>
          <w:lang w:eastAsia="zh-CN" w:bidi="ar-SA"/>
        </w:rPr>
      </w:pPr>
    </w:p>
    <w:p>
      <w:pPr>
        <w:jc w:val="left"/>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The idea is to incentivise people to choose new tax regime with minimal exemptions as compared to the old regime which has many tax exemptions. </w:t>
      </w:r>
      <w:r>
        <w:rPr>
          <w:rFonts w:hint="default" w:asciiTheme="minorHAnsi" w:hAnsiTheme="minorHAnsi" w:eastAsiaTheme="minorEastAsia" w:cstheme="minorBidi"/>
          <w:kern w:val="2"/>
          <w:sz w:val="24"/>
          <w:szCs w:val="24"/>
          <w:lang w:val="en-US" w:eastAsia="zh-CN" w:bidi="ar-SA"/>
        </w:rPr>
        <w:t xml:space="preserve">Under old tax regime, a lot of proofs are required i.e. for </w:t>
      </w:r>
      <w:r>
        <w:rPr>
          <w:rFonts w:hint="default" w:asciiTheme="minorHAnsi" w:hAnsiTheme="minorHAnsi" w:eastAsiaTheme="minorEastAsia" w:cstheme="minorBidi"/>
          <w:kern w:val="2"/>
          <w:sz w:val="24"/>
          <w:szCs w:val="24"/>
          <w:lang w:eastAsia="zh-CN" w:bidi="ar-SA"/>
        </w:rPr>
        <w:t>I</w:t>
      </w:r>
      <w:r>
        <w:rPr>
          <w:rFonts w:hint="default" w:asciiTheme="minorHAnsi" w:hAnsiTheme="minorHAnsi" w:eastAsiaTheme="minorEastAsia" w:cstheme="minorBidi"/>
          <w:kern w:val="2"/>
          <w:sz w:val="24"/>
          <w:szCs w:val="24"/>
          <w:lang w:val="en-US" w:eastAsia="zh-CN" w:bidi="ar-SA"/>
        </w:rPr>
        <w:t>nvestment, HRA</w:t>
      </w:r>
      <w:r>
        <w:rPr>
          <w:rFonts w:hint="default" w:asciiTheme="minorHAnsi" w:hAnsiTheme="minorHAnsi" w:eastAsiaTheme="minorEastAsia" w:cstheme="minorBidi"/>
          <w:kern w:val="2"/>
          <w:sz w:val="24"/>
          <w:szCs w:val="24"/>
          <w:lang w:eastAsia="zh-CN" w:bidi="ar-SA"/>
        </w:rPr>
        <w:t xml:space="preserve"> (home rent allowance)</w:t>
      </w:r>
      <w:r>
        <w:rPr>
          <w:rFonts w:hint="default" w:asciiTheme="minorHAnsi" w:hAnsiTheme="minorHAnsi" w:eastAsiaTheme="minorEastAsia" w:cstheme="minorBidi"/>
          <w:kern w:val="2"/>
          <w:sz w:val="24"/>
          <w:szCs w:val="24"/>
          <w:lang w:val="en-US" w:eastAsia="zh-CN" w:bidi="ar-SA"/>
        </w:rPr>
        <w:t xml:space="preserve"> and </w:t>
      </w:r>
      <w:r>
        <w:rPr>
          <w:rFonts w:hint="default" w:asciiTheme="minorHAnsi" w:hAnsiTheme="minorHAnsi" w:eastAsiaTheme="minorEastAsia" w:cstheme="minorBidi"/>
          <w:kern w:val="2"/>
          <w:sz w:val="24"/>
          <w:szCs w:val="24"/>
          <w:lang w:eastAsia="zh-CN" w:bidi="ar-SA"/>
        </w:rPr>
        <w:t xml:space="preserve">many </w:t>
      </w:r>
      <w:r>
        <w:rPr>
          <w:rFonts w:hint="default" w:asciiTheme="minorHAnsi" w:hAnsiTheme="minorHAnsi" w:eastAsiaTheme="minorEastAsia" w:cstheme="minorBidi"/>
          <w:kern w:val="2"/>
          <w:sz w:val="24"/>
          <w:szCs w:val="24"/>
          <w:lang w:val="en-US" w:eastAsia="zh-CN" w:bidi="ar-SA"/>
        </w:rPr>
        <w:t>other exemptions.</w:t>
      </w:r>
      <w:r>
        <w:rPr>
          <w:rFonts w:hint="default" w:asciiTheme="minorHAnsi" w:hAnsiTheme="minorHAnsi" w:eastAsiaTheme="minorEastAsia" w:cstheme="minorBidi"/>
          <w:kern w:val="2"/>
          <w:sz w:val="24"/>
          <w:szCs w:val="24"/>
          <w:lang w:eastAsia="zh-CN" w:bidi="ar-SA"/>
        </w:rPr>
        <w:t xml:space="preserve"> It is clear that with new tax regime filing ITR (income tax return) </w:t>
      </w:r>
      <w:r>
        <w:rPr>
          <w:rFonts w:hint="default" w:cstheme="minorBidi"/>
          <w:kern w:val="2"/>
          <w:sz w:val="24"/>
          <w:szCs w:val="24"/>
          <w:lang w:eastAsia="zh-CN" w:bidi="ar-SA"/>
        </w:rPr>
        <w:t>is</w:t>
      </w:r>
      <w:r>
        <w:rPr>
          <w:rFonts w:hint="default" w:asciiTheme="minorHAnsi" w:hAnsiTheme="minorHAnsi" w:eastAsiaTheme="minorEastAsia" w:cstheme="minorBidi"/>
          <w:kern w:val="2"/>
          <w:sz w:val="24"/>
          <w:szCs w:val="24"/>
          <w:lang w:eastAsia="zh-CN" w:bidi="ar-SA"/>
        </w:rPr>
        <w:t xml:space="preserve"> easier as it mainly require</w:t>
      </w:r>
      <w:r>
        <w:rPr>
          <w:rFonts w:hint="default" w:cstheme="minorBidi"/>
          <w:kern w:val="2"/>
          <w:sz w:val="24"/>
          <w:szCs w:val="24"/>
          <w:lang w:eastAsia="zh-CN" w:bidi="ar-SA"/>
        </w:rPr>
        <w:t>s</w:t>
      </w:r>
      <w:r>
        <w:rPr>
          <w:rFonts w:hint="default" w:asciiTheme="minorHAnsi" w:hAnsiTheme="minorHAnsi" w:eastAsiaTheme="minorEastAsia" w:cstheme="minorBidi"/>
          <w:kern w:val="2"/>
          <w:sz w:val="24"/>
          <w:szCs w:val="24"/>
          <w:lang w:eastAsia="zh-CN" w:bidi="ar-SA"/>
        </w:rPr>
        <w:t xml:space="preserve"> form 16 from the employer. Let’s deep dive straight into the analysis.</w:t>
      </w:r>
    </w:p>
    <w:p>
      <w:pPr>
        <w:rPr>
          <w:rFonts w:hint="default" w:asciiTheme="minorHAnsi" w:hAnsiTheme="minorHAnsi" w:eastAsiaTheme="minorEastAsia" w:cstheme="minorBidi"/>
          <w:kern w:val="2"/>
          <w:sz w:val="24"/>
          <w:szCs w:val="24"/>
          <w:lang w:eastAsia="zh-CN" w:bidi="ar-SA"/>
        </w:rPr>
      </w:pPr>
    </w:p>
    <w:p>
      <w:pPr>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Let’s assume that the complicacy of filing ITR doesn’t matter as long as that tax regime is resulting in paying less tax. In order to start our analysis we should have an understanding of how tax is calculated under each regime. We can identify three different tax regimes being introduced in the past few years. Let’s have a</w:t>
      </w:r>
      <w:r>
        <w:rPr>
          <w:rFonts w:hint="default" w:cstheme="minorBidi"/>
          <w:kern w:val="2"/>
          <w:sz w:val="24"/>
          <w:szCs w:val="24"/>
          <w:lang w:eastAsia="zh-CN" w:bidi="ar-SA"/>
        </w:rPr>
        <w:t xml:space="preserve"> brief</w:t>
      </w:r>
      <w:r>
        <w:rPr>
          <w:rFonts w:hint="default" w:asciiTheme="minorHAnsi" w:hAnsiTheme="minorHAnsi" w:eastAsiaTheme="minorEastAsia" w:cstheme="minorBidi"/>
          <w:kern w:val="2"/>
          <w:sz w:val="24"/>
          <w:szCs w:val="24"/>
          <w:lang w:eastAsia="zh-CN" w:bidi="ar-SA"/>
        </w:rPr>
        <w:t xml:space="preserve"> look at </w:t>
      </w:r>
      <w:r>
        <w:rPr>
          <w:rFonts w:hint="default" w:cstheme="minorBidi"/>
          <w:kern w:val="2"/>
          <w:sz w:val="24"/>
          <w:szCs w:val="24"/>
          <w:lang w:eastAsia="zh-CN" w:bidi="ar-SA"/>
        </w:rPr>
        <w:t xml:space="preserve">each of </w:t>
      </w:r>
      <w:r>
        <w:rPr>
          <w:rFonts w:hint="default" w:asciiTheme="minorHAnsi" w:hAnsiTheme="minorHAnsi" w:eastAsiaTheme="minorEastAsia" w:cstheme="minorBidi"/>
          <w:kern w:val="2"/>
          <w:sz w:val="24"/>
          <w:szCs w:val="24"/>
          <w:lang w:eastAsia="zh-CN" w:bidi="ar-SA"/>
        </w:rPr>
        <w:t>them :</w:t>
      </w:r>
    </w:p>
    <w:p>
      <w:pPr>
        <w:rPr>
          <w:rFonts w:hint="default" w:asciiTheme="minorHAnsi" w:hAnsiTheme="minorHAnsi" w:eastAsiaTheme="minorEastAsia" w:cstheme="minorBidi"/>
          <w:kern w:val="2"/>
          <w:sz w:val="24"/>
          <w:szCs w:val="24"/>
          <w:lang w:eastAsia="zh-CN" w:bidi="ar-SA"/>
        </w:rPr>
      </w:pPr>
    </w:p>
    <w:p>
      <w:pPr>
        <w:numPr>
          <w:ilvl w:val="0"/>
          <w:numId w:val="1"/>
        </w:numPr>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Old tax regime </w:t>
      </w:r>
      <w:r>
        <w:rPr>
          <w:rFonts w:hint="default" w:cstheme="minorBidi"/>
          <w:kern w:val="2"/>
          <w:sz w:val="24"/>
          <w:szCs w:val="24"/>
          <w:lang w:eastAsia="zh-CN" w:bidi="ar-SA"/>
        </w:rPr>
        <w:t xml:space="preserve">- </w:t>
      </w:r>
    </w:p>
    <w:tbl>
      <w:tblPr>
        <w:tblStyle w:val="3"/>
        <w:tblpPr w:leftFromText="180" w:rightFromText="180" w:vertAnchor="text" w:horzAnchor="page" w:tblpX="2100" w:tblpY="187"/>
        <w:tblOverlap w:val="never"/>
        <w:tblW w:w="41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87"/>
        <w:gridCol w:w="1029"/>
      </w:tblGrid>
      <w:tr>
        <w:trPr>
          <w:trHeight w:val="112" w:hRule="atLeast"/>
        </w:trPr>
        <w:tc>
          <w:tcPr>
            <w:tcW w:w="3087" w:type="dxa"/>
            <w:tcBorders>
              <w:top w:val="nil"/>
              <w:left w:val="nil"/>
              <w:bottom w:val="nil"/>
              <w:right w:val="nil"/>
            </w:tcBorders>
            <w:shd w:val="clear" w:color="auto" w:fill="83CA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Total Income</w:t>
            </w:r>
          </w:p>
        </w:tc>
        <w:tc>
          <w:tcPr>
            <w:tcW w:w="1029" w:type="dxa"/>
            <w:tcBorders>
              <w:top w:val="nil"/>
              <w:left w:val="nil"/>
              <w:bottom w:val="nil"/>
              <w:right w:val="nil"/>
            </w:tcBorders>
            <w:shd w:val="clear" w:color="auto" w:fill="83CAFF"/>
            <w:tcMar>
              <w:top w:w="100" w:type="dxa"/>
              <w:left w:w="100" w:type="dxa"/>
              <w:bottom w:w="100" w:type="dxa"/>
              <w:right w:w="100" w:type="dxa"/>
            </w:tcMar>
            <w:vAlign w:val="center"/>
          </w:tcPr>
          <w:p>
            <w:pPr>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Tax Rate</w:t>
            </w:r>
          </w:p>
        </w:tc>
      </w:tr>
      <w:tr>
        <w:trPr>
          <w:trHeight w:val="90" w:hRule="atLeast"/>
        </w:trPr>
        <w:tc>
          <w:tcPr>
            <w:tcW w:w="3087" w:type="dxa"/>
            <w:tcBorders>
              <w:top w:val="nil"/>
              <w:left w:val="nil"/>
              <w:bottom w:val="nil"/>
              <w:right w:val="nil"/>
            </w:tcBorders>
            <w:shd w:val="clear" w:color="auto" w:fill="FFFFFF"/>
            <w:tcMar>
              <w:top w:w="100" w:type="dxa"/>
              <w:left w:w="100" w:type="dxa"/>
              <w:bottom w:w="100" w:type="dxa"/>
              <w:right w:w="100" w:type="dxa"/>
            </w:tcMar>
            <w:vAlign w:val="center"/>
          </w:tcPr>
          <w:p>
            <w:pPr>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Up to ₹ 2,50,000</w:t>
            </w:r>
          </w:p>
        </w:tc>
        <w:tc>
          <w:tcPr>
            <w:tcW w:w="1029" w:type="dxa"/>
            <w:tcBorders>
              <w:top w:val="nil"/>
              <w:left w:val="nil"/>
              <w:bottom w:val="nil"/>
              <w:right w:val="nil"/>
            </w:tcBorders>
            <w:shd w:val="clear" w:color="auto" w:fill="FFFFFF"/>
            <w:tcMar>
              <w:top w:w="100" w:type="dxa"/>
              <w:left w:w="100" w:type="dxa"/>
              <w:bottom w:w="100" w:type="dxa"/>
              <w:right w:w="100" w:type="dxa"/>
            </w:tcMar>
            <w:vAlign w:val="center"/>
          </w:tcPr>
          <w:p>
            <w:pPr>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0%₹</w:t>
            </w:r>
          </w:p>
        </w:tc>
      </w:tr>
      <w:tr>
        <w:trPr>
          <w:trHeight w:val="92" w:hRule="atLeast"/>
        </w:trPr>
        <w:tc>
          <w:tcPr>
            <w:tcW w:w="3087" w:type="dxa"/>
            <w:tcBorders>
              <w:top w:val="nil"/>
              <w:left w:val="nil"/>
              <w:bottom w:val="nil"/>
              <w:right w:val="nil"/>
            </w:tcBorders>
            <w:shd w:val="clear" w:color="auto" w:fill="CCCCCC"/>
            <w:tcMar>
              <w:top w:w="100" w:type="dxa"/>
              <w:left w:w="100" w:type="dxa"/>
              <w:bottom w:w="100" w:type="dxa"/>
              <w:right w:w="100" w:type="dxa"/>
            </w:tcMar>
            <w:vAlign w:val="center"/>
          </w:tcPr>
          <w:p>
            <w:pPr>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 2,50,000 to ₹ 5,00,000</w:t>
            </w:r>
          </w:p>
        </w:tc>
        <w:tc>
          <w:tcPr>
            <w:tcW w:w="1029" w:type="dxa"/>
            <w:tcBorders>
              <w:top w:val="nil"/>
              <w:left w:val="nil"/>
              <w:bottom w:val="nil"/>
              <w:right w:val="nil"/>
            </w:tcBorders>
            <w:shd w:val="clear" w:color="auto" w:fill="CCCCCC"/>
            <w:tcMar>
              <w:top w:w="100" w:type="dxa"/>
              <w:left w:w="100" w:type="dxa"/>
              <w:bottom w:w="100" w:type="dxa"/>
              <w:right w:w="100" w:type="dxa"/>
            </w:tcMar>
            <w:vAlign w:val="center"/>
          </w:tcPr>
          <w:p>
            <w:pPr>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5%</w:t>
            </w:r>
          </w:p>
        </w:tc>
      </w:tr>
      <w:tr>
        <w:trPr>
          <w:trHeight w:val="149" w:hRule="atLeast"/>
        </w:trPr>
        <w:tc>
          <w:tcPr>
            <w:tcW w:w="3087" w:type="dxa"/>
            <w:tcBorders>
              <w:top w:val="nil"/>
              <w:left w:val="nil"/>
              <w:bottom w:val="nil"/>
              <w:right w:val="nil"/>
            </w:tcBorders>
            <w:shd w:val="clear" w:color="auto" w:fill="FFFFFF"/>
            <w:tcMar>
              <w:top w:w="100" w:type="dxa"/>
              <w:left w:w="100" w:type="dxa"/>
              <w:bottom w:w="100" w:type="dxa"/>
              <w:right w:w="100" w:type="dxa"/>
            </w:tcMar>
            <w:vAlign w:val="center"/>
          </w:tcPr>
          <w:p>
            <w:pPr>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 5,00,000 to ₹ 10,00,000</w:t>
            </w:r>
          </w:p>
        </w:tc>
        <w:tc>
          <w:tcPr>
            <w:tcW w:w="1029" w:type="dxa"/>
            <w:tcBorders>
              <w:top w:val="nil"/>
              <w:left w:val="nil"/>
              <w:bottom w:val="nil"/>
              <w:right w:val="nil"/>
            </w:tcBorders>
            <w:shd w:val="clear" w:color="auto" w:fill="FFFFFF"/>
            <w:tcMar>
              <w:top w:w="100" w:type="dxa"/>
              <w:left w:w="100" w:type="dxa"/>
              <w:bottom w:w="100" w:type="dxa"/>
              <w:right w:w="100" w:type="dxa"/>
            </w:tcMar>
            <w:vAlign w:val="center"/>
          </w:tcPr>
          <w:p>
            <w:pPr>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20%</w:t>
            </w:r>
          </w:p>
        </w:tc>
      </w:tr>
      <w:tr>
        <w:trPr>
          <w:trHeight w:val="141" w:hRule="atLeast"/>
        </w:trPr>
        <w:tc>
          <w:tcPr>
            <w:tcW w:w="3087" w:type="dxa"/>
            <w:tcBorders>
              <w:top w:val="nil"/>
              <w:left w:val="nil"/>
              <w:bottom w:val="nil"/>
              <w:right w:val="nil"/>
            </w:tcBorders>
            <w:shd w:val="clear" w:color="auto" w:fill="CCCCCC"/>
            <w:tcMar>
              <w:top w:w="100" w:type="dxa"/>
              <w:left w:w="100" w:type="dxa"/>
              <w:bottom w:w="100" w:type="dxa"/>
              <w:right w:w="100" w:type="dxa"/>
            </w:tcMar>
            <w:vAlign w:val="center"/>
          </w:tcPr>
          <w:p>
            <w:pPr>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Above ₹ 10 lakh</w:t>
            </w:r>
          </w:p>
        </w:tc>
        <w:tc>
          <w:tcPr>
            <w:tcW w:w="1029" w:type="dxa"/>
            <w:tcBorders>
              <w:top w:val="nil"/>
              <w:left w:val="nil"/>
              <w:bottom w:val="nil"/>
              <w:right w:val="nil"/>
            </w:tcBorders>
            <w:shd w:val="clear" w:color="auto" w:fill="CCCCCC"/>
            <w:tcMar>
              <w:top w:w="100" w:type="dxa"/>
              <w:left w:w="100" w:type="dxa"/>
              <w:bottom w:w="100" w:type="dxa"/>
              <w:right w:w="100" w:type="dxa"/>
            </w:tcMar>
            <w:vAlign w:val="center"/>
          </w:tcPr>
          <w:p>
            <w:pPr>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30%</w:t>
            </w:r>
          </w:p>
        </w:tc>
      </w:tr>
    </w:tbl>
    <w:p>
      <w:pPr>
        <w:widowControl w:val="0"/>
        <w:numPr>
          <w:ilvl w:val="0"/>
          <w:numId w:val="0"/>
        </w:numPr>
        <w:jc w:val="both"/>
        <w:rPr>
          <w:rFonts w:hint="default" w:cstheme="minorBidi"/>
          <w:kern w:val="2"/>
          <w:sz w:val="24"/>
          <w:szCs w:val="24"/>
          <w:lang w:eastAsia="zh-CN" w:bidi="ar-SA"/>
        </w:rPr>
      </w:pPr>
    </w:p>
    <w:p>
      <w:pPr>
        <w:keepNext w:val="0"/>
        <w:keepLines w:val="0"/>
        <w:widowControl/>
        <w:suppressLineNumbers w:val="0"/>
        <w:jc w:val="left"/>
      </w:pPr>
    </w:p>
    <w:p>
      <w:pPr>
        <w:widowControl w:val="0"/>
        <w:numPr>
          <w:ilvl w:val="0"/>
          <w:numId w:val="0"/>
        </w:numPr>
        <w:jc w:val="both"/>
        <w:rPr>
          <w:rFonts w:hint="default" w:cstheme="minorBidi"/>
          <w:b/>
          <w:bCs/>
          <w:kern w:val="2"/>
          <w:sz w:val="24"/>
          <w:szCs w:val="24"/>
          <w:lang w:eastAsia="zh-CN" w:bidi="ar-SA"/>
        </w:rPr>
      </w:pPr>
    </w:p>
    <w:p>
      <w:pPr>
        <w:rPr>
          <w:rFonts w:hint="default"/>
          <w:sz w:val="24"/>
          <w:szCs w:val="24"/>
        </w:rPr>
      </w:pPr>
    </w:p>
    <w:p>
      <w:pPr>
        <w:rPr>
          <w:rFonts w:hint="default"/>
          <w:sz w:val="24"/>
          <w:szCs w:val="24"/>
        </w:rPr>
      </w:pPr>
      <w:r>
        <w:rPr>
          <w:rFonts w:hint="default"/>
          <w:sz w:val="24"/>
          <w:szCs w:val="24"/>
        </w:rPr>
        <w:t xml:space="preserve"> </w:t>
      </w:r>
    </w:p>
    <w:p>
      <w:pPr>
        <w:rPr>
          <w:rFonts w:hint="default"/>
          <w:sz w:val="36"/>
          <w:szCs w:val="36"/>
        </w:rPr>
      </w:pPr>
    </w:p>
    <w:p/>
    <w:p/>
    <w:p/>
    <w:p>
      <w:pPr>
        <w:jc w:val="left"/>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Under this regime, there is a standard deduction of 50</w:t>
      </w:r>
      <w:r>
        <w:rPr>
          <w:rFonts w:hint="default" w:cstheme="minorBidi"/>
          <w:kern w:val="2"/>
          <w:sz w:val="24"/>
          <w:szCs w:val="24"/>
          <w:lang w:eastAsia="zh-CN" w:bidi="ar-SA"/>
        </w:rPr>
        <w:t>,000</w:t>
      </w:r>
      <w:r>
        <w:rPr>
          <w:rFonts w:hint="default" w:asciiTheme="minorHAnsi" w:hAnsiTheme="minorHAnsi" w:eastAsiaTheme="minorEastAsia" w:cstheme="minorBidi"/>
          <w:kern w:val="2"/>
          <w:sz w:val="24"/>
          <w:szCs w:val="24"/>
          <w:lang w:eastAsia="zh-CN" w:bidi="ar-SA"/>
        </w:rPr>
        <w:t xml:space="preserve">. Apart from standard deduction there is a long list of exemptions from which tax benefits can be availed. I won’t go into those exemptions to keep things simple. </w:t>
      </w:r>
    </w:p>
    <w:p>
      <w:pPr>
        <w:jc w:val="left"/>
        <w:rPr>
          <w:rFonts w:hint="default" w:asciiTheme="minorHAnsi" w:hAnsiTheme="minorHAnsi" w:eastAsiaTheme="minorEastAsia" w:cstheme="minorBidi"/>
          <w:kern w:val="2"/>
          <w:sz w:val="24"/>
          <w:szCs w:val="24"/>
          <w:lang w:eastAsia="zh-CN" w:bidi="ar-SA"/>
        </w:rPr>
      </w:pPr>
    </w:p>
    <w:p>
      <w:pPr>
        <w:jc w:val="left"/>
        <w:rPr>
          <w:rFonts w:hint="default" w:asciiTheme="minorHAnsi" w:hAnsiTheme="minorHAnsi" w:eastAsiaTheme="minorEastAsia" w:cstheme="minorBidi"/>
          <w:kern w:val="2"/>
          <w:sz w:val="24"/>
          <w:szCs w:val="24"/>
          <w:lang w:eastAsia="zh-CN" w:bidi="ar-SA"/>
        </w:rPr>
      </w:pPr>
    </w:p>
    <w:p>
      <w:pPr>
        <w:jc w:val="left"/>
        <w:rPr>
          <w:rFonts w:hint="default" w:asciiTheme="minorHAnsi" w:hAnsiTheme="minorHAnsi" w:eastAsiaTheme="minorEastAsia" w:cstheme="minorBidi"/>
          <w:kern w:val="2"/>
          <w:sz w:val="24"/>
          <w:szCs w:val="24"/>
          <w:lang w:eastAsia="zh-CN" w:bidi="ar-SA"/>
        </w:rPr>
      </w:pPr>
    </w:p>
    <w:p>
      <w:pPr>
        <w:numPr>
          <w:ilvl w:val="0"/>
          <w:numId w:val="1"/>
        </w:numPr>
        <w:ind w:left="0" w:leftChars="0" w:firstLine="0" w:firstLineChars="0"/>
        <w:jc w:val="left"/>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New Tax Regime 2020 -</w:t>
      </w:r>
    </w:p>
    <w:tbl>
      <w:tblPr>
        <w:tblStyle w:val="3"/>
        <w:tblpPr w:leftFromText="180" w:rightFromText="180" w:vertAnchor="text" w:horzAnchor="page" w:tblpX="2146" w:tblpY="309"/>
        <w:tblOverlap w:val="never"/>
        <w:tblW w:w="4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53"/>
        <w:gridCol w:w="1018"/>
      </w:tblGrid>
      <w:tr>
        <w:trPr>
          <w:trHeight w:val="131" w:hRule="atLeast"/>
        </w:trPr>
        <w:tc>
          <w:tcPr>
            <w:tcW w:w="3053" w:type="dxa"/>
            <w:tcBorders>
              <w:top w:val="nil"/>
              <w:left w:val="nil"/>
              <w:bottom w:val="nil"/>
              <w:right w:val="nil"/>
            </w:tcBorders>
            <w:shd w:val="clear" w:color="auto" w:fill="83CA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On Income</w:t>
            </w:r>
          </w:p>
        </w:tc>
        <w:tc>
          <w:tcPr>
            <w:tcW w:w="1018" w:type="dxa"/>
            <w:tcBorders>
              <w:top w:val="nil"/>
              <w:left w:val="nil"/>
              <w:bottom w:val="nil"/>
              <w:right w:val="nil"/>
            </w:tcBorders>
            <w:shd w:val="clear" w:color="auto" w:fill="83CA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Tax Rate</w:t>
            </w:r>
          </w:p>
        </w:tc>
      </w:tr>
      <w:tr>
        <w:trPr>
          <w:trHeight w:val="142" w:hRule="atLeast"/>
        </w:trPr>
        <w:tc>
          <w:tcPr>
            <w:tcW w:w="3053"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 xml:space="preserve">Up to ₹ </w:t>
            </w:r>
            <w:r>
              <w:rPr>
                <w:rFonts w:hint="default" w:cstheme="minorBidi"/>
                <w:kern w:val="2"/>
                <w:sz w:val="18"/>
                <w:szCs w:val="18"/>
                <w:lang w:eastAsia="zh-CN" w:bidi="ar-SA"/>
              </w:rPr>
              <w:t>2,50,000</w:t>
            </w:r>
          </w:p>
        </w:tc>
        <w:tc>
          <w:tcPr>
            <w:tcW w:w="1018"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Nil</w:t>
            </w:r>
          </w:p>
        </w:tc>
      </w:tr>
      <w:tr>
        <w:trPr>
          <w:trHeight w:val="200" w:hRule="atLeast"/>
        </w:trPr>
        <w:tc>
          <w:tcPr>
            <w:tcW w:w="3053"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 xml:space="preserve">From ₹ </w:t>
            </w:r>
            <w:r>
              <w:rPr>
                <w:rFonts w:hint="default" w:cstheme="minorBidi"/>
                <w:kern w:val="2"/>
                <w:sz w:val="18"/>
                <w:szCs w:val="18"/>
                <w:lang w:eastAsia="zh-CN" w:bidi="ar-SA"/>
              </w:rPr>
              <w:t>2,50,000</w:t>
            </w:r>
            <w:r>
              <w:rPr>
                <w:rFonts w:hint="default" w:asciiTheme="minorHAnsi" w:hAnsiTheme="minorHAnsi" w:eastAsiaTheme="minorEastAsia" w:cstheme="minorBidi"/>
                <w:kern w:val="2"/>
                <w:sz w:val="18"/>
                <w:szCs w:val="18"/>
                <w:lang w:eastAsia="zh-CN" w:bidi="ar-SA"/>
              </w:rPr>
              <w:t xml:space="preserve"> to ₹ </w:t>
            </w:r>
            <w:r>
              <w:rPr>
                <w:rFonts w:hint="default" w:cstheme="minorBidi"/>
                <w:kern w:val="2"/>
                <w:sz w:val="18"/>
                <w:szCs w:val="18"/>
                <w:lang w:eastAsia="zh-CN" w:bidi="ar-SA"/>
              </w:rPr>
              <w:t>5,</w:t>
            </w:r>
            <w:r>
              <w:rPr>
                <w:rFonts w:hint="default" w:asciiTheme="minorHAnsi" w:hAnsiTheme="minorHAnsi" w:eastAsiaTheme="minorEastAsia" w:cstheme="minorBidi"/>
                <w:kern w:val="2"/>
                <w:sz w:val="18"/>
                <w:szCs w:val="18"/>
                <w:lang w:eastAsia="zh-CN" w:bidi="ar-SA"/>
              </w:rPr>
              <w:t>00,000</w:t>
            </w:r>
          </w:p>
        </w:tc>
        <w:tc>
          <w:tcPr>
            <w:tcW w:w="1018"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5%</w:t>
            </w:r>
          </w:p>
        </w:tc>
      </w:tr>
      <w:tr>
        <w:trPr>
          <w:trHeight w:val="188" w:hRule="atLeast"/>
        </w:trPr>
        <w:tc>
          <w:tcPr>
            <w:tcW w:w="3053"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 xml:space="preserve">From ₹ </w:t>
            </w:r>
            <w:r>
              <w:rPr>
                <w:rFonts w:hint="default" w:cstheme="minorBidi"/>
                <w:kern w:val="2"/>
                <w:sz w:val="18"/>
                <w:szCs w:val="18"/>
                <w:lang w:eastAsia="zh-CN" w:bidi="ar-SA"/>
              </w:rPr>
              <w:t>5</w:t>
            </w:r>
            <w:r>
              <w:rPr>
                <w:rFonts w:hint="default" w:asciiTheme="minorHAnsi" w:hAnsiTheme="minorHAnsi" w:eastAsiaTheme="minorEastAsia" w:cstheme="minorBidi"/>
                <w:kern w:val="2"/>
                <w:sz w:val="18"/>
                <w:szCs w:val="18"/>
                <w:lang w:eastAsia="zh-CN" w:bidi="ar-SA"/>
              </w:rPr>
              <w:t>,00,00</w:t>
            </w:r>
            <w:r>
              <w:rPr>
                <w:rFonts w:hint="default" w:cstheme="minorBidi"/>
                <w:kern w:val="2"/>
                <w:sz w:val="18"/>
                <w:szCs w:val="18"/>
                <w:lang w:eastAsia="zh-CN" w:bidi="ar-SA"/>
              </w:rPr>
              <w:t>0</w:t>
            </w:r>
            <w:r>
              <w:rPr>
                <w:rFonts w:hint="default" w:asciiTheme="minorHAnsi" w:hAnsiTheme="minorHAnsi" w:eastAsiaTheme="minorEastAsia" w:cstheme="minorBidi"/>
                <w:kern w:val="2"/>
                <w:sz w:val="18"/>
                <w:szCs w:val="18"/>
                <w:lang w:eastAsia="zh-CN" w:bidi="ar-SA"/>
              </w:rPr>
              <w:t xml:space="preserve"> to ₹ </w:t>
            </w:r>
            <w:r>
              <w:rPr>
                <w:rFonts w:hint="default" w:cstheme="minorBidi"/>
                <w:kern w:val="2"/>
                <w:sz w:val="18"/>
                <w:szCs w:val="18"/>
                <w:lang w:eastAsia="zh-CN" w:bidi="ar-SA"/>
              </w:rPr>
              <w:t>7</w:t>
            </w:r>
            <w:r>
              <w:rPr>
                <w:rFonts w:hint="default" w:asciiTheme="minorHAnsi" w:hAnsiTheme="minorHAnsi" w:eastAsiaTheme="minorEastAsia" w:cstheme="minorBidi"/>
                <w:kern w:val="2"/>
                <w:sz w:val="18"/>
                <w:szCs w:val="18"/>
                <w:lang w:eastAsia="zh-CN" w:bidi="ar-SA"/>
              </w:rPr>
              <w:t>,</w:t>
            </w:r>
            <w:r>
              <w:rPr>
                <w:rFonts w:hint="default" w:cstheme="minorBidi"/>
                <w:kern w:val="2"/>
                <w:sz w:val="18"/>
                <w:szCs w:val="18"/>
                <w:lang w:eastAsia="zh-CN" w:bidi="ar-SA"/>
              </w:rPr>
              <w:t>5</w:t>
            </w:r>
            <w:r>
              <w:rPr>
                <w:rFonts w:hint="default" w:asciiTheme="minorHAnsi" w:hAnsiTheme="minorHAnsi" w:eastAsiaTheme="minorEastAsia" w:cstheme="minorBidi"/>
                <w:kern w:val="2"/>
                <w:sz w:val="18"/>
                <w:szCs w:val="18"/>
                <w:lang w:eastAsia="zh-CN" w:bidi="ar-SA"/>
              </w:rPr>
              <w:t>0,000</w:t>
            </w:r>
          </w:p>
        </w:tc>
        <w:tc>
          <w:tcPr>
            <w:tcW w:w="1018"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10%</w:t>
            </w:r>
          </w:p>
        </w:tc>
      </w:tr>
      <w:tr>
        <w:trPr>
          <w:trHeight w:val="191" w:hRule="atLeast"/>
        </w:trPr>
        <w:tc>
          <w:tcPr>
            <w:tcW w:w="3053"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 xml:space="preserve">From ₹ </w:t>
            </w:r>
            <w:r>
              <w:rPr>
                <w:rFonts w:hint="default" w:cstheme="minorBidi"/>
                <w:kern w:val="2"/>
                <w:sz w:val="18"/>
                <w:szCs w:val="18"/>
                <w:lang w:eastAsia="zh-CN" w:bidi="ar-SA"/>
              </w:rPr>
              <w:t>7</w:t>
            </w:r>
            <w:r>
              <w:rPr>
                <w:rFonts w:hint="default" w:asciiTheme="minorHAnsi" w:hAnsiTheme="minorHAnsi" w:eastAsiaTheme="minorEastAsia" w:cstheme="minorBidi"/>
                <w:kern w:val="2"/>
                <w:sz w:val="18"/>
                <w:szCs w:val="18"/>
                <w:lang w:eastAsia="zh-CN" w:bidi="ar-SA"/>
              </w:rPr>
              <w:t>,</w:t>
            </w:r>
            <w:r>
              <w:rPr>
                <w:rFonts w:hint="default" w:cstheme="minorBidi"/>
                <w:kern w:val="2"/>
                <w:sz w:val="18"/>
                <w:szCs w:val="18"/>
                <w:lang w:eastAsia="zh-CN" w:bidi="ar-SA"/>
              </w:rPr>
              <w:t>5</w:t>
            </w:r>
            <w:r>
              <w:rPr>
                <w:rFonts w:hint="default" w:asciiTheme="minorHAnsi" w:hAnsiTheme="minorHAnsi" w:eastAsiaTheme="minorEastAsia" w:cstheme="minorBidi"/>
                <w:kern w:val="2"/>
                <w:sz w:val="18"/>
                <w:szCs w:val="18"/>
                <w:lang w:eastAsia="zh-CN" w:bidi="ar-SA"/>
              </w:rPr>
              <w:t>0,00</w:t>
            </w:r>
            <w:r>
              <w:rPr>
                <w:rFonts w:hint="default" w:cstheme="minorBidi"/>
                <w:kern w:val="2"/>
                <w:sz w:val="18"/>
                <w:szCs w:val="18"/>
                <w:lang w:eastAsia="zh-CN" w:bidi="ar-SA"/>
              </w:rPr>
              <w:t>0</w:t>
            </w:r>
            <w:r>
              <w:rPr>
                <w:rFonts w:hint="default" w:asciiTheme="minorHAnsi" w:hAnsiTheme="minorHAnsi" w:eastAsiaTheme="minorEastAsia" w:cstheme="minorBidi"/>
                <w:kern w:val="2"/>
                <w:sz w:val="18"/>
                <w:szCs w:val="18"/>
                <w:lang w:eastAsia="zh-CN" w:bidi="ar-SA"/>
              </w:rPr>
              <w:t xml:space="preserve"> to ₹ 1</w:t>
            </w:r>
            <w:r>
              <w:rPr>
                <w:rFonts w:hint="default" w:cstheme="minorBidi"/>
                <w:kern w:val="2"/>
                <w:sz w:val="18"/>
                <w:szCs w:val="18"/>
                <w:lang w:eastAsia="zh-CN" w:bidi="ar-SA"/>
              </w:rPr>
              <w:t>0</w:t>
            </w:r>
            <w:r>
              <w:rPr>
                <w:rFonts w:hint="default" w:asciiTheme="minorHAnsi" w:hAnsiTheme="minorHAnsi" w:eastAsiaTheme="minorEastAsia" w:cstheme="minorBidi"/>
                <w:kern w:val="2"/>
                <w:sz w:val="18"/>
                <w:szCs w:val="18"/>
                <w:lang w:eastAsia="zh-CN" w:bidi="ar-SA"/>
              </w:rPr>
              <w:t>,00,000</w:t>
            </w:r>
          </w:p>
        </w:tc>
        <w:tc>
          <w:tcPr>
            <w:tcW w:w="1018"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15%</w:t>
            </w:r>
          </w:p>
        </w:tc>
      </w:tr>
      <w:tr>
        <w:trPr>
          <w:trHeight w:val="183" w:hRule="atLeast"/>
        </w:trPr>
        <w:tc>
          <w:tcPr>
            <w:tcW w:w="3053"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From ₹ 1</w:t>
            </w:r>
            <w:r>
              <w:rPr>
                <w:rFonts w:hint="default" w:cstheme="minorBidi"/>
                <w:kern w:val="2"/>
                <w:sz w:val="18"/>
                <w:szCs w:val="18"/>
                <w:lang w:eastAsia="zh-CN" w:bidi="ar-SA"/>
              </w:rPr>
              <w:t>0</w:t>
            </w:r>
            <w:r>
              <w:rPr>
                <w:rFonts w:hint="default" w:asciiTheme="minorHAnsi" w:hAnsiTheme="minorHAnsi" w:eastAsiaTheme="minorEastAsia" w:cstheme="minorBidi"/>
                <w:kern w:val="2"/>
                <w:sz w:val="18"/>
                <w:szCs w:val="18"/>
                <w:lang w:eastAsia="zh-CN" w:bidi="ar-SA"/>
              </w:rPr>
              <w:t>,00,00</w:t>
            </w:r>
            <w:r>
              <w:rPr>
                <w:rFonts w:hint="default" w:cstheme="minorBidi"/>
                <w:kern w:val="2"/>
                <w:sz w:val="18"/>
                <w:szCs w:val="18"/>
                <w:lang w:eastAsia="zh-CN" w:bidi="ar-SA"/>
              </w:rPr>
              <w:t>0</w:t>
            </w:r>
            <w:r>
              <w:rPr>
                <w:rFonts w:hint="default" w:asciiTheme="minorHAnsi" w:hAnsiTheme="minorHAnsi" w:eastAsiaTheme="minorEastAsia" w:cstheme="minorBidi"/>
                <w:kern w:val="2"/>
                <w:sz w:val="18"/>
                <w:szCs w:val="18"/>
                <w:lang w:eastAsia="zh-CN" w:bidi="ar-SA"/>
              </w:rPr>
              <w:t xml:space="preserve"> to ₹ 1</w:t>
            </w:r>
            <w:r>
              <w:rPr>
                <w:rFonts w:hint="default" w:cstheme="minorBidi"/>
                <w:kern w:val="2"/>
                <w:sz w:val="18"/>
                <w:szCs w:val="18"/>
                <w:lang w:eastAsia="zh-CN" w:bidi="ar-SA"/>
              </w:rPr>
              <w:t>2</w:t>
            </w:r>
            <w:r>
              <w:rPr>
                <w:rFonts w:hint="default" w:asciiTheme="minorHAnsi" w:hAnsiTheme="minorHAnsi" w:eastAsiaTheme="minorEastAsia" w:cstheme="minorBidi"/>
                <w:kern w:val="2"/>
                <w:sz w:val="18"/>
                <w:szCs w:val="18"/>
                <w:lang w:eastAsia="zh-CN" w:bidi="ar-SA"/>
              </w:rPr>
              <w:t>,</w:t>
            </w:r>
            <w:r>
              <w:rPr>
                <w:rFonts w:hint="default" w:cstheme="minorBidi"/>
                <w:kern w:val="2"/>
                <w:sz w:val="18"/>
                <w:szCs w:val="18"/>
                <w:lang w:eastAsia="zh-CN" w:bidi="ar-SA"/>
              </w:rPr>
              <w:t>5</w:t>
            </w:r>
            <w:r>
              <w:rPr>
                <w:rFonts w:hint="default" w:asciiTheme="minorHAnsi" w:hAnsiTheme="minorHAnsi" w:eastAsiaTheme="minorEastAsia" w:cstheme="minorBidi"/>
                <w:kern w:val="2"/>
                <w:sz w:val="18"/>
                <w:szCs w:val="18"/>
                <w:lang w:eastAsia="zh-CN" w:bidi="ar-SA"/>
              </w:rPr>
              <w:t>0,000</w:t>
            </w:r>
          </w:p>
        </w:tc>
        <w:tc>
          <w:tcPr>
            <w:tcW w:w="1018"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20%</w:t>
            </w:r>
          </w:p>
        </w:tc>
      </w:tr>
      <w:tr>
        <w:trPr>
          <w:trHeight w:val="225" w:hRule="atLeast"/>
        </w:trPr>
        <w:tc>
          <w:tcPr>
            <w:tcW w:w="3053"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cstheme="minorBidi"/>
                <w:kern w:val="2"/>
                <w:sz w:val="18"/>
                <w:szCs w:val="18"/>
                <w:lang w:eastAsia="zh-CN" w:bidi="ar-SA"/>
              </w:rPr>
              <w:t>From</w:t>
            </w:r>
            <w:r>
              <w:rPr>
                <w:rFonts w:hint="default" w:asciiTheme="minorHAnsi" w:hAnsiTheme="minorHAnsi" w:eastAsiaTheme="minorEastAsia" w:cstheme="minorBidi"/>
                <w:kern w:val="2"/>
                <w:sz w:val="18"/>
                <w:szCs w:val="18"/>
                <w:lang w:eastAsia="zh-CN" w:bidi="ar-SA"/>
              </w:rPr>
              <w:t xml:space="preserve"> ₹ 1</w:t>
            </w:r>
            <w:r>
              <w:rPr>
                <w:rFonts w:hint="default" w:cstheme="minorBidi"/>
                <w:kern w:val="2"/>
                <w:sz w:val="18"/>
                <w:szCs w:val="18"/>
                <w:lang w:eastAsia="zh-CN" w:bidi="ar-SA"/>
              </w:rPr>
              <w:t>2</w:t>
            </w:r>
            <w:r>
              <w:rPr>
                <w:rFonts w:hint="default" w:asciiTheme="minorHAnsi" w:hAnsiTheme="minorHAnsi" w:eastAsiaTheme="minorEastAsia" w:cstheme="minorBidi"/>
                <w:kern w:val="2"/>
                <w:sz w:val="18"/>
                <w:szCs w:val="18"/>
                <w:lang w:eastAsia="zh-CN" w:bidi="ar-SA"/>
              </w:rPr>
              <w:t>,</w:t>
            </w:r>
            <w:r>
              <w:rPr>
                <w:rFonts w:hint="default" w:cstheme="minorBidi"/>
                <w:kern w:val="2"/>
                <w:sz w:val="18"/>
                <w:szCs w:val="18"/>
                <w:lang w:eastAsia="zh-CN" w:bidi="ar-SA"/>
              </w:rPr>
              <w:t>5</w:t>
            </w:r>
            <w:r>
              <w:rPr>
                <w:rFonts w:hint="default" w:asciiTheme="minorHAnsi" w:hAnsiTheme="minorHAnsi" w:eastAsiaTheme="minorEastAsia" w:cstheme="minorBidi"/>
                <w:kern w:val="2"/>
                <w:sz w:val="18"/>
                <w:szCs w:val="18"/>
                <w:lang w:eastAsia="zh-CN" w:bidi="ar-SA"/>
              </w:rPr>
              <w:t>0,000</w:t>
            </w:r>
            <w:r>
              <w:rPr>
                <w:rFonts w:hint="default" w:cstheme="minorBidi"/>
                <w:kern w:val="2"/>
                <w:sz w:val="18"/>
                <w:szCs w:val="18"/>
                <w:lang w:eastAsia="zh-CN" w:bidi="ar-SA"/>
              </w:rPr>
              <w:t xml:space="preserve"> to </w:t>
            </w:r>
            <w:r>
              <w:rPr>
                <w:rFonts w:hint="default" w:asciiTheme="minorHAnsi" w:hAnsiTheme="minorHAnsi" w:eastAsiaTheme="minorEastAsia" w:cstheme="minorBidi"/>
                <w:kern w:val="2"/>
                <w:sz w:val="18"/>
                <w:szCs w:val="18"/>
                <w:lang w:eastAsia="zh-CN" w:bidi="ar-SA"/>
              </w:rPr>
              <w:t>₹ 15,00,000</w:t>
            </w:r>
          </w:p>
        </w:tc>
        <w:tc>
          <w:tcPr>
            <w:tcW w:w="1018"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cstheme="minorBidi"/>
                <w:kern w:val="2"/>
                <w:sz w:val="18"/>
                <w:szCs w:val="18"/>
                <w:lang w:eastAsia="zh-CN" w:bidi="ar-SA"/>
              </w:rPr>
              <w:t>25</w:t>
            </w:r>
            <w:r>
              <w:rPr>
                <w:rFonts w:hint="default" w:asciiTheme="minorHAnsi" w:hAnsiTheme="minorHAnsi" w:eastAsiaTheme="minorEastAsia" w:cstheme="minorBidi"/>
                <w:kern w:val="2"/>
                <w:sz w:val="18"/>
                <w:szCs w:val="18"/>
                <w:lang w:eastAsia="zh-CN" w:bidi="ar-SA"/>
              </w:rPr>
              <w:t>%</w:t>
            </w:r>
          </w:p>
        </w:tc>
      </w:tr>
    </w:tbl>
    <w:p>
      <w:pPr>
        <w:widowControl w:val="0"/>
        <w:numPr>
          <w:ilvl w:val="0"/>
          <w:numId w:val="0"/>
        </w:numPr>
        <w:jc w:val="left"/>
        <w:rPr>
          <w:rFonts w:hint="default" w:asciiTheme="minorHAnsi" w:hAnsiTheme="minorHAnsi" w:eastAsiaTheme="minorEastAsia" w:cstheme="minorBidi"/>
          <w:kern w:val="2"/>
          <w:sz w:val="18"/>
          <w:szCs w:val="18"/>
          <w:lang w:eastAsia="zh-CN" w:bidi="ar-SA"/>
        </w:rPr>
      </w:pPr>
    </w:p>
    <w:p>
      <w:pPr>
        <w:widowControl w:val="0"/>
        <w:numPr>
          <w:ilvl w:val="0"/>
          <w:numId w:val="0"/>
        </w:numPr>
        <w:jc w:val="left"/>
        <w:rPr>
          <w:rFonts w:hint="default" w:asciiTheme="minorHAnsi" w:hAnsiTheme="minorHAnsi" w:eastAsiaTheme="minorEastAsia" w:cstheme="minorBidi"/>
          <w:kern w:val="2"/>
          <w:sz w:val="18"/>
          <w:szCs w:val="18"/>
          <w:lang w:eastAsia="zh-CN" w:bidi="ar-SA"/>
        </w:rPr>
      </w:pPr>
    </w:p>
    <w:p>
      <w:pPr>
        <w:widowControl w:val="0"/>
        <w:numPr>
          <w:ilvl w:val="0"/>
          <w:numId w:val="0"/>
        </w:numPr>
        <w:jc w:val="left"/>
        <w:rPr>
          <w:rFonts w:hint="default" w:asciiTheme="minorHAnsi" w:hAnsiTheme="minorHAnsi" w:eastAsiaTheme="minorEastAsia" w:cstheme="minorBidi"/>
          <w:kern w:val="2"/>
          <w:sz w:val="18"/>
          <w:szCs w:val="18"/>
          <w:lang w:eastAsia="zh-CN" w:bidi="ar-SA"/>
        </w:rPr>
      </w:pPr>
    </w:p>
    <w:p>
      <w:pPr>
        <w:keepNext w:val="0"/>
        <w:keepLines w:val="0"/>
        <w:widowControl/>
        <w:suppressLineNumbers w:val="0"/>
        <w:jc w:val="left"/>
        <w:rPr>
          <w:sz w:val="18"/>
          <w:szCs w:val="18"/>
        </w:rPr>
      </w:pPr>
    </w:p>
    <w:p>
      <w:pPr>
        <w:numPr>
          <w:ilvl w:val="0"/>
          <w:numId w:val="0"/>
        </w:numPr>
        <w:ind w:leftChars="0"/>
        <w:jc w:val="left"/>
        <w:rPr>
          <w:rFonts w:hint="default" w:asciiTheme="minorHAnsi" w:hAnsiTheme="minorHAnsi" w:eastAsiaTheme="minorEastAsia" w:cstheme="minorBidi"/>
          <w:kern w:val="2"/>
          <w:sz w:val="18"/>
          <w:szCs w:val="18"/>
          <w:lang w:eastAsia="zh-CN" w:bidi="ar-SA"/>
        </w:rPr>
      </w:pPr>
    </w:p>
    <w:tbl>
      <w:tblPr>
        <w:tblStyle w:val="3"/>
        <w:tblpPr w:leftFromText="180" w:rightFromText="180" w:vertAnchor="text" w:horzAnchor="page" w:tblpX="2146" w:tblpY="309"/>
        <w:tblOverlap w:val="never"/>
        <w:tblW w:w="4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42"/>
        <w:gridCol w:w="1029"/>
      </w:tblGrid>
      <w:tr>
        <w:trPr>
          <w:trHeight w:val="309" w:hRule="atLeast"/>
        </w:trPr>
        <w:tc>
          <w:tcPr>
            <w:tcW w:w="3042"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val="en-US" w:eastAsia="zh-CN" w:bidi="ar-SA"/>
              </w:rPr>
            </w:pPr>
            <w:r>
              <w:rPr>
                <w:rFonts w:hint="default" w:cstheme="minorBidi"/>
                <w:kern w:val="2"/>
                <w:sz w:val="18"/>
                <w:szCs w:val="18"/>
                <w:lang w:eastAsia="zh-CN" w:bidi="ar-SA"/>
              </w:rPr>
              <w:t>Above</w:t>
            </w:r>
            <w:r>
              <w:rPr>
                <w:rFonts w:hint="default" w:asciiTheme="minorHAnsi" w:hAnsiTheme="minorHAnsi" w:eastAsiaTheme="minorEastAsia" w:cstheme="minorBidi"/>
                <w:kern w:val="2"/>
                <w:sz w:val="18"/>
                <w:szCs w:val="18"/>
                <w:lang w:eastAsia="zh-CN" w:bidi="ar-SA"/>
              </w:rPr>
              <w:t xml:space="preserve"> ₹ 1</w:t>
            </w:r>
            <w:r>
              <w:rPr>
                <w:rFonts w:hint="default" w:cstheme="minorBidi"/>
                <w:kern w:val="2"/>
                <w:sz w:val="18"/>
                <w:szCs w:val="18"/>
                <w:lang w:eastAsia="zh-CN" w:bidi="ar-SA"/>
              </w:rPr>
              <w:t>5</w:t>
            </w:r>
            <w:r>
              <w:rPr>
                <w:rFonts w:hint="default" w:asciiTheme="minorHAnsi" w:hAnsiTheme="minorHAnsi" w:eastAsiaTheme="minorEastAsia" w:cstheme="minorBidi"/>
                <w:kern w:val="2"/>
                <w:sz w:val="18"/>
                <w:szCs w:val="18"/>
                <w:lang w:eastAsia="zh-CN" w:bidi="ar-SA"/>
              </w:rPr>
              <w:t>,00,00</w:t>
            </w:r>
            <w:r>
              <w:rPr>
                <w:rFonts w:hint="default" w:cstheme="minorBidi"/>
                <w:kern w:val="2"/>
                <w:sz w:val="18"/>
                <w:szCs w:val="18"/>
                <w:lang w:eastAsia="zh-CN" w:bidi="ar-SA"/>
              </w:rPr>
              <w:t>0</w:t>
            </w:r>
            <w:r>
              <w:rPr>
                <w:rFonts w:hint="default" w:asciiTheme="minorHAnsi" w:hAnsiTheme="minorHAnsi" w:eastAsiaTheme="minorEastAsia" w:cstheme="minorBidi"/>
                <w:kern w:val="2"/>
                <w:sz w:val="18"/>
                <w:szCs w:val="18"/>
                <w:lang w:eastAsia="zh-CN" w:bidi="ar-SA"/>
              </w:rPr>
              <w:t xml:space="preserve"> </w:t>
            </w:r>
          </w:p>
        </w:tc>
        <w:tc>
          <w:tcPr>
            <w:tcW w:w="1029"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val="en-US" w:eastAsia="zh-CN" w:bidi="ar-SA"/>
              </w:rPr>
            </w:pPr>
            <w:r>
              <w:rPr>
                <w:rFonts w:hint="default" w:cstheme="minorBidi"/>
                <w:kern w:val="2"/>
                <w:sz w:val="18"/>
                <w:szCs w:val="18"/>
                <w:lang w:eastAsia="zh-CN" w:bidi="ar-SA"/>
              </w:rPr>
              <w:t>3</w:t>
            </w:r>
            <w:r>
              <w:rPr>
                <w:rFonts w:hint="default" w:asciiTheme="minorHAnsi" w:hAnsiTheme="minorHAnsi" w:eastAsiaTheme="minorEastAsia" w:cstheme="minorBidi"/>
                <w:kern w:val="2"/>
                <w:sz w:val="18"/>
                <w:szCs w:val="18"/>
                <w:lang w:eastAsia="zh-CN" w:bidi="ar-SA"/>
              </w:rPr>
              <w:t>0%</w:t>
            </w:r>
          </w:p>
        </w:tc>
      </w:tr>
    </w:tbl>
    <w:p>
      <w:pPr>
        <w:numPr>
          <w:ilvl w:val="0"/>
          <w:numId w:val="0"/>
        </w:numPr>
        <w:ind w:leftChars="0"/>
        <w:rPr>
          <w:rFonts w:hint="default"/>
        </w:rPr>
      </w:pPr>
      <w:r>
        <w:rPr>
          <w:rFonts w:hint="default"/>
        </w:rPr>
        <w:t xml:space="preserve">  </w:t>
      </w: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r>
        <w:rPr>
          <w:rFonts w:hint="default"/>
        </w:rPr>
        <w:t>Apart from standard deduction of 50,000, there is a small list of exemptions which I won’t go into detail.</w:t>
      </w:r>
    </w:p>
    <w:p>
      <w:pPr>
        <w:numPr>
          <w:ilvl w:val="0"/>
          <w:numId w:val="0"/>
        </w:numPr>
        <w:ind w:leftChars="0"/>
        <w:rPr>
          <w:rFonts w:hint="default"/>
        </w:rPr>
      </w:pPr>
    </w:p>
    <w:tbl>
      <w:tblPr>
        <w:tblStyle w:val="3"/>
        <w:tblpPr w:leftFromText="180" w:rightFromText="180" w:vertAnchor="text" w:horzAnchor="page" w:tblpX="2250" w:tblpY="579"/>
        <w:tblOverlap w:val="never"/>
        <w:tblW w:w="39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60"/>
        <w:gridCol w:w="1006"/>
      </w:tblGrid>
      <w:tr>
        <w:trPr>
          <w:trHeight w:val="109" w:hRule="atLeast"/>
        </w:trPr>
        <w:tc>
          <w:tcPr>
            <w:tcW w:w="2960" w:type="dxa"/>
            <w:tcBorders>
              <w:top w:val="nil"/>
              <w:left w:val="nil"/>
              <w:bottom w:val="nil"/>
              <w:right w:val="nil"/>
            </w:tcBorders>
            <w:shd w:val="clear" w:color="auto" w:fill="83CA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On Income</w:t>
            </w:r>
          </w:p>
        </w:tc>
        <w:tc>
          <w:tcPr>
            <w:tcW w:w="1006" w:type="dxa"/>
            <w:tcBorders>
              <w:top w:val="nil"/>
              <w:left w:val="nil"/>
              <w:bottom w:val="nil"/>
              <w:right w:val="nil"/>
            </w:tcBorders>
            <w:shd w:val="clear" w:color="auto" w:fill="83CA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Tax Rate</w:t>
            </w:r>
          </w:p>
        </w:tc>
      </w:tr>
      <w:tr>
        <w:trPr>
          <w:trHeight w:val="90" w:hRule="atLeast"/>
        </w:trPr>
        <w:tc>
          <w:tcPr>
            <w:tcW w:w="2960"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Up to ₹ 3,00,000</w:t>
            </w:r>
          </w:p>
        </w:tc>
        <w:tc>
          <w:tcPr>
            <w:tcW w:w="1006"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Nil</w:t>
            </w:r>
          </w:p>
        </w:tc>
      </w:tr>
      <w:tr>
        <w:trPr>
          <w:trHeight w:val="196" w:hRule="atLeast"/>
        </w:trPr>
        <w:tc>
          <w:tcPr>
            <w:tcW w:w="2960"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From ₹ 3,00,001 to ₹ 6,00,000</w:t>
            </w:r>
          </w:p>
        </w:tc>
        <w:tc>
          <w:tcPr>
            <w:tcW w:w="1006"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5%</w:t>
            </w:r>
          </w:p>
        </w:tc>
      </w:tr>
      <w:tr>
        <w:trPr>
          <w:trHeight w:val="90" w:hRule="atLeast"/>
        </w:trPr>
        <w:tc>
          <w:tcPr>
            <w:tcW w:w="2960"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From ₹ 6,00,001 to ₹ 9,00,000</w:t>
            </w:r>
          </w:p>
        </w:tc>
        <w:tc>
          <w:tcPr>
            <w:tcW w:w="1006"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10%</w:t>
            </w:r>
          </w:p>
        </w:tc>
      </w:tr>
      <w:tr>
        <w:trPr>
          <w:trHeight w:val="96" w:hRule="atLeast"/>
        </w:trPr>
        <w:tc>
          <w:tcPr>
            <w:tcW w:w="2960"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From ₹ 9,00,001 to ₹ 12,00,000</w:t>
            </w:r>
          </w:p>
        </w:tc>
        <w:tc>
          <w:tcPr>
            <w:tcW w:w="1006"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15%</w:t>
            </w:r>
          </w:p>
        </w:tc>
      </w:tr>
      <w:tr>
        <w:trPr>
          <w:trHeight w:val="96" w:hRule="atLeast"/>
        </w:trPr>
        <w:tc>
          <w:tcPr>
            <w:tcW w:w="2960"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From ₹ 12,00,001 to ₹ 15,00,000</w:t>
            </w:r>
          </w:p>
        </w:tc>
        <w:tc>
          <w:tcPr>
            <w:tcW w:w="1006" w:type="dxa"/>
            <w:tcBorders>
              <w:top w:val="nil"/>
              <w:left w:val="nil"/>
              <w:bottom w:val="nil"/>
              <w:right w:val="nil"/>
            </w:tcBorders>
            <w:shd w:val="clear" w:color="auto" w:fill="FFFFFF"/>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20%</w:t>
            </w:r>
          </w:p>
        </w:tc>
      </w:tr>
      <w:tr>
        <w:trPr>
          <w:trHeight w:val="93" w:hRule="atLeast"/>
        </w:trPr>
        <w:tc>
          <w:tcPr>
            <w:tcW w:w="2960"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Above ₹ 15,00,000</w:t>
            </w:r>
          </w:p>
        </w:tc>
        <w:tc>
          <w:tcPr>
            <w:tcW w:w="1006" w:type="dxa"/>
            <w:tcBorders>
              <w:top w:val="nil"/>
              <w:left w:val="nil"/>
              <w:bottom w:val="nil"/>
              <w:right w:val="nil"/>
            </w:tcBorders>
            <w:shd w:val="clear" w:color="auto" w:fill="CCCCCC"/>
            <w:tcMar>
              <w:top w:w="100" w:type="dxa"/>
              <w:left w:w="100" w:type="dxa"/>
              <w:bottom w:w="100" w:type="dxa"/>
              <w:right w:w="100" w:type="dxa"/>
            </w:tcMar>
            <w:vAlign w:val="center"/>
          </w:tcPr>
          <w:p>
            <w:pPr>
              <w:jc w:val="left"/>
              <w:rPr>
                <w:rFonts w:hint="default" w:asciiTheme="minorHAnsi" w:hAnsiTheme="minorHAnsi" w:eastAsiaTheme="minorEastAsia" w:cstheme="minorBidi"/>
                <w:kern w:val="2"/>
                <w:sz w:val="18"/>
                <w:szCs w:val="18"/>
                <w:lang w:eastAsia="zh-CN" w:bidi="ar-SA"/>
              </w:rPr>
            </w:pPr>
            <w:r>
              <w:rPr>
                <w:rFonts w:hint="default" w:asciiTheme="minorHAnsi" w:hAnsiTheme="minorHAnsi" w:eastAsiaTheme="minorEastAsia" w:cstheme="minorBidi"/>
                <w:kern w:val="2"/>
                <w:sz w:val="18"/>
                <w:szCs w:val="18"/>
                <w:lang w:eastAsia="zh-CN" w:bidi="ar-SA"/>
              </w:rPr>
              <w:t>30%</w:t>
            </w:r>
          </w:p>
        </w:tc>
      </w:tr>
    </w:tbl>
    <w:p>
      <w:pPr>
        <w:numPr>
          <w:ilvl w:val="0"/>
          <w:numId w:val="1"/>
        </w:numPr>
        <w:ind w:left="0" w:leftChars="0" w:firstLine="0" w:firstLineChars="0"/>
        <w:rPr>
          <w:rFonts w:hint="default"/>
        </w:rPr>
      </w:pPr>
      <w:r>
        <w:rPr>
          <w:rFonts w:hint="default"/>
        </w:rPr>
        <w:t>New Tax Regime 2023:</w:t>
      </w:r>
    </w:p>
    <w:p>
      <w:pPr>
        <w:numPr>
          <w:ilvl w:val="0"/>
          <w:numId w:val="0"/>
        </w:numPr>
        <w:ind w:leftChars="0"/>
        <w:rPr>
          <w:rFonts w:hint="default"/>
        </w:rPr>
      </w:pPr>
    </w:p>
    <w:p>
      <w:pPr>
        <w:keepNext w:val="0"/>
        <w:keepLines w:val="0"/>
        <w:widowControl/>
        <w:suppressLineNumbers w:val="0"/>
        <w:jc w:val="left"/>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r>
        <w:rPr>
          <w:rFonts w:hint="default"/>
        </w:rPr>
        <w:t>Apart from standard deduction of 50,000, there is a small list of exemptions which I won’t go into detail.</w:t>
      </w:r>
      <w:r>
        <w:rPr>
          <w:rFonts w:hint="default"/>
        </w:rPr>
        <w:t xml:space="preserve"> Also, if the income is upto 7 lakhs after applying standard deduction there is no tax.</w:t>
      </w:r>
    </w:p>
    <w:p>
      <w:pPr>
        <w:numPr>
          <w:ilvl w:val="0"/>
          <w:numId w:val="0"/>
        </w:numPr>
        <w:ind w:leftChars="0"/>
        <w:rPr>
          <w:rFonts w:hint="default"/>
        </w:rPr>
      </w:pPr>
    </w:p>
    <w:p>
      <w:pPr>
        <w:numPr>
          <w:ilvl w:val="0"/>
          <w:numId w:val="0"/>
        </w:numPr>
        <w:ind w:leftChars="0"/>
        <w:rPr>
          <w:rFonts w:hint="default"/>
        </w:rPr>
      </w:pPr>
      <w:r>
        <w:rPr>
          <w:rFonts w:hint="default"/>
        </w:rPr>
        <w:t>The common thing in all these tax regimes is the standard deduction of 50000. let’s make a simple python function to capture all the above information:</w:t>
      </w:r>
    </w:p>
    <w:p>
      <w:pPr>
        <w:numPr>
          <w:ilvl w:val="0"/>
          <w:numId w:val="0"/>
        </w:numPr>
        <w:ind w:leftChars="0"/>
        <w:rPr>
          <w:rFonts w:hint="default"/>
        </w:rPr>
      </w:pPr>
    </w:p>
    <w:p>
      <w:pPr>
        <w:numPr>
          <w:ilvl w:val="0"/>
          <w:numId w:val="0"/>
        </w:numPr>
        <w:ind w:leftChars="0"/>
        <w:rPr>
          <w:rFonts w:hint="default"/>
        </w:rPr>
      </w:pPr>
      <w:r>
        <w:rPr>
          <w:rFonts w:hint="default"/>
        </w:rPr>
        <w:t>##</w:t>
      </w:r>
    </w:p>
    <w:p>
      <w:pPr>
        <w:numPr>
          <w:ilvl w:val="0"/>
          <w:numId w:val="0"/>
        </w:numPr>
        <w:ind w:leftChars="0"/>
        <w:rPr>
          <w:rFonts w:hint="default"/>
        </w:rPr>
      </w:pPr>
      <w:r>
        <w:rPr>
          <w:rFonts w:hint="default"/>
        </w:rPr>
        <w:t>Code</w:t>
      </w:r>
    </w:p>
    <w:p>
      <w:pPr>
        <w:numPr>
          <w:ilvl w:val="0"/>
          <w:numId w:val="0"/>
        </w:numPr>
        <w:ind w:leftChars="0"/>
        <w:rPr>
          <w:rFonts w:hint="default"/>
        </w:rPr>
      </w:pPr>
      <w:r>
        <w:rPr>
          <w:rFonts w:hint="default"/>
        </w:rPr>
        <w:t>##</w:t>
      </w:r>
    </w:p>
    <w:p>
      <w:pPr>
        <w:numPr>
          <w:ilvl w:val="0"/>
          <w:numId w:val="0"/>
        </w:numPr>
        <w:ind w:leftChars="0"/>
        <w:rPr>
          <w:rFonts w:hint="default"/>
        </w:rPr>
      </w:pPr>
    </w:p>
    <w:p>
      <w:pPr>
        <w:numPr>
          <w:ilvl w:val="0"/>
          <w:numId w:val="0"/>
        </w:numPr>
        <w:ind w:leftChars="0"/>
        <w:rPr>
          <w:rFonts w:hint="default"/>
        </w:rPr>
      </w:pPr>
      <w:r>
        <w:rPr>
          <w:rFonts w:hint="default"/>
        </w:rPr>
        <w:t>Let’s compare all the above tax regimes using different level of incomes varying between 2.5 lakhs and 50 lakhs.</w:t>
      </w:r>
    </w:p>
    <w:p>
      <w:pPr>
        <w:numPr>
          <w:ilvl w:val="0"/>
          <w:numId w:val="0"/>
        </w:numPr>
        <w:ind w:leftChars="0"/>
        <w:rPr>
          <w:rFonts w:hint="default"/>
        </w:rPr>
      </w:pPr>
    </w:p>
    <w:p>
      <w:pPr>
        <w:numPr>
          <w:ilvl w:val="0"/>
          <w:numId w:val="0"/>
        </w:numPr>
        <w:ind w:leftChars="0"/>
        <w:rPr>
          <w:rFonts w:hint="default"/>
        </w:rPr>
      </w:pPr>
      <w:r>
        <w:rPr>
          <w:rFonts w:hint="default"/>
        </w:rPr>
        <w:t>##</w:t>
      </w:r>
    </w:p>
    <w:p>
      <w:pPr>
        <w:numPr>
          <w:ilvl w:val="0"/>
          <w:numId w:val="0"/>
        </w:numPr>
        <w:ind w:leftChars="0"/>
        <w:rPr>
          <w:rFonts w:hint="default"/>
        </w:rPr>
      </w:pPr>
      <w:r>
        <w:rPr>
          <w:rFonts w:hint="default"/>
        </w:rPr>
        <w:t xml:space="preserve">Code </w:t>
      </w:r>
    </w:p>
    <w:p>
      <w:pPr>
        <w:numPr>
          <w:ilvl w:val="0"/>
          <w:numId w:val="0"/>
        </w:numPr>
        <w:ind w:leftChars="0"/>
        <w:rPr>
          <w:rFonts w:hint="default"/>
        </w:rPr>
      </w:pPr>
      <w:r>
        <w:rPr>
          <w:rFonts w:hint="default"/>
        </w:rPr>
        <w:t>##</w:t>
      </w:r>
    </w:p>
    <w:p>
      <w:pPr>
        <w:numPr>
          <w:ilvl w:val="0"/>
          <w:numId w:val="0"/>
        </w:numPr>
        <w:ind w:leftChars="0"/>
        <w:rPr>
          <w:rFonts w:hint="default"/>
        </w:rPr>
      </w:pPr>
    </w:p>
    <w:p>
      <w:pPr>
        <w:numPr>
          <w:ilvl w:val="0"/>
          <w:numId w:val="0"/>
        </w:numPr>
        <w:ind w:leftChars="0"/>
        <w:rPr>
          <w:rFonts w:hint="default"/>
        </w:rPr>
      </w:pPr>
      <w:r>
        <w:rPr>
          <w:rFonts w:hint="default"/>
        </w:rPr>
        <w:t>##</w:t>
      </w:r>
    </w:p>
    <w:p>
      <w:pPr>
        <w:numPr>
          <w:ilvl w:val="0"/>
          <w:numId w:val="0"/>
        </w:numPr>
        <w:ind w:leftChars="0"/>
        <w:rPr>
          <w:rFonts w:hint="default"/>
        </w:rPr>
      </w:pPr>
      <w:r>
        <w:rPr>
          <w:rFonts w:hint="default"/>
        </w:rPr>
        <w:t>Graph</w:t>
      </w:r>
    </w:p>
    <w:p>
      <w:pPr>
        <w:numPr>
          <w:ilvl w:val="0"/>
          <w:numId w:val="0"/>
        </w:numPr>
        <w:ind w:leftChars="0"/>
        <w:rPr>
          <w:rFonts w:hint="default"/>
        </w:rPr>
      </w:pPr>
      <w:r>
        <w:rPr>
          <w:rFonts w:hint="default"/>
        </w:rPr>
        <w:t>##</w:t>
      </w:r>
    </w:p>
    <w:p>
      <w:pPr>
        <w:numPr>
          <w:ilvl w:val="0"/>
          <w:numId w:val="0"/>
        </w:numPr>
        <w:ind w:leftChars="0"/>
        <w:rPr>
          <w:rFonts w:hint="default"/>
        </w:rPr>
      </w:pPr>
    </w:p>
    <w:p>
      <w:pPr>
        <w:numPr>
          <w:ilvl w:val="0"/>
          <w:numId w:val="0"/>
        </w:numPr>
        <w:ind w:leftChars="0"/>
        <w:rPr>
          <w:rFonts w:hint="default"/>
        </w:rPr>
      </w:pPr>
      <w:r>
        <w:rPr>
          <w:rFonts w:hint="default"/>
        </w:rPr>
        <w:t>From the graph itself, it is evident that the 2023 budget regime is better than the other two given no tax exemptions are availed in the old regime.</w:t>
      </w:r>
    </w:p>
    <w:p>
      <w:pPr>
        <w:numPr>
          <w:ilvl w:val="0"/>
          <w:numId w:val="0"/>
        </w:numPr>
        <w:ind w:leftChars="0"/>
        <w:rPr>
          <w:rFonts w:hint="default"/>
        </w:rPr>
      </w:pPr>
    </w:p>
    <w:p>
      <w:pPr>
        <w:numPr>
          <w:ilvl w:val="0"/>
          <w:numId w:val="0"/>
        </w:numPr>
        <w:ind w:leftChars="0"/>
        <w:rPr>
          <w:rFonts w:hint="default"/>
        </w:rPr>
      </w:pPr>
      <w:r>
        <w:rPr>
          <w:rFonts w:hint="default"/>
        </w:rPr>
        <w:t xml:space="preserve">Now the question arises - At a given level of income, how much tax exemtions are required such that an individual is </w:t>
      </w:r>
      <w:r>
        <w:rPr>
          <w:rFonts w:hint="default"/>
          <w:b/>
          <w:bCs/>
        </w:rPr>
        <w:t>indifferent</w:t>
      </w:r>
      <w:r>
        <w:rPr>
          <w:rFonts w:hint="default"/>
        </w:rPr>
        <w:t xml:space="preserve"> between the two tax regimes?</w:t>
      </w:r>
    </w:p>
    <w:p>
      <w:pPr>
        <w:numPr>
          <w:ilvl w:val="0"/>
          <w:numId w:val="0"/>
        </w:numPr>
        <w:ind w:leftChars="0"/>
        <w:rPr>
          <w:rFonts w:hint="default"/>
        </w:rPr>
      </w:pPr>
    </w:p>
    <w:p>
      <w:pPr>
        <w:numPr>
          <w:ilvl w:val="0"/>
          <w:numId w:val="0"/>
        </w:numPr>
        <w:ind w:leftChars="0"/>
        <w:rPr>
          <w:rFonts w:hint="default"/>
        </w:rPr>
      </w:pPr>
      <w:r>
        <w:rPr>
          <w:rFonts w:hint="default"/>
        </w:rPr>
        <w:t>Let’s try to work it out using simple math equation.</w:t>
      </w:r>
    </w:p>
    <w:p>
      <w:pPr>
        <w:numPr>
          <w:ilvl w:val="0"/>
          <w:numId w:val="0"/>
        </w:numPr>
        <w:ind w:leftChars="0"/>
        <w:rPr>
          <w:rFonts w:hint="default"/>
        </w:rPr>
      </w:pPr>
      <w:r>
        <w:rPr>
          <w:rFonts w:hint="default"/>
        </w:rPr>
        <w:t xml:space="preserve"> </w:t>
      </w:r>
    </w:p>
    <w:p>
      <w:pPr>
        <w:numPr>
          <w:ilvl w:val="0"/>
          <w:numId w:val="0"/>
        </w:numPr>
        <w:ind w:leftChars="0"/>
        <w:rPr>
          <w:rFonts w:hint="default"/>
        </w:rPr>
      </w:pPr>
      <w:r>
        <w:rPr>
          <w:rFonts w:hint="default"/>
          <w:b/>
          <w:bCs/>
        </w:rPr>
        <w:t>O(</w:t>
      </w:r>
      <w:r>
        <w:rPr>
          <w:rFonts w:hint="default"/>
        </w:rPr>
        <w:t>I - E</w:t>
      </w:r>
      <w:r>
        <w:rPr>
          <w:rFonts w:hint="default"/>
          <w:b/>
          <w:bCs/>
        </w:rPr>
        <w:t>)</w:t>
      </w:r>
      <w:r>
        <w:rPr>
          <w:rFonts w:hint="default"/>
        </w:rPr>
        <w:t xml:space="preserve"> = </w:t>
      </w:r>
      <w:r>
        <w:rPr>
          <w:rFonts w:hint="default"/>
          <w:b/>
          <w:bCs/>
        </w:rPr>
        <w:t>N(</w:t>
      </w:r>
      <w:r>
        <w:rPr>
          <w:rFonts w:hint="default"/>
        </w:rPr>
        <w:t>I</w:t>
      </w:r>
      <w:r>
        <w:rPr>
          <w:rFonts w:hint="default"/>
          <w:b/>
          <w:bCs/>
        </w:rPr>
        <w:t>)</w:t>
      </w:r>
      <w:r>
        <w:rPr>
          <w:rFonts w:hint="default"/>
        </w:rPr>
        <w:t xml:space="preserve">               ....(1)</w:t>
      </w:r>
    </w:p>
    <w:p>
      <w:pPr>
        <w:numPr>
          <w:ilvl w:val="0"/>
          <w:numId w:val="0"/>
        </w:numPr>
        <w:ind w:firstLine="420" w:firstLineChars="200"/>
        <w:rPr>
          <w:rFonts w:hint="default"/>
        </w:rPr>
      </w:pPr>
      <w:r>
        <w:rPr>
          <w:rFonts w:hint="default"/>
          <w:b/>
          <w:bCs/>
        </w:rPr>
        <w:t>E*</w:t>
      </w:r>
      <w:r>
        <w:rPr>
          <w:rFonts w:hint="default"/>
        </w:rPr>
        <w:t xml:space="preserve"> = I - </w:t>
      </w:r>
      <w:r>
        <w:rPr>
          <w:rFonts w:hint="default"/>
          <w:b/>
          <w:bCs/>
        </w:rPr>
        <w:t>O</w:t>
      </w:r>
      <w:r>
        <w:rPr>
          <w:rFonts w:hint="default"/>
          <w:sz w:val="20"/>
          <w:szCs w:val="22"/>
          <w:vertAlign w:val="superscript"/>
        </w:rPr>
        <w:t>-1</w:t>
      </w:r>
      <w:r>
        <w:rPr>
          <w:rFonts w:hint="default"/>
          <w:b/>
          <w:bCs/>
          <w:sz w:val="20"/>
          <w:szCs w:val="22"/>
          <w:vertAlign w:val="baseline"/>
        </w:rPr>
        <w:t>(</w:t>
      </w:r>
      <w:r>
        <w:rPr>
          <w:rFonts w:hint="default"/>
          <w:sz w:val="20"/>
          <w:szCs w:val="22"/>
          <w:vertAlign w:val="baseline"/>
        </w:rPr>
        <w:t xml:space="preserve"> </w:t>
      </w:r>
      <w:r>
        <w:rPr>
          <w:rFonts w:hint="default"/>
          <w:b/>
          <w:bCs/>
          <w:sz w:val="20"/>
          <w:szCs w:val="22"/>
          <w:vertAlign w:val="baseline"/>
        </w:rPr>
        <w:t>N</w:t>
      </w:r>
      <w:r>
        <w:rPr>
          <w:rFonts w:hint="default"/>
          <w:sz w:val="20"/>
          <w:szCs w:val="22"/>
          <w:vertAlign w:val="baseline"/>
        </w:rPr>
        <w:t xml:space="preserve">(I) </w:t>
      </w:r>
      <w:r>
        <w:rPr>
          <w:rFonts w:hint="default"/>
          <w:b/>
          <w:bCs/>
          <w:sz w:val="20"/>
          <w:szCs w:val="22"/>
          <w:vertAlign w:val="baseline"/>
        </w:rPr>
        <w:t>)</w:t>
      </w:r>
      <w:r>
        <w:rPr>
          <w:rFonts w:hint="default"/>
        </w:rPr>
        <w:t xml:space="preserve">         ....(2) </w:t>
      </w:r>
    </w:p>
    <w:p>
      <w:pPr>
        <w:numPr>
          <w:ilvl w:val="0"/>
          <w:numId w:val="0"/>
        </w:numPr>
        <w:rPr>
          <w:rFonts w:hint="default"/>
        </w:rPr>
      </w:pPr>
    </w:p>
    <w:p>
      <w:pPr>
        <w:numPr>
          <w:ilvl w:val="0"/>
          <w:numId w:val="0"/>
        </w:numPr>
        <w:rPr>
          <w:rFonts w:hint="default"/>
        </w:rPr>
      </w:pPr>
      <w:r>
        <w:rPr>
          <w:rFonts w:hint="default"/>
        </w:rPr>
        <w:t xml:space="preserve">Where, </w:t>
      </w:r>
    </w:p>
    <w:p>
      <w:pPr>
        <w:numPr>
          <w:ilvl w:val="0"/>
          <w:numId w:val="0"/>
        </w:numPr>
        <w:rPr>
          <w:rFonts w:hint="default"/>
        </w:rPr>
      </w:pPr>
      <w:r>
        <w:rPr>
          <w:rFonts w:hint="default"/>
        </w:rPr>
        <w:t xml:space="preserve">     O(I) - This function calculates tax using </w:t>
      </w:r>
      <w:r>
        <w:rPr>
          <w:rFonts w:hint="default"/>
          <w:b/>
          <w:bCs/>
        </w:rPr>
        <w:t>old</w:t>
      </w:r>
      <w:r>
        <w:rPr>
          <w:rFonts w:hint="default"/>
        </w:rPr>
        <w:t xml:space="preserve"> regime for income I. </w:t>
      </w:r>
    </w:p>
    <w:p>
      <w:pPr>
        <w:numPr>
          <w:ilvl w:val="0"/>
          <w:numId w:val="0"/>
        </w:numPr>
        <w:ind w:firstLine="1050" w:firstLineChars="500"/>
        <w:rPr>
          <w:rFonts w:hint="default"/>
        </w:rPr>
      </w:pPr>
      <w:r>
        <w:rPr>
          <w:rFonts w:hint="default"/>
        </w:rPr>
        <w:t xml:space="preserve">In our python code - calculate_tax(I, “old”)  </w:t>
      </w:r>
    </w:p>
    <w:p>
      <w:pPr>
        <w:numPr>
          <w:ilvl w:val="0"/>
          <w:numId w:val="0"/>
        </w:numPr>
        <w:rPr>
          <w:rFonts w:hint="default"/>
        </w:rPr>
      </w:pPr>
      <w:r>
        <w:rPr>
          <w:rFonts w:hint="default"/>
        </w:rPr>
        <w:t xml:space="preserve">     N(I) - </w:t>
      </w:r>
      <w:r>
        <w:rPr>
          <w:rFonts w:hint="default"/>
        </w:rPr>
        <w:t xml:space="preserve">This function calculates tax using </w:t>
      </w:r>
      <w:r>
        <w:rPr>
          <w:rFonts w:hint="default"/>
          <w:b/>
          <w:bCs/>
        </w:rPr>
        <w:t>2023 budget tax</w:t>
      </w:r>
      <w:r>
        <w:rPr>
          <w:rFonts w:hint="default"/>
        </w:rPr>
        <w:t xml:space="preserve"> regime for income I. </w:t>
      </w:r>
    </w:p>
    <w:p>
      <w:pPr>
        <w:numPr>
          <w:ilvl w:val="0"/>
          <w:numId w:val="0"/>
        </w:numPr>
        <w:ind w:firstLine="1050" w:firstLineChars="500"/>
        <w:rPr>
          <w:rFonts w:hint="default"/>
        </w:rPr>
      </w:pPr>
      <w:r>
        <w:rPr>
          <w:rFonts w:hint="default"/>
        </w:rPr>
        <w:t>In our python code - calculate_tax(I, “</w:t>
      </w:r>
      <w:r>
        <w:rPr>
          <w:rFonts w:hint="default"/>
        </w:rPr>
        <w:t>newer</w:t>
      </w:r>
      <w:r>
        <w:rPr>
          <w:rFonts w:hint="default"/>
        </w:rPr>
        <w:t xml:space="preserve">”)  </w:t>
      </w:r>
    </w:p>
    <w:p>
      <w:pPr>
        <w:numPr>
          <w:ilvl w:val="0"/>
          <w:numId w:val="0"/>
        </w:numPr>
        <w:ind w:firstLine="1050" w:firstLineChars="500"/>
        <w:rPr>
          <w:rFonts w:hint="default"/>
        </w:rPr>
      </w:pPr>
    </w:p>
    <w:p>
      <w:pPr>
        <w:numPr>
          <w:ilvl w:val="0"/>
          <w:numId w:val="0"/>
        </w:numPr>
        <w:rPr>
          <w:rFonts w:hint="default"/>
          <w:b w:val="0"/>
          <w:bCs w:val="0"/>
        </w:rPr>
      </w:pPr>
      <w:r>
        <w:rPr>
          <w:rFonts w:hint="default"/>
        </w:rPr>
        <w:t xml:space="preserve">In Equation (1) we are trying to find the amount of exemtions </w:t>
      </w:r>
      <w:r>
        <w:rPr>
          <w:rFonts w:hint="default"/>
          <w:b/>
          <w:bCs/>
        </w:rPr>
        <w:t>E</w:t>
      </w:r>
      <w:r>
        <w:rPr>
          <w:rFonts w:hint="default"/>
        </w:rPr>
        <w:t xml:space="preserve"> required such that an individual with income </w:t>
      </w:r>
      <w:r>
        <w:rPr>
          <w:rFonts w:hint="default"/>
          <w:b/>
          <w:bCs/>
        </w:rPr>
        <w:t xml:space="preserve">I </w:t>
      </w:r>
      <w:r>
        <w:rPr>
          <w:rFonts w:hint="default"/>
          <w:b w:val="0"/>
          <w:bCs w:val="0"/>
        </w:rPr>
        <w:t>is indifferent between the two tax regimes.</w:t>
      </w:r>
    </w:p>
    <w:p>
      <w:pPr>
        <w:numPr>
          <w:ilvl w:val="0"/>
          <w:numId w:val="0"/>
        </w:numPr>
        <w:rPr>
          <w:rFonts w:hint="default"/>
          <w:b w:val="0"/>
          <w:bCs w:val="0"/>
        </w:rPr>
      </w:pPr>
    </w:p>
    <w:p>
      <w:pPr>
        <w:numPr>
          <w:ilvl w:val="0"/>
          <w:numId w:val="0"/>
        </w:numPr>
        <w:rPr>
          <w:rFonts w:hint="default"/>
        </w:rPr>
      </w:pPr>
      <w:r>
        <w:rPr>
          <w:rFonts w:hint="default"/>
          <w:b w:val="0"/>
          <w:bCs w:val="0"/>
        </w:rPr>
        <w:t>Let’s try to find out the function O</w:t>
      </w:r>
      <w:r>
        <w:rPr>
          <w:rFonts w:hint="default"/>
          <w:b w:val="0"/>
          <w:bCs w:val="0"/>
          <w:vertAlign w:val="superscript"/>
        </w:rPr>
        <w:t>-1</w:t>
      </w:r>
      <w:r>
        <w:rPr>
          <w:rFonts w:hint="default"/>
          <w:b w:val="0"/>
          <w:bCs w:val="0"/>
          <w:vertAlign w:val="baseline"/>
        </w:rPr>
        <w:t xml:space="preserve">(.) - inverse of </w:t>
      </w:r>
      <w:r>
        <w:rPr>
          <w:rFonts w:hint="default"/>
        </w:rPr>
        <w:t>calculate_tax(I, “old”)</w:t>
      </w:r>
      <w:r>
        <w:rPr>
          <w:rFonts w:hint="default"/>
        </w:rPr>
        <w:t xml:space="preserve">. Here is the python code for the inverse - </w:t>
      </w:r>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rPr>
          <w:rFonts w:hint="default"/>
        </w:rPr>
      </w:pPr>
      <w:r>
        <w:rPr>
          <w:rFonts w:hint="default"/>
        </w:rPr>
        <w:t>Code</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The intuition behind the mathematical technicality is that we cannot calculate the income if the tax on that income is zero. The income can lie anywhere between 0 and 3,00,000 under the old tax regime. Therefore the answer won’t be unique.</w:t>
      </w:r>
    </w:p>
    <w:p>
      <w:pPr>
        <w:numPr>
          <w:ilvl w:val="0"/>
          <w:numId w:val="0"/>
        </w:numPr>
        <w:rPr>
          <w:rFonts w:hint="default"/>
        </w:rPr>
      </w:pPr>
    </w:p>
    <w:p>
      <w:pPr>
        <w:numPr>
          <w:ilvl w:val="0"/>
          <w:numId w:val="0"/>
        </w:numPr>
        <w:rPr>
          <w:rFonts w:hint="default"/>
        </w:rPr>
      </w:pPr>
      <w:r>
        <w:rPr>
          <w:rFonts w:hint="default"/>
        </w:rPr>
        <w:t xml:space="preserve">Let’s check if our inverse works i.e. for incomes above 3,00,000, this equation </w:t>
      </w:r>
    </w:p>
    <w:p>
      <w:pPr>
        <w:numPr>
          <w:ilvl w:val="0"/>
          <w:numId w:val="0"/>
        </w:numPr>
        <w:rPr>
          <w:rFonts w:hint="default"/>
          <w:vertAlign w:val="baseline"/>
        </w:rPr>
      </w:pPr>
      <w:r>
        <w:rPr>
          <w:rFonts w:hint="default"/>
          <w:b/>
          <w:bCs/>
        </w:rPr>
        <w:t>O</w:t>
      </w:r>
      <w:r>
        <w:rPr>
          <w:rFonts w:hint="default"/>
          <w:b/>
          <w:bCs/>
          <w:vertAlign w:val="superscript"/>
        </w:rPr>
        <w:t>-1</w:t>
      </w:r>
      <w:r>
        <w:rPr>
          <w:rFonts w:hint="default"/>
          <w:vertAlign w:val="baseline"/>
        </w:rPr>
        <w:t>(</w:t>
      </w:r>
      <w:r>
        <w:rPr>
          <w:rFonts w:hint="default"/>
          <w:b/>
          <w:bCs/>
          <w:vertAlign w:val="baseline"/>
        </w:rPr>
        <w:t>O</w:t>
      </w:r>
      <w:r>
        <w:rPr>
          <w:rFonts w:hint="default"/>
          <w:vertAlign w:val="baseline"/>
        </w:rPr>
        <w:t xml:space="preserve">(I)) = I, should hold true. </w:t>
      </w:r>
    </w:p>
    <w:p>
      <w:pPr>
        <w:numPr>
          <w:ilvl w:val="0"/>
          <w:numId w:val="0"/>
        </w:numPr>
        <w:rPr>
          <w:rFonts w:hint="default"/>
          <w:vertAlign w:val="baseline"/>
        </w:rPr>
      </w:pPr>
      <w:r>
        <w:rPr>
          <w:rFonts w:hint="default"/>
          <w:vertAlign w:val="baseline"/>
        </w:rPr>
        <w:t>##</w:t>
      </w:r>
    </w:p>
    <w:p>
      <w:pPr>
        <w:numPr>
          <w:ilvl w:val="0"/>
          <w:numId w:val="0"/>
        </w:numPr>
        <w:rPr>
          <w:rFonts w:hint="default"/>
          <w:vertAlign w:val="baseline"/>
        </w:rPr>
      </w:pPr>
      <w:r>
        <w:rPr>
          <w:rFonts w:hint="default"/>
          <w:vertAlign w:val="baseline"/>
        </w:rPr>
        <w:t>Code</w:t>
      </w:r>
    </w:p>
    <w:p>
      <w:pPr>
        <w:numPr>
          <w:ilvl w:val="0"/>
          <w:numId w:val="0"/>
        </w:numPr>
        <w:rPr>
          <w:rFonts w:hint="default"/>
          <w:vertAlign w:val="baseline"/>
        </w:rPr>
      </w:pPr>
      <w:r>
        <w:rPr>
          <w:rFonts w:hint="default"/>
          <w:vertAlign w:val="baseline"/>
        </w:rPr>
        <w:t>##</w:t>
      </w:r>
    </w:p>
    <w:p>
      <w:pPr>
        <w:numPr>
          <w:ilvl w:val="0"/>
          <w:numId w:val="0"/>
        </w:numPr>
        <w:rPr>
          <w:rFonts w:hint="default"/>
          <w:vertAlign w:val="baseline"/>
        </w:rPr>
      </w:pPr>
    </w:p>
    <w:p>
      <w:pPr>
        <w:numPr>
          <w:ilvl w:val="0"/>
          <w:numId w:val="0"/>
        </w:numPr>
        <w:rPr>
          <w:rFonts w:hint="default"/>
          <w:vertAlign w:val="baseline"/>
        </w:rPr>
      </w:pPr>
      <w:r>
        <w:rPr>
          <w:rFonts w:hint="default"/>
          <w:vertAlign w:val="baseline"/>
        </w:rPr>
        <w:t>##</w:t>
      </w:r>
    </w:p>
    <w:p>
      <w:pPr>
        <w:numPr>
          <w:ilvl w:val="0"/>
          <w:numId w:val="0"/>
        </w:numPr>
        <w:rPr>
          <w:rFonts w:hint="default"/>
          <w:vertAlign w:val="baseline"/>
        </w:rPr>
      </w:pPr>
      <w:r>
        <w:rPr>
          <w:rFonts w:hint="default"/>
          <w:vertAlign w:val="baseline"/>
        </w:rPr>
        <w:t>Graph</w:t>
      </w:r>
    </w:p>
    <w:p>
      <w:pPr>
        <w:numPr>
          <w:ilvl w:val="0"/>
          <w:numId w:val="0"/>
        </w:numPr>
        <w:rPr>
          <w:rFonts w:hint="default"/>
          <w:vertAlign w:val="baseline"/>
        </w:rPr>
      </w:pPr>
      <w:r>
        <w:rPr>
          <w:rFonts w:hint="default"/>
          <w:vertAlign w:val="baseline"/>
        </w:rPr>
        <w:t>##</w:t>
      </w:r>
    </w:p>
    <w:p>
      <w:pPr>
        <w:numPr>
          <w:ilvl w:val="0"/>
          <w:numId w:val="0"/>
        </w:numPr>
        <w:rPr>
          <w:rFonts w:hint="default"/>
          <w:vertAlign w:val="baseline"/>
        </w:rPr>
      </w:pPr>
    </w:p>
    <w:p>
      <w:pPr>
        <w:numPr>
          <w:ilvl w:val="0"/>
          <w:numId w:val="0"/>
        </w:numPr>
        <w:rPr>
          <w:rFonts w:hint="default"/>
        </w:rPr>
      </w:pPr>
      <w:r>
        <w:rPr>
          <w:rFonts w:hint="default"/>
          <w:vertAlign w:val="baseline"/>
        </w:rPr>
        <w:t xml:space="preserve">We can see that our inverse is working fine. </w:t>
      </w:r>
      <w:r>
        <w:rPr>
          <w:rFonts w:hint="default"/>
        </w:rPr>
        <w:t>Now that we have calculated the inverse, we can easily calculate E*. Here is the python code for that :-</w:t>
      </w:r>
    </w:p>
    <w:p>
      <w:pPr>
        <w:numPr>
          <w:ilvl w:val="0"/>
          <w:numId w:val="0"/>
        </w:numPr>
        <w:rPr>
          <w:rFonts w:hint="default"/>
        </w:rPr>
      </w:pPr>
    </w:p>
    <w:p>
      <w:pPr>
        <w:numPr>
          <w:ilvl w:val="0"/>
          <w:numId w:val="0"/>
        </w:numPr>
        <w:rPr>
          <w:rFonts w:hint="default"/>
        </w:rPr>
      </w:pPr>
      <w:r>
        <w:rPr>
          <w:rFonts w:hint="default"/>
        </w:rPr>
        <w:t>##</w:t>
      </w:r>
    </w:p>
    <w:p>
      <w:pPr>
        <w:numPr>
          <w:ilvl w:val="0"/>
          <w:numId w:val="0"/>
        </w:numPr>
        <w:rPr>
          <w:rFonts w:hint="default"/>
        </w:rPr>
      </w:pPr>
      <w:r>
        <w:rPr>
          <w:rFonts w:hint="default"/>
        </w:rPr>
        <w:t>Code</w:t>
      </w:r>
    </w:p>
    <w:p>
      <w:pPr>
        <w:numPr>
          <w:ilvl w:val="0"/>
          <w:numId w:val="0"/>
        </w:numPr>
        <w:rPr>
          <w:rFonts w:hint="default"/>
        </w:rPr>
      </w:pPr>
      <w:r>
        <w:rPr>
          <w:rFonts w:hint="default"/>
        </w:rPr>
        <w:t>##</w:t>
      </w:r>
    </w:p>
    <w:p>
      <w:pPr>
        <w:numPr>
          <w:ilvl w:val="0"/>
          <w:numId w:val="0"/>
        </w:numPr>
        <w:rPr>
          <w:rFonts w:hint="default"/>
        </w:rPr>
      </w:pPr>
      <w:r>
        <w:rPr>
          <w:rFonts w:hint="default"/>
        </w:rPr>
        <w:t>##</w:t>
      </w:r>
    </w:p>
    <w:p>
      <w:pPr>
        <w:numPr>
          <w:ilvl w:val="0"/>
          <w:numId w:val="0"/>
        </w:numPr>
        <w:rPr>
          <w:rFonts w:hint="default"/>
        </w:rPr>
      </w:pPr>
      <w:r>
        <w:rPr>
          <w:rFonts w:hint="default"/>
        </w:rPr>
        <w:t>Graph</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 xml:space="preserve">We can see a flat line after 15.5 lakhs of income, the minimum exemptions remain constant at 3.75 lakhs. Let’s try to understand it intuitively. </w:t>
      </w:r>
    </w:p>
    <w:p>
      <w:pPr>
        <w:numPr>
          <w:ilvl w:val="0"/>
          <w:numId w:val="0"/>
        </w:numPr>
        <w:rPr>
          <w:rFonts w:hint="default"/>
        </w:rPr>
      </w:pPr>
    </w:p>
    <w:p>
      <w:pPr>
        <w:numPr>
          <w:ilvl w:val="0"/>
          <w:numId w:val="0"/>
        </w:numPr>
        <w:rPr>
          <w:rFonts w:hint="default"/>
        </w:rPr>
      </w:pPr>
      <w:r>
        <w:rPr>
          <w:rFonts w:hint="default"/>
        </w:rPr>
        <w:t>It is easy to note that in both the regimes, you have to pay 30% tax on income above 15.5 lakhs. This means that the difference between the two regimes (old and 2023 budget regime) is how the tax is calculated in the first 15.5 lakhs.</w:t>
      </w:r>
    </w:p>
    <w:p>
      <w:pPr>
        <w:numPr>
          <w:ilvl w:val="0"/>
          <w:numId w:val="0"/>
        </w:numPr>
        <w:rPr>
          <w:rFonts w:hint="default"/>
        </w:rPr>
      </w:pPr>
    </w:p>
    <w:p>
      <w:pPr>
        <w:numPr>
          <w:ilvl w:val="0"/>
          <w:numId w:val="0"/>
        </w:numPr>
        <w:rPr>
          <w:rFonts w:hint="default"/>
        </w:rPr>
      </w:pPr>
      <w:r>
        <w:rPr>
          <w:rFonts w:hint="default"/>
        </w:rPr>
        <w:t>Let’s calculate the tax on 15.5 lakhs using both the regimes. Apply standard deduction - 50,000, we are left with 15 lakhs.</w:t>
      </w:r>
    </w:p>
    <w:p>
      <w:pPr>
        <w:numPr>
          <w:ilvl w:val="0"/>
          <w:numId w:val="0"/>
        </w:numPr>
        <w:rPr>
          <w:rFonts w:hint="default"/>
        </w:rPr>
      </w:pPr>
    </w:p>
    <w:p>
      <w:pPr>
        <w:numPr>
          <w:ilvl w:val="0"/>
          <w:numId w:val="0"/>
        </w:numPr>
        <w:rPr>
          <w:rFonts w:hint="default"/>
        </w:rPr>
      </w:pPr>
      <w:r>
        <w:rPr>
          <w:rFonts w:hint="default"/>
        </w:rPr>
        <w:t>Using the old regime - 12,500 + 1,00,000 + 1,50,000 = 2,67,500</w:t>
      </w:r>
    </w:p>
    <w:p>
      <w:pPr>
        <w:numPr>
          <w:ilvl w:val="0"/>
          <w:numId w:val="0"/>
        </w:numPr>
        <w:rPr>
          <w:rFonts w:hint="default"/>
        </w:rPr>
      </w:pPr>
      <w:r>
        <w:rPr>
          <w:rFonts w:hint="default"/>
        </w:rPr>
        <w:t>Using the 2023 regime - 15,000 + 30,000 + 45,000 + 60,000 = 1,50,000</w:t>
      </w:r>
    </w:p>
    <w:p>
      <w:pPr>
        <w:numPr>
          <w:ilvl w:val="0"/>
          <w:numId w:val="0"/>
        </w:numPr>
        <w:rPr>
          <w:rFonts w:hint="default"/>
        </w:rPr>
      </w:pPr>
    </w:p>
    <w:p>
      <w:pPr>
        <w:numPr>
          <w:ilvl w:val="0"/>
          <w:numId w:val="0"/>
        </w:numPr>
        <w:rPr>
          <w:rFonts w:hint="default"/>
        </w:rPr>
      </w:pPr>
      <w:r>
        <w:rPr>
          <w:rFonts w:hint="default"/>
        </w:rPr>
        <w:t xml:space="preserve">Under old regime after 10 lakhs, 30% tax is applied. Therefore, in order to make an individual indifferent between the two regimes, we have increase exemptions to save 2,67,500 - 1,50,000 = 1,12,500 additional tax. We can find E* by this simple equation - </w:t>
      </w:r>
    </w:p>
    <w:p>
      <w:pPr>
        <w:numPr>
          <w:ilvl w:val="0"/>
          <w:numId w:val="0"/>
        </w:numPr>
        <w:rPr>
          <w:rFonts w:hint="default"/>
        </w:rPr>
      </w:pPr>
    </w:p>
    <w:p>
      <w:pPr>
        <w:numPr>
          <w:ilvl w:val="0"/>
          <w:numId w:val="0"/>
        </w:numPr>
        <w:rPr>
          <w:rFonts w:hint="default"/>
        </w:rPr>
      </w:pPr>
      <w:r>
        <w:rPr>
          <w:rFonts w:hint="default"/>
        </w:rPr>
        <w:t>30% of E* = 1,12,500 which gives us E* = 3,75,000. This would be true for all incomes between 15.5 lakhs and 50.5 lakhs (after 50.5 lakhs there are other surcharges which are out of our scope).</w:t>
      </w:r>
    </w:p>
    <w:p>
      <w:pPr>
        <w:numPr>
          <w:ilvl w:val="0"/>
          <w:numId w:val="0"/>
        </w:numPr>
        <w:rPr>
          <w:rFonts w:hint="default"/>
        </w:rPr>
      </w:pPr>
    </w:p>
    <w:p>
      <w:pPr>
        <w:numPr>
          <w:ilvl w:val="0"/>
          <w:numId w:val="0"/>
        </w:numPr>
        <w:rPr>
          <w:rFonts w:hint="default"/>
        </w:rPr>
      </w:pPr>
      <w:r>
        <w:rPr>
          <w:rFonts w:hint="default"/>
        </w:rPr>
        <w:t>Let’s also understand why the adoption of 2020 budget tax regime remained low by comparing with 2023 budget tax using E*. Here is the python code-</w:t>
      </w:r>
    </w:p>
    <w:p>
      <w:pPr>
        <w:numPr>
          <w:ilvl w:val="0"/>
          <w:numId w:val="0"/>
        </w:numPr>
        <w:rPr>
          <w:rFonts w:hint="default"/>
        </w:rPr>
      </w:pPr>
      <w:r>
        <w:rPr>
          <w:rFonts w:hint="default"/>
        </w:rPr>
        <w:t>##</w:t>
      </w:r>
    </w:p>
    <w:p>
      <w:pPr>
        <w:numPr>
          <w:ilvl w:val="0"/>
          <w:numId w:val="0"/>
        </w:numPr>
        <w:rPr>
          <w:rFonts w:hint="default"/>
        </w:rPr>
      </w:pPr>
      <w:r>
        <w:rPr>
          <w:rFonts w:hint="default"/>
        </w:rPr>
        <w:t>Code</w:t>
      </w:r>
    </w:p>
    <w:p>
      <w:pPr>
        <w:numPr>
          <w:ilvl w:val="0"/>
          <w:numId w:val="0"/>
        </w:numPr>
        <w:rPr>
          <w:rFonts w:hint="default"/>
        </w:rPr>
      </w:pPr>
      <w:r>
        <w:rPr>
          <w:rFonts w:hint="default"/>
        </w:rPr>
        <w:t>##</w:t>
      </w:r>
    </w:p>
    <w:p>
      <w:pPr>
        <w:numPr>
          <w:ilvl w:val="0"/>
          <w:numId w:val="0"/>
        </w:numPr>
        <w:rPr>
          <w:rFonts w:hint="default"/>
        </w:rPr>
      </w:pPr>
      <w:r>
        <w:rPr>
          <w:rFonts w:hint="default"/>
        </w:rPr>
        <w:t>##</w:t>
      </w:r>
    </w:p>
    <w:p>
      <w:pPr>
        <w:numPr>
          <w:ilvl w:val="0"/>
          <w:numId w:val="0"/>
        </w:numPr>
        <w:rPr>
          <w:rFonts w:hint="default"/>
        </w:rPr>
      </w:pPr>
      <w:r>
        <w:rPr>
          <w:rFonts w:hint="default"/>
        </w:rPr>
        <w:t xml:space="preserve">Graph </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We can see that the difference in E* is huge between both the regime at any given level of income. It is clear that low E* under tax regime budget 2020 didn’t incentivize people to opt for this regime.</w:t>
      </w:r>
    </w:p>
    <w:p>
      <w:pPr>
        <w:numPr>
          <w:ilvl w:val="0"/>
          <w:numId w:val="0"/>
        </w:numPr>
        <w:rPr>
          <w:rFonts w:hint="default"/>
        </w:rPr>
      </w:pPr>
    </w:p>
    <w:p>
      <w:pPr>
        <w:numPr>
          <w:ilvl w:val="0"/>
          <w:numId w:val="0"/>
        </w:numPr>
        <w:rPr>
          <w:rFonts w:hint="default"/>
        </w:rPr>
      </w:pPr>
      <w:r>
        <w:rPr>
          <w:rFonts w:hint="default"/>
        </w:rPr>
        <w:t>Now, as we have a good understanding of how tax regimes work, it’s time for us to analyze our income and utilize these functions for our decision making.</w:t>
      </w:r>
    </w:p>
    <w:p>
      <w:pPr>
        <w:numPr>
          <w:ilvl w:val="0"/>
          <w:numId w:val="0"/>
        </w:numPr>
        <w:rPr>
          <w:rFonts w:hint="default"/>
        </w:rPr>
      </w:pPr>
    </w:p>
    <w:p>
      <w:pPr>
        <w:numPr>
          <w:ilvl w:val="0"/>
          <w:numId w:val="0"/>
        </w:numPr>
        <w:rPr>
          <w:rFonts w:hint="default"/>
        </w:rPr>
      </w:pPr>
      <w:r>
        <w:rPr>
          <w:rFonts w:hint="default"/>
        </w:rPr>
        <w:t>Let’s take an example with income of 14 lakhs and analyze using our functions.</w:t>
      </w:r>
    </w:p>
    <w:p>
      <w:pPr>
        <w:numPr>
          <w:ilvl w:val="0"/>
          <w:numId w:val="0"/>
        </w:numPr>
        <w:rPr>
          <w:rFonts w:hint="default"/>
        </w:rPr>
      </w:pPr>
    </w:p>
    <w:p>
      <w:pPr>
        <w:numPr>
          <w:ilvl w:val="0"/>
          <w:numId w:val="0"/>
        </w:numPr>
        <w:rPr>
          <w:rFonts w:hint="default"/>
        </w:rPr>
      </w:pPr>
      <w:r>
        <w:rPr>
          <w:rFonts w:hint="default"/>
        </w:rPr>
        <w:t>##</w:t>
      </w:r>
    </w:p>
    <w:p>
      <w:pPr>
        <w:numPr>
          <w:ilvl w:val="0"/>
          <w:numId w:val="0"/>
        </w:numPr>
        <w:rPr>
          <w:rFonts w:hint="default"/>
        </w:rPr>
      </w:pPr>
      <w:r>
        <w:rPr>
          <w:rFonts w:hint="default"/>
        </w:rPr>
        <w:t>Code</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w:t>
      </w:r>
    </w:p>
    <w:p>
      <w:pPr>
        <w:numPr>
          <w:ilvl w:val="0"/>
          <w:numId w:val="0"/>
        </w:numPr>
        <w:rPr>
          <w:rFonts w:hint="default"/>
        </w:rPr>
      </w:pPr>
      <w:r>
        <w:rPr>
          <w:rFonts w:hint="default"/>
        </w:rPr>
        <w:t>Output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This means that we need a total exemption of 3,25,000 or more to be better off in old regime.</w:t>
      </w:r>
    </w:p>
    <w:p>
      <w:pPr>
        <w:numPr>
          <w:ilvl w:val="0"/>
          <w:numId w:val="0"/>
        </w:numPr>
        <w:rPr>
          <w:rFonts w:hint="default"/>
        </w:rPr>
      </w:pPr>
      <w:r>
        <w:rPr>
          <w:rFonts w:hint="default"/>
        </w:rPr>
        <w:t xml:space="preserve">NOTE : 3,25,000 accounts for all exemptions </w:t>
      </w:r>
      <w:r>
        <w:rPr>
          <w:rFonts w:hint="default"/>
          <w:b/>
          <w:bCs/>
        </w:rPr>
        <w:t>exept standard deduction of 50,000 which is common in both regimes.</w:t>
      </w:r>
    </w:p>
    <w:p>
      <w:pPr>
        <w:numPr>
          <w:ilvl w:val="0"/>
          <w:numId w:val="0"/>
        </w:numPr>
        <w:rPr>
          <w:rFonts w:hint="default"/>
        </w:rPr>
      </w:pPr>
    </w:p>
    <w:p>
      <w:pPr>
        <w:numPr>
          <w:ilvl w:val="0"/>
          <w:numId w:val="0"/>
        </w:numPr>
        <w:rPr>
          <w:rFonts w:hint="default"/>
        </w:rPr>
      </w:pPr>
      <w:r>
        <w:rPr>
          <w:rFonts w:hint="default"/>
        </w:rPr>
        <w:t>Therefore, if your HRA, 80C, NPS and etc. under old regime accounts for more than 3,25,000 then you should go for old regime. It’s just that simple!!!!</w:t>
      </w:r>
    </w:p>
    <w:p>
      <w:pPr>
        <w:numPr>
          <w:ilvl w:val="0"/>
          <w:numId w:val="0"/>
        </w:numPr>
        <w:rPr>
          <w:rFonts w:hint="default"/>
        </w:rPr>
      </w:pPr>
    </w:p>
    <w:p>
      <w:pPr>
        <w:numPr>
          <w:ilvl w:val="0"/>
          <w:numId w:val="0"/>
        </w:numPr>
        <w:rPr>
          <w:rFonts w:hint="default"/>
        </w:rPr>
      </w:pPr>
      <w:bookmarkStart w:id="0" w:name="_GoBack"/>
      <w:bookmarkEnd w:id="0"/>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b w:val="0"/>
          <w:bCs w:val="0"/>
        </w:rPr>
      </w:pPr>
    </w:p>
    <w:p>
      <w:pPr>
        <w:numPr>
          <w:ilvl w:val="0"/>
          <w:numId w:val="0"/>
        </w:numPr>
        <w:rPr>
          <w:rFonts w:hint="default"/>
        </w:rPr>
      </w:pPr>
      <w:r>
        <w:rPr>
          <w:rFonts w:hint="default"/>
          <w:b/>
          <w:bCs/>
        </w:rPr>
        <w:t xml:space="preserve"> </w:t>
      </w:r>
      <w:r>
        <w:rPr>
          <w:rFonts w:hint="default"/>
        </w:rPr>
        <w:t xml:space="preserve">  </w:t>
      </w:r>
    </w:p>
    <w:p>
      <w:pPr>
        <w:numPr>
          <w:ilvl w:val="0"/>
          <w:numId w:val="0"/>
        </w:numPr>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E60428"/>
    <w:multiLevelType w:val="singleLevel"/>
    <w:tmpl w:val="D3E604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F9392"/>
    <w:rsid w:val="3FFBD9B1"/>
    <w:rsid w:val="5E2DB9F8"/>
    <w:rsid w:val="7A3F9392"/>
    <w:rsid w:val="7DEF5526"/>
    <w:rsid w:val="F37F3D26"/>
    <w:rsid w:val="F7DFF7ED"/>
    <w:rsid w:val="F9B34D18"/>
    <w:rsid w:val="FABF3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TotalTime>
  <ScaleCrop>false</ScaleCrop>
  <LinksUpToDate>false</LinksUpToDate>
  <CharactersWithSpaces>0</CharactersWithSpaces>
  <Application>WPS Office_4.0.0.7421_F1E327BC-269C-435d-A152-05C5408002CA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2023-04-29T07:51:00Z</dcterms:created>
  <dc:creator>agrimrustagi</dc:creator>
  <cp:lastModifiedBy>agrim rustagi</cp:lastModifiedBy>
  <dcterms:modified xsi:type="dcterms:W3CDTF">2023-05-01T16:35:13Z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1033-4.0.0.7421</vt:lpwstr>
  </property>
</Properties>
</file>