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1" w:name="statuts-du-réseau-des-jumeaux-plus-rjp"/>
    <w:p>
      <w:pPr>
        <w:pStyle w:val="Heading1"/>
      </w:pPr>
      <w:r>
        <w:t xml:space="preserve">STATUTS DU RÉSEAU DES JUMEAUX &amp; PLUS (RJP)</w:t>
      </w:r>
    </w:p>
    <w:bookmarkStart w:id="20" w:name="préambule"/>
    <w:p>
      <w:pPr>
        <w:pStyle w:val="Heading2"/>
      </w:pPr>
      <w:r>
        <w:t xml:space="preserve">PRÉAMBULE</w:t>
      </w:r>
    </w:p>
    <w:p>
      <w:pPr>
        <w:pStyle w:val="FirstParagraph"/>
      </w:pPr>
      <w:r>
        <w:t xml:space="preserve">Conscients des défis spécifiques auxquels sont confrontés les jumeaux et leurs familles - qu’il s’agisse de la protection contre la mendicité et les pratiques occultes, de l’accès à une prise en charge sanitaire et éducative adaptée, ou de la reconnaissance sociale et culturelle de la gémellité - les membres fondateurs soussignés ont décidé de se constituer en association pour porter, à l’échelle nationale puis internationale, une dynamique d’entraide, de solidarité et de plaidoyer en faveur des jumeaux.</w:t>
      </w:r>
    </w:p>
    <w:p>
      <w:pPr>
        <w:pStyle w:val="BodyText"/>
      </w:pPr>
      <w:r>
        <w:t xml:space="preserve">Réunis en Assemblée Générale Constitutive, ils ont adopté les présents Statuts, établis conformément à l’Ordonnance n°2024-368 du 12 juin 2024 relative aux associations en République de Côte d’Ivoire, ainsi qu’aux textes subséquents pris pour son application, et ont décidé de doter leur Association d’un Règlement Intérieur destiné à en préciser les modalités de fonctionnement.</w:t>
      </w:r>
    </w:p>
    <w:p>
      <w:pPr>
        <w:pStyle w:val="BodyText"/>
      </w:pPr>
      <w:r>
        <w:t xml:space="preserve">Les présents Statuts et le Règlement Intérieur qui les complète forment un tout indissociable et s’imposent à tous les membres du Réseau des Jumeaux &amp; Plus (RJP), à quelque niveau de l’organisation qu’ils se trouvent (International, Antennes Nationales, Sections Communales).</w:t>
      </w:r>
    </w:p>
    <w:bookmarkEnd w:id="20"/>
    <w:bookmarkStart w:id="26" w:name="titre-i-dispositions-générales"/>
    <w:p>
      <w:pPr>
        <w:pStyle w:val="Heading2"/>
      </w:pPr>
      <w:r>
        <w:t xml:space="preserve">TITRE I : DISPOSITIONS GÉNÉRALES</w:t>
      </w:r>
    </w:p>
    <w:bookmarkStart w:id="21" w:name="article-1-dénomination-et-siège"/>
    <w:p>
      <w:pPr>
        <w:pStyle w:val="Heading3"/>
      </w:pPr>
      <w:r>
        <w:t xml:space="preserve">Article 1 : Dénomination et Siège</w:t>
      </w:r>
    </w:p>
    <w:p>
      <w:pPr>
        <w:pStyle w:val="FirstParagraph"/>
      </w:pPr>
      <w:r>
        <w:t xml:space="preserve">Il est créé entre les adhérents aux présents Statuts une Association à but non lucratif, dénommée Réseau des Jumeaux &amp; Plus, en abrégé « RJP ». Cette Association est régie par l’Ordonnance n°2024-368 du 12 juin 2024 relative aux associations et tous les textes subséquents portant sur le même objet.</w:t>
      </w:r>
    </w:p>
    <w:p>
      <w:pPr>
        <w:pStyle w:val="BodyText"/>
      </w:pPr>
      <w:r>
        <w:t xml:space="preserve">Le Réseau des Jumeaux &amp; Plus (RJP) est une organisation internationale à but non lucratif, apolitique et non confessionnelle. Son siège est fixé à Abidjan - Côte d’Ivoire.</w:t>
      </w:r>
    </w:p>
    <w:p>
      <w:pPr>
        <w:pStyle w:val="BodyText"/>
      </w:pPr>
      <w:r>
        <w:t xml:space="preserve">Le siège pourra être transféré en tout autre lieu sur décision du Conseil Mondial à la majorité des deux tiers des membres votants.</w:t>
      </w:r>
    </w:p>
    <w:bookmarkEnd w:id="21"/>
    <w:bookmarkStart w:id="22" w:name="article-2-durée"/>
    <w:p>
      <w:pPr>
        <w:pStyle w:val="Heading3"/>
      </w:pPr>
      <w:r>
        <w:t xml:space="preserve">Article 2 : Durée</w:t>
      </w:r>
    </w:p>
    <w:p>
      <w:pPr>
        <w:pStyle w:val="FirstParagraph"/>
      </w:pPr>
      <w:r>
        <w:t xml:space="preserve">L’Association est constituée pour une durée illimitée.</w:t>
      </w:r>
    </w:p>
    <w:bookmarkEnd w:id="22"/>
    <w:bookmarkStart w:id="23" w:name="article-3-objectifs-et-missions"/>
    <w:p>
      <w:pPr>
        <w:pStyle w:val="Heading3"/>
      </w:pPr>
      <w:r>
        <w:t xml:space="preserve">Article 3 : Objectifs et Missions</w:t>
      </w:r>
    </w:p>
    <w:p>
      <w:pPr>
        <w:pStyle w:val="FirstParagraph"/>
      </w:pPr>
      <w:r>
        <w:t xml:space="preserve">Le RJP poursuit les objectifs suivants :</w:t>
      </w:r>
    </w:p>
    <w:p>
      <w:pPr>
        <w:numPr>
          <w:ilvl w:val="0"/>
          <w:numId w:val="1001"/>
        </w:numPr>
      </w:pPr>
      <w:r>
        <w:t xml:space="preserve">Unir les jumeaux dans un réseau mondial d’entraide et de solidarité.</w:t>
      </w:r>
    </w:p>
    <w:p>
      <w:pPr>
        <w:numPr>
          <w:ilvl w:val="0"/>
          <w:numId w:val="1001"/>
        </w:numPr>
      </w:pPr>
      <w:r>
        <w:t xml:space="preserve">Protéger les enfants jumeaux contre la mendicité, l’exploitation et les pratiques occultes.</w:t>
      </w:r>
    </w:p>
    <w:p>
      <w:pPr>
        <w:numPr>
          <w:ilvl w:val="0"/>
          <w:numId w:val="1001"/>
        </w:numPr>
      </w:pPr>
      <w:r>
        <w:t xml:space="preserve">Mener des actions humanitaires dans les domaines de la santé, de l’éducation et de l’environnement.</w:t>
      </w:r>
    </w:p>
    <w:p>
      <w:pPr>
        <w:numPr>
          <w:ilvl w:val="0"/>
          <w:numId w:val="1001"/>
        </w:numPr>
      </w:pPr>
      <w:r>
        <w:t xml:space="preserve">Encourager la recherche scientifique et culturelle sur la gémellité.</w:t>
      </w:r>
    </w:p>
    <w:p>
      <w:pPr>
        <w:numPr>
          <w:ilvl w:val="0"/>
          <w:numId w:val="1001"/>
        </w:numPr>
      </w:pPr>
      <w:r>
        <w:t xml:space="preserve">Célébrer et promouvoir la reconnaissance sociale et culturelle des jumeaux à travers des initiatives locales et internationales.</w:t>
      </w:r>
    </w:p>
    <w:bookmarkEnd w:id="23"/>
    <w:bookmarkStart w:id="24" w:name="article-4-domaines-dintervention"/>
    <w:p>
      <w:pPr>
        <w:pStyle w:val="Heading3"/>
      </w:pPr>
      <w:r>
        <w:t xml:space="preserve">Article 4 : Domaines d’intervention</w:t>
      </w:r>
    </w:p>
    <w:p>
      <w:pPr>
        <w:pStyle w:val="FirstParagraph"/>
      </w:pPr>
      <w:r>
        <w:t xml:space="preserve">Pour atteindre ses objectifs, le RJP intervient principalement dans les domaines suivants :</w:t>
      </w:r>
    </w:p>
    <w:p>
      <w:pPr>
        <w:numPr>
          <w:ilvl w:val="0"/>
          <w:numId w:val="1002"/>
        </w:numPr>
      </w:pPr>
      <w:r>
        <w:t xml:space="preserve">Protection sociale et droits des jumeaux</w:t>
      </w:r>
    </w:p>
    <w:p>
      <w:pPr>
        <w:numPr>
          <w:ilvl w:val="0"/>
          <w:numId w:val="1002"/>
        </w:numPr>
      </w:pPr>
      <w:r>
        <w:t xml:space="preserve">Santé maternelle et infantile</w:t>
      </w:r>
    </w:p>
    <w:p>
      <w:pPr>
        <w:numPr>
          <w:ilvl w:val="0"/>
          <w:numId w:val="1002"/>
        </w:numPr>
      </w:pPr>
      <w:r>
        <w:t xml:space="preserve">Éducation et formation</w:t>
      </w:r>
    </w:p>
    <w:p>
      <w:pPr>
        <w:numPr>
          <w:ilvl w:val="0"/>
          <w:numId w:val="1002"/>
        </w:numPr>
      </w:pPr>
      <w:r>
        <w:t xml:space="preserve">Recherche scientifique</w:t>
      </w:r>
    </w:p>
    <w:p>
      <w:pPr>
        <w:numPr>
          <w:ilvl w:val="0"/>
          <w:numId w:val="1002"/>
        </w:numPr>
      </w:pPr>
      <w:r>
        <w:t xml:space="preserve">Promotion culturelle</w:t>
      </w:r>
    </w:p>
    <w:p>
      <w:pPr>
        <w:numPr>
          <w:ilvl w:val="0"/>
          <w:numId w:val="1002"/>
        </w:numPr>
      </w:pPr>
      <w:r>
        <w:t xml:space="preserve">Développement communautaire</w:t>
      </w:r>
    </w:p>
    <w:p>
      <w:pPr>
        <w:numPr>
          <w:ilvl w:val="0"/>
          <w:numId w:val="1002"/>
        </w:numPr>
      </w:pPr>
      <w:r>
        <w:t xml:space="preserve">Plaidoyer auprès des institutions nationales et internationales</w:t>
      </w:r>
    </w:p>
    <w:bookmarkEnd w:id="24"/>
    <w:bookmarkStart w:id="25" w:name="article-5-moyens-daction"/>
    <w:p>
      <w:pPr>
        <w:pStyle w:val="Heading3"/>
      </w:pPr>
      <w:r>
        <w:t xml:space="preserve">Article 5 : Moyens d’action</w:t>
      </w:r>
    </w:p>
    <w:p>
      <w:pPr>
        <w:pStyle w:val="FirstParagraph"/>
      </w:pPr>
      <w:r>
        <w:t xml:space="preserve">L’Association met en œuvre les moyens d’action suivants :</w:t>
      </w:r>
    </w:p>
    <w:p>
      <w:pPr>
        <w:numPr>
          <w:ilvl w:val="0"/>
          <w:numId w:val="1003"/>
        </w:numPr>
      </w:pPr>
      <w:r>
        <w:t xml:space="preserve">Organisation de programmes d’aide aux familles de jumeaux</w:t>
      </w:r>
    </w:p>
    <w:p>
      <w:pPr>
        <w:numPr>
          <w:ilvl w:val="0"/>
          <w:numId w:val="1003"/>
        </w:numPr>
      </w:pPr>
      <w:r>
        <w:t xml:space="preserve">Création de centres d’accueil et d’orientation</w:t>
      </w:r>
    </w:p>
    <w:p>
      <w:pPr>
        <w:numPr>
          <w:ilvl w:val="0"/>
          <w:numId w:val="1003"/>
        </w:numPr>
      </w:pPr>
      <w:r>
        <w:t xml:space="preserve">Mise en place de programmes éducatifs spécifiques</w:t>
      </w:r>
    </w:p>
    <w:p>
      <w:pPr>
        <w:numPr>
          <w:ilvl w:val="0"/>
          <w:numId w:val="1003"/>
        </w:numPr>
      </w:pPr>
      <w:r>
        <w:t xml:space="preserve">Organisation de conférences, séminaires et formations</w:t>
      </w:r>
    </w:p>
    <w:p>
      <w:pPr>
        <w:numPr>
          <w:ilvl w:val="0"/>
          <w:numId w:val="1003"/>
        </w:numPr>
      </w:pPr>
      <w:r>
        <w:t xml:space="preserve">Publication de travaux de recherche et d’information</w:t>
      </w:r>
    </w:p>
    <w:p>
      <w:pPr>
        <w:numPr>
          <w:ilvl w:val="0"/>
          <w:numId w:val="1003"/>
        </w:numPr>
      </w:pPr>
      <w:r>
        <w:t xml:space="preserve">Organisation d’événements culturels et festifs</w:t>
      </w:r>
    </w:p>
    <w:p>
      <w:pPr>
        <w:numPr>
          <w:ilvl w:val="0"/>
          <w:numId w:val="1003"/>
        </w:numPr>
      </w:pPr>
      <w:r>
        <w:t xml:space="preserve">Collecte de fonds et recherche de financements</w:t>
      </w:r>
    </w:p>
    <w:p>
      <w:pPr>
        <w:numPr>
          <w:ilvl w:val="0"/>
          <w:numId w:val="1003"/>
        </w:numPr>
      </w:pPr>
      <w:r>
        <w:t xml:space="preserve">Collaboration avec d’autres organisations nationales et internationales</w:t>
      </w:r>
    </w:p>
    <w:p>
      <w:pPr>
        <w:numPr>
          <w:ilvl w:val="0"/>
          <w:numId w:val="1003"/>
        </w:numPr>
      </w:pPr>
      <w:r>
        <w:t xml:space="preserve">Toute autre activité permettant d’atteindre les objectifs statutaires</w:t>
      </w:r>
    </w:p>
    <w:bookmarkEnd w:id="25"/>
    <w:bookmarkEnd w:id="26"/>
    <w:bookmarkStart w:id="33" w:name="titre-ii-membres-et-adhésion"/>
    <w:p>
      <w:pPr>
        <w:pStyle w:val="Heading2"/>
      </w:pPr>
      <w:r>
        <w:t xml:space="preserve">TITRE II : MEMBRES ET ADHÉSION</w:t>
      </w:r>
    </w:p>
    <w:bookmarkStart w:id="27" w:name="article-6-catégories-de-membres"/>
    <w:p>
      <w:pPr>
        <w:pStyle w:val="Heading3"/>
      </w:pPr>
      <w:r>
        <w:t xml:space="preserve">Article 6 : Catégories de membres</w:t>
      </w:r>
    </w:p>
    <w:p>
      <w:pPr>
        <w:pStyle w:val="FirstParagraph"/>
      </w:pPr>
      <w:r>
        <w:t xml:space="preserve">L’Association se compose des catégories de membres suivantes :</w:t>
      </w:r>
    </w:p>
    <w:p>
      <w:pPr>
        <w:numPr>
          <w:ilvl w:val="0"/>
          <w:numId w:val="1004"/>
        </w:numPr>
      </w:pPr>
      <w:r>
        <w:rPr>
          <w:bCs/>
          <w:b/>
        </w:rPr>
        <w:t xml:space="preserve">Membres fondateurs</w:t>
      </w:r>
      <w:r>
        <w:t xml:space="preserve"> : Personnes physiques ou morales ayant participé à la création de l’Association.</w:t>
      </w:r>
    </w:p>
    <w:p>
      <w:pPr>
        <w:numPr>
          <w:ilvl w:val="0"/>
          <w:numId w:val="1004"/>
        </w:numPr>
      </w:pPr>
      <w:r>
        <w:rPr>
          <w:bCs/>
          <w:b/>
        </w:rPr>
        <w:t xml:space="preserve">Membres actifs</w:t>
      </w:r>
      <w:r>
        <w:t xml:space="preserve"> : Jumeaux, parents de jumeaux ou toute personne engagée activement dans la vie de l’Association et à jour de cotisation.</w:t>
      </w:r>
    </w:p>
    <w:p>
      <w:pPr>
        <w:numPr>
          <w:ilvl w:val="0"/>
          <w:numId w:val="1004"/>
        </w:numPr>
      </w:pPr>
      <w:r>
        <w:rPr>
          <w:bCs/>
          <w:b/>
        </w:rPr>
        <w:t xml:space="preserve">Membres bienfaiteurs</w:t>
      </w:r>
      <w:r>
        <w:t xml:space="preserve"> : Personnes physiques ou morales qui soutiennent financièrement ou matériellement l’Association.</w:t>
      </w:r>
    </w:p>
    <w:p>
      <w:pPr>
        <w:numPr>
          <w:ilvl w:val="0"/>
          <w:numId w:val="1004"/>
        </w:numPr>
      </w:pPr>
      <w:r>
        <w:rPr>
          <w:bCs/>
          <w:b/>
        </w:rPr>
        <w:t xml:space="preserve">Membres d’honneur</w:t>
      </w:r>
      <w:r>
        <w:t xml:space="preserve"> : Personnalités désignées par le Conseil Mondial en reconnaissance de services rendus à l’Association ou à la cause des jumeaux.</w:t>
      </w:r>
    </w:p>
    <w:p>
      <w:pPr>
        <w:numPr>
          <w:ilvl w:val="0"/>
          <w:numId w:val="1004"/>
        </w:numPr>
      </w:pPr>
      <w:r>
        <w:rPr>
          <w:bCs/>
          <w:b/>
        </w:rPr>
        <w:t xml:space="preserve">Ambassadeurs RJP</w:t>
      </w:r>
      <w:r>
        <w:t xml:space="preserve"> : Personnalités publiques ou influenceurs représentant officiellement le RJP.</w:t>
      </w:r>
    </w:p>
    <w:p>
      <w:pPr>
        <w:numPr>
          <w:ilvl w:val="0"/>
          <w:numId w:val="1004"/>
        </w:numPr>
      </w:pPr>
      <w:r>
        <w:rPr>
          <w:bCs/>
          <w:b/>
        </w:rPr>
        <w:t xml:space="preserve">Super-Héros RJP</w:t>
      </w:r>
      <w:r>
        <w:t xml:space="preserve"> : Membres actifs jouant un rôle clé dans l’animation et la mobilisation du réseau.</w:t>
      </w:r>
    </w:p>
    <w:bookmarkEnd w:id="27"/>
    <w:bookmarkStart w:id="28" w:name="article-7-conditions-dadhésion"/>
    <w:p>
      <w:pPr>
        <w:pStyle w:val="Heading3"/>
      </w:pPr>
      <w:r>
        <w:t xml:space="preserve">Article 7 : Conditions d’adhésion</w:t>
      </w:r>
    </w:p>
    <w:p>
      <w:pPr>
        <w:pStyle w:val="FirstParagraph"/>
      </w:pPr>
      <w:r>
        <w:t xml:space="preserve">Pour être membre du RJP, il faut :</w:t>
      </w:r>
    </w:p>
    <w:p>
      <w:pPr>
        <w:numPr>
          <w:ilvl w:val="0"/>
          <w:numId w:val="1005"/>
        </w:numPr>
      </w:pPr>
      <w:r>
        <w:t xml:space="preserve">Adhérer aux présents statuts et au règlement intérieur</w:t>
      </w:r>
    </w:p>
    <w:p>
      <w:pPr>
        <w:numPr>
          <w:ilvl w:val="0"/>
          <w:numId w:val="1005"/>
        </w:numPr>
      </w:pPr>
      <w:r>
        <w:t xml:space="preserve">S’acquitter des droits d’adhésion et des cotisations pour les membres actifs</w:t>
      </w:r>
    </w:p>
    <w:p>
      <w:pPr>
        <w:numPr>
          <w:ilvl w:val="0"/>
          <w:numId w:val="1005"/>
        </w:numPr>
      </w:pPr>
      <w:r>
        <w:t xml:space="preserve">Pour les membres actifs : être jumeau, parent de jumeaux ou personne impliquée dans la défense des droits des jumeaux</w:t>
      </w:r>
    </w:p>
    <w:p>
      <w:pPr>
        <w:numPr>
          <w:ilvl w:val="0"/>
          <w:numId w:val="1005"/>
        </w:numPr>
      </w:pPr>
      <w:r>
        <w:t xml:space="preserve">Pour les membres bienfaiteurs : apporter un soutien financier ou matériel significatif</w:t>
      </w:r>
    </w:p>
    <w:p>
      <w:pPr>
        <w:numPr>
          <w:ilvl w:val="0"/>
          <w:numId w:val="1005"/>
        </w:numPr>
      </w:pPr>
      <w:r>
        <w:t xml:space="preserve">Pour les Super-Héros RJP : être proposé par une Antenne Nationale et validé par le Comité Exécutif International</w:t>
      </w:r>
    </w:p>
    <w:p>
      <w:pPr>
        <w:numPr>
          <w:ilvl w:val="0"/>
          <w:numId w:val="1005"/>
        </w:numPr>
      </w:pPr>
      <w:r>
        <w:t xml:space="preserve">Pour les Ambassadeurs RJP : être nommé par le Conseil Mondial sur proposition du Comité Exécutif International</w:t>
      </w:r>
    </w:p>
    <w:bookmarkEnd w:id="28"/>
    <w:bookmarkStart w:id="29" w:name="article-8-procédure-dadhésion"/>
    <w:p>
      <w:pPr>
        <w:pStyle w:val="Heading3"/>
      </w:pPr>
      <w:r>
        <w:t xml:space="preserve">Article 8 : Procédure d’adhésion</w:t>
      </w:r>
    </w:p>
    <w:p>
      <w:pPr>
        <w:pStyle w:val="FirstParagraph"/>
      </w:pPr>
      <w:r>
        <w:t xml:space="preserve">La demande d’adhésion doit être adressée à la Section Communale concernée ou, à défaut, à l’Antenne Nationale. La demande est examinée selon les modalités définies dans le règlement intérieur.</w:t>
      </w:r>
    </w:p>
    <w:p>
      <w:pPr>
        <w:pStyle w:val="BodyText"/>
      </w:pPr>
      <w:r>
        <w:t xml:space="preserve">L’adhésion est confirmée par la délivrance d’une carte de membre et l’inscription au registre des membres.</w:t>
      </w:r>
    </w:p>
    <w:bookmarkEnd w:id="29"/>
    <w:bookmarkStart w:id="30" w:name="article-9-droits-des-membres"/>
    <w:p>
      <w:pPr>
        <w:pStyle w:val="Heading3"/>
      </w:pPr>
      <w:r>
        <w:t xml:space="preserve">Article 9 : Droits des membres</w:t>
      </w:r>
    </w:p>
    <w:p>
      <w:pPr>
        <w:pStyle w:val="FirstParagraph"/>
      </w:pPr>
      <w:r>
        <w:t xml:space="preserve">Tous les membres du RJP ont droit à :</w:t>
      </w:r>
    </w:p>
    <w:p>
      <w:pPr>
        <w:numPr>
          <w:ilvl w:val="0"/>
          <w:numId w:val="1006"/>
        </w:numPr>
      </w:pPr>
      <w:r>
        <w:t xml:space="preserve">Participer aux activités organisées par l’Association</w:t>
      </w:r>
    </w:p>
    <w:p>
      <w:pPr>
        <w:numPr>
          <w:ilvl w:val="0"/>
          <w:numId w:val="1006"/>
        </w:numPr>
      </w:pPr>
      <w:r>
        <w:t xml:space="preserve">Être informés des initiatives et décisions de l’Association</w:t>
      </w:r>
    </w:p>
    <w:p>
      <w:pPr>
        <w:numPr>
          <w:ilvl w:val="0"/>
          <w:numId w:val="1006"/>
        </w:numPr>
      </w:pPr>
      <w:r>
        <w:t xml:space="preserve">Bénéficier des services mis en place par l’Association selon les modalités définies</w:t>
      </w:r>
    </w:p>
    <w:p>
      <w:pPr>
        <w:pStyle w:val="FirstParagraph"/>
      </w:pPr>
      <w:r>
        <w:t xml:space="preserve">Les membres actifs à jour de cotisation ont en outre le droit de :</w:t>
      </w:r>
    </w:p>
    <w:p>
      <w:pPr>
        <w:numPr>
          <w:ilvl w:val="0"/>
          <w:numId w:val="1007"/>
        </w:numPr>
      </w:pPr>
      <w:r>
        <w:t xml:space="preserve">Voter lors des Assemblées Générales</w:t>
      </w:r>
    </w:p>
    <w:p>
      <w:pPr>
        <w:numPr>
          <w:ilvl w:val="0"/>
          <w:numId w:val="1007"/>
        </w:numPr>
      </w:pPr>
      <w:r>
        <w:t xml:space="preserve">Se porter candidat aux instances dirigeantes selon les conditions définies par le règlement intérieur</w:t>
      </w:r>
    </w:p>
    <w:p>
      <w:pPr>
        <w:numPr>
          <w:ilvl w:val="0"/>
          <w:numId w:val="1007"/>
        </w:numPr>
      </w:pPr>
      <w:r>
        <w:t xml:space="preserve">Proposer des projets ou initiatives au sein de leur Section Communale</w:t>
      </w:r>
    </w:p>
    <w:bookmarkEnd w:id="30"/>
    <w:bookmarkStart w:id="31" w:name="article-10-obligations-des-membres"/>
    <w:p>
      <w:pPr>
        <w:pStyle w:val="Heading3"/>
      </w:pPr>
      <w:r>
        <w:t xml:space="preserve">Article 10 : Obligations des membres</w:t>
      </w:r>
    </w:p>
    <w:p>
      <w:pPr>
        <w:pStyle w:val="FirstParagraph"/>
      </w:pPr>
      <w:r>
        <w:t xml:space="preserve">Tous les membres s’engagent à :</w:t>
      </w:r>
    </w:p>
    <w:p>
      <w:pPr>
        <w:numPr>
          <w:ilvl w:val="0"/>
          <w:numId w:val="1008"/>
        </w:numPr>
      </w:pPr>
      <w:r>
        <w:t xml:space="preserve">Respecter les statuts et le règlement intérieur de l’Association</w:t>
      </w:r>
    </w:p>
    <w:p>
      <w:pPr>
        <w:numPr>
          <w:ilvl w:val="0"/>
          <w:numId w:val="1008"/>
        </w:numPr>
      </w:pPr>
      <w:r>
        <w:t xml:space="preserve">Contribuer à la réalisation des objectifs de l’Association</w:t>
      </w:r>
    </w:p>
    <w:p>
      <w:pPr>
        <w:numPr>
          <w:ilvl w:val="0"/>
          <w:numId w:val="1008"/>
        </w:numPr>
      </w:pPr>
      <w:r>
        <w:t xml:space="preserve">S’abstenir de tout acte préjudiciable à l’image de l’Association</w:t>
      </w:r>
    </w:p>
    <w:p>
      <w:pPr>
        <w:numPr>
          <w:ilvl w:val="0"/>
          <w:numId w:val="1008"/>
        </w:numPr>
      </w:pPr>
      <w:r>
        <w:t xml:space="preserve">Participer activement à la vie associative selon leur catégorie</w:t>
      </w:r>
    </w:p>
    <w:p>
      <w:pPr>
        <w:pStyle w:val="FirstParagraph"/>
      </w:pPr>
      <w:r>
        <w:t xml:space="preserve">Les membres actifs doivent en outre :</w:t>
      </w:r>
    </w:p>
    <w:p>
      <w:pPr>
        <w:numPr>
          <w:ilvl w:val="0"/>
          <w:numId w:val="1009"/>
        </w:numPr>
      </w:pPr>
      <w:r>
        <w:t xml:space="preserve">S’acquitter régulièrement de leurs cotisations</w:t>
      </w:r>
    </w:p>
    <w:p>
      <w:pPr>
        <w:numPr>
          <w:ilvl w:val="0"/>
          <w:numId w:val="1009"/>
        </w:numPr>
      </w:pPr>
      <w:r>
        <w:t xml:space="preserve">Participer aux réunions et Assemblées Générales</w:t>
      </w:r>
    </w:p>
    <w:p>
      <w:pPr>
        <w:numPr>
          <w:ilvl w:val="0"/>
          <w:numId w:val="1009"/>
        </w:numPr>
      </w:pPr>
      <w:r>
        <w:t xml:space="preserve">Contribuer aux activités de leur Section Communale</w:t>
      </w:r>
    </w:p>
    <w:bookmarkEnd w:id="31"/>
    <w:bookmarkStart w:id="32" w:name="article-11-perte-de-la-qualité-de-membre"/>
    <w:p>
      <w:pPr>
        <w:pStyle w:val="Heading3"/>
      </w:pPr>
      <w:r>
        <w:t xml:space="preserve">Article 11 : Perte de la qualité de membre</w:t>
      </w:r>
    </w:p>
    <w:p>
      <w:pPr>
        <w:pStyle w:val="FirstParagraph"/>
      </w:pPr>
      <w:r>
        <w:t xml:space="preserve">La qualité de membre se perd par :</w:t>
      </w:r>
    </w:p>
    <w:p>
      <w:pPr>
        <w:numPr>
          <w:ilvl w:val="0"/>
          <w:numId w:val="1010"/>
        </w:numPr>
      </w:pPr>
      <w:r>
        <w:t xml:space="preserve">Démission écrite adressée au Président de la Section Communale ou de l’Antenne Nationale</w:t>
      </w:r>
    </w:p>
    <w:p>
      <w:pPr>
        <w:numPr>
          <w:ilvl w:val="0"/>
          <w:numId w:val="1010"/>
        </w:numPr>
      </w:pPr>
      <w:r>
        <w:t xml:space="preserve">Décès ou dissolution pour les personnes morales</w:t>
      </w:r>
    </w:p>
    <w:p>
      <w:pPr>
        <w:numPr>
          <w:ilvl w:val="0"/>
          <w:numId w:val="1010"/>
        </w:numPr>
      </w:pPr>
      <w:r>
        <w:t xml:space="preserve">Radiation pour non-paiement des cotisations après deux rappels</w:t>
      </w:r>
    </w:p>
    <w:p>
      <w:pPr>
        <w:numPr>
          <w:ilvl w:val="0"/>
          <w:numId w:val="1010"/>
        </w:numPr>
      </w:pPr>
      <w:r>
        <w:t xml:space="preserve">Exclusion pour motif grave</w:t>
      </w:r>
    </w:p>
    <w:p>
      <w:pPr>
        <w:pStyle w:val="FirstParagraph"/>
      </w:pPr>
      <w:r>
        <w:t xml:space="preserve">L’exclusion est prononcée par le Comité Exécutif de l’Antenne Nationale après audition du membre concerné, qui peut faire appel devant le Conseil Mondial. La procédure détaillée est définie dans le règlement intérieur.</w:t>
      </w:r>
    </w:p>
    <w:bookmarkEnd w:id="32"/>
    <w:bookmarkEnd w:id="33"/>
    <w:bookmarkStart w:id="38" w:name="X846540f458135e17b48c2511e095b96705f3405"/>
    <w:p>
      <w:pPr>
        <w:pStyle w:val="Heading2"/>
      </w:pPr>
      <w:r>
        <w:t xml:space="preserve">TITRE III : ACTIONS HUMANITAIRES ET RECHERCHE</w:t>
      </w:r>
    </w:p>
    <w:bookmarkStart w:id="34" w:name="article-12-programmes-daction"/>
    <w:p>
      <w:pPr>
        <w:pStyle w:val="Heading3"/>
      </w:pPr>
      <w:r>
        <w:t xml:space="preserve">Article 12 : Programmes d’Action</w:t>
      </w:r>
    </w:p>
    <w:p>
      <w:pPr>
        <w:pStyle w:val="FirstParagraph"/>
      </w:pPr>
      <w:r>
        <w:t xml:space="preserve">Le RJP développe des programmes concrets pour :</w:t>
      </w:r>
    </w:p>
    <w:p>
      <w:pPr>
        <w:numPr>
          <w:ilvl w:val="0"/>
          <w:numId w:val="1011"/>
        </w:numPr>
        <w:pStyle w:val="Compact"/>
      </w:pPr>
      <w:r>
        <w:t xml:space="preserve">Aider les familles de jumeaux en situation de précarité</w:t>
      </w:r>
    </w:p>
    <w:p>
      <w:pPr>
        <w:numPr>
          <w:ilvl w:val="0"/>
          <w:numId w:val="1012"/>
        </w:numPr>
      </w:pPr>
      <w:r>
        <w:t xml:space="preserve">Distribution de kits alimentaires et sanitaires</w:t>
      </w:r>
    </w:p>
    <w:p>
      <w:pPr>
        <w:numPr>
          <w:ilvl w:val="0"/>
          <w:numId w:val="1012"/>
        </w:numPr>
      </w:pPr>
      <w:r>
        <w:t xml:space="preserve">Mise en place de programmes d’assistance sociale</w:t>
      </w:r>
    </w:p>
    <w:p>
      <w:pPr>
        <w:numPr>
          <w:ilvl w:val="0"/>
          <w:numId w:val="1012"/>
        </w:numPr>
      </w:pPr>
      <w:r>
        <w:t xml:space="preserve">Accompagnement psychologique des familles</w:t>
      </w:r>
    </w:p>
    <w:p>
      <w:pPr>
        <w:numPr>
          <w:ilvl w:val="0"/>
          <w:numId w:val="1013"/>
        </w:numPr>
        <w:pStyle w:val="Compact"/>
      </w:pPr>
      <w:r>
        <w:t xml:space="preserve">Offrir des bourses éducatives aux jumeaux issus de milieux défavorisés</w:t>
      </w:r>
    </w:p>
    <w:p>
      <w:pPr>
        <w:numPr>
          <w:ilvl w:val="0"/>
          <w:numId w:val="1014"/>
        </w:numPr>
      </w:pPr>
      <w:r>
        <w:t xml:space="preserve">Prise en charge des frais de scolarité</w:t>
      </w:r>
    </w:p>
    <w:p>
      <w:pPr>
        <w:numPr>
          <w:ilvl w:val="0"/>
          <w:numId w:val="1014"/>
        </w:numPr>
      </w:pPr>
      <w:r>
        <w:t xml:space="preserve">Fourniture de matériel scolaire</w:t>
      </w:r>
    </w:p>
    <w:p>
      <w:pPr>
        <w:numPr>
          <w:ilvl w:val="0"/>
          <w:numId w:val="1014"/>
        </w:numPr>
      </w:pPr>
      <w:r>
        <w:t xml:space="preserve">Mise en place de programmes de tutorat</w:t>
      </w:r>
    </w:p>
    <w:p>
      <w:pPr>
        <w:numPr>
          <w:ilvl w:val="0"/>
          <w:numId w:val="1015"/>
        </w:numPr>
        <w:pStyle w:val="Compact"/>
      </w:pPr>
      <w:r>
        <w:t xml:space="preserve">Soutenir la recherche scientifique sur la gémellité</w:t>
      </w:r>
    </w:p>
    <w:p>
      <w:pPr>
        <w:numPr>
          <w:ilvl w:val="0"/>
          <w:numId w:val="1016"/>
        </w:numPr>
      </w:pPr>
      <w:r>
        <w:t xml:space="preserve">Financement de projets de recherche</w:t>
      </w:r>
    </w:p>
    <w:p>
      <w:pPr>
        <w:numPr>
          <w:ilvl w:val="0"/>
          <w:numId w:val="1016"/>
        </w:numPr>
      </w:pPr>
      <w:r>
        <w:t xml:space="preserve">Organisation de colloques scientifiques</w:t>
      </w:r>
    </w:p>
    <w:p>
      <w:pPr>
        <w:numPr>
          <w:ilvl w:val="0"/>
          <w:numId w:val="1016"/>
        </w:numPr>
      </w:pPr>
      <w:r>
        <w:t xml:space="preserve">Publication et diffusion des résultats de recherche</w:t>
      </w:r>
    </w:p>
    <w:p>
      <w:pPr>
        <w:numPr>
          <w:ilvl w:val="0"/>
          <w:numId w:val="1017"/>
        </w:numPr>
        <w:pStyle w:val="Compact"/>
      </w:pPr>
      <w:r>
        <w:t xml:space="preserve">Organiser des événements culturels pour valoriser les jumeaux</w:t>
      </w:r>
    </w:p>
    <w:p>
      <w:pPr>
        <w:numPr>
          <w:ilvl w:val="0"/>
          <w:numId w:val="1018"/>
        </w:numPr>
      </w:pPr>
      <w:r>
        <w:t xml:space="preserve">Festivals et journées de célébration des jumeaux</w:t>
      </w:r>
    </w:p>
    <w:p>
      <w:pPr>
        <w:numPr>
          <w:ilvl w:val="0"/>
          <w:numId w:val="1018"/>
        </w:numPr>
      </w:pPr>
      <w:r>
        <w:t xml:space="preserve">Expositions artistiques et culturelles</w:t>
      </w:r>
    </w:p>
    <w:p>
      <w:pPr>
        <w:numPr>
          <w:ilvl w:val="0"/>
          <w:numId w:val="1018"/>
        </w:numPr>
      </w:pPr>
      <w:r>
        <w:t xml:space="preserve">Concours et compétitions spécifiques</w:t>
      </w:r>
    </w:p>
    <w:bookmarkEnd w:id="34"/>
    <w:bookmarkStart w:id="35" w:name="X82d25bb40598dba4fb10cd4035eefbfd58d69ef"/>
    <w:p>
      <w:pPr>
        <w:pStyle w:val="Heading3"/>
      </w:pPr>
      <w:r>
        <w:t xml:space="preserve">Article 13 : Protection des Enfants Jumeaux</w:t>
      </w:r>
    </w:p>
    <w:p>
      <w:pPr>
        <w:pStyle w:val="FirstParagraph"/>
      </w:pPr>
      <w:r>
        <w:t xml:space="preserve">Le RJP s’engage à :</w:t>
      </w:r>
    </w:p>
    <w:p>
      <w:pPr>
        <w:numPr>
          <w:ilvl w:val="0"/>
          <w:numId w:val="1019"/>
        </w:numPr>
        <w:pStyle w:val="Compact"/>
      </w:pPr>
      <w:r>
        <w:t xml:space="preserve">Lutter activement contre la mendicité forcée des jumeaux</w:t>
      </w:r>
    </w:p>
    <w:p>
      <w:pPr>
        <w:numPr>
          <w:ilvl w:val="0"/>
          <w:numId w:val="1020"/>
        </w:numPr>
      </w:pPr>
      <w:r>
        <w:t xml:space="preserve">Programmes de sensibilisation</w:t>
      </w:r>
    </w:p>
    <w:p>
      <w:pPr>
        <w:numPr>
          <w:ilvl w:val="0"/>
          <w:numId w:val="1020"/>
        </w:numPr>
      </w:pPr>
      <w:r>
        <w:t xml:space="preserve">Signalement aux autorités compétentes</w:t>
      </w:r>
    </w:p>
    <w:p>
      <w:pPr>
        <w:numPr>
          <w:ilvl w:val="0"/>
          <w:numId w:val="1020"/>
        </w:numPr>
      </w:pPr>
      <w:r>
        <w:t xml:space="preserve">Réhabilitation des enfants victimes</w:t>
      </w:r>
    </w:p>
    <w:p>
      <w:pPr>
        <w:numPr>
          <w:ilvl w:val="0"/>
          <w:numId w:val="1021"/>
        </w:numPr>
        <w:pStyle w:val="Compact"/>
      </w:pPr>
      <w:r>
        <w:t xml:space="preserve">Collaborer avec les autorités pour protéger les jumeaux victimes d’exploitation</w:t>
      </w:r>
    </w:p>
    <w:p>
      <w:pPr>
        <w:numPr>
          <w:ilvl w:val="0"/>
          <w:numId w:val="1022"/>
        </w:numPr>
      </w:pPr>
      <w:r>
        <w:t xml:space="preserve">Signature de conventions avec les institutions nationales</w:t>
      </w:r>
    </w:p>
    <w:p>
      <w:pPr>
        <w:numPr>
          <w:ilvl w:val="0"/>
          <w:numId w:val="1022"/>
        </w:numPr>
      </w:pPr>
      <w:r>
        <w:t xml:space="preserve">Formation des agents de protection de l’enfance</w:t>
      </w:r>
    </w:p>
    <w:p>
      <w:pPr>
        <w:numPr>
          <w:ilvl w:val="0"/>
          <w:numId w:val="1022"/>
        </w:numPr>
      </w:pPr>
      <w:r>
        <w:t xml:space="preserve">Développement d’outils de prévention et de protection</w:t>
      </w:r>
    </w:p>
    <w:p>
      <w:pPr>
        <w:numPr>
          <w:ilvl w:val="0"/>
          <w:numId w:val="1023"/>
        </w:numPr>
        <w:pStyle w:val="Compact"/>
      </w:pPr>
      <w:r>
        <w:t xml:space="preserve">Mettre en place un fonds d’urgence pour aider les jumeaux en danger</w:t>
      </w:r>
    </w:p>
    <w:p>
      <w:pPr>
        <w:numPr>
          <w:ilvl w:val="0"/>
          <w:numId w:val="1024"/>
        </w:numPr>
      </w:pPr>
      <w:r>
        <w:t xml:space="preserve">Secours d’urgence</w:t>
      </w:r>
    </w:p>
    <w:p>
      <w:pPr>
        <w:numPr>
          <w:ilvl w:val="0"/>
          <w:numId w:val="1024"/>
        </w:numPr>
      </w:pPr>
      <w:r>
        <w:t xml:space="preserve">Hébergement temporaire</w:t>
      </w:r>
    </w:p>
    <w:p>
      <w:pPr>
        <w:numPr>
          <w:ilvl w:val="0"/>
          <w:numId w:val="1024"/>
        </w:numPr>
      </w:pPr>
      <w:r>
        <w:t xml:space="preserve">Accompagnement juridique et social</w:t>
      </w:r>
    </w:p>
    <w:bookmarkEnd w:id="35"/>
    <w:bookmarkStart w:id="36" w:name="article-14-éducation-et-formation"/>
    <w:p>
      <w:pPr>
        <w:pStyle w:val="Heading3"/>
      </w:pPr>
      <w:r>
        <w:t xml:space="preserve">Article 14 : Éducation et Formation</w:t>
      </w:r>
    </w:p>
    <w:p>
      <w:pPr>
        <w:pStyle w:val="FirstParagraph"/>
      </w:pPr>
      <w:r>
        <w:t xml:space="preserve">Le RJP établit des programmes éducatifs spécifiques :</w:t>
      </w:r>
    </w:p>
    <w:p>
      <w:pPr>
        <w:numPr>
          <w:ilvl w:val="0"/>
          <w:numId w:val="1025"/>
        </w:numPr>
      </w:pPr>
      <w:r>
        <w:t xml:space="preserve">Sensibilisation dans les écoles aux particularités de la gémellité</w:t>
      </w:r>
    </w:p>
    <w:p>
      <w:pPr>
        <w:numPr>
          <w:ilvl w:val="0"/>
          <w:numId w:val="1025"/>
        </w:numPr>
      </w:pPr>
      <w:r>
        <w:t xml:space="preserve">Formation des enseignants à l’accueil des jumeaux dans les classes</w:t>
      </w:r>
    </w:p>
    <w:p>
      <w:pPr>
        <w:numPr>
          <w:ilvl w:val="0"/>
          <w:numId w:val="1025"/>
        </w:numPr>
      </w:pPr>
      <w:r>
        <w:t xml:space="preserve">Création de supports pédagogiques adaptés</w:t>
      </w:r>
    </w:p>
    <w:p>
      <w:pPr>
        <w:numPr>
          <w:ilvl w:val="0"/>
          <w:numId w:val="1025"/>
        </w:numPr>
      </w:pPr>
      <w:r>
        <w:t xml:space="preserve">Organisation d’ateliers d’échange entre parents de jumeaux</w:t>
      </w:r>
    </w:p>
    <w:bookmarkEnd w:id="36"/>
    <w:bookmarkStart w:id="37" w:name="article-15-recherche-et-documentation"/>
    <w:p>
      <w:pPr>
        <w:pStyle w:val="Heading3"/>
      </w:pPr>
      <w:r>
        <w:t xml:space="preserve">Article 15 : Recherche et Documentation</w:t>
      </w:r>
    </w:p>
    <w:p>
      <w:pPr>
        <w:pStyle w:val="FirstParagraph"/>
      </w:pPr>
      <w:r>
        <w:t xml:space="preserve">Le RJP encourage la recherche sur la gémellité par :</w:t>
      </w:r>
    </w:p>
    <w:p>
      <w:pPr>
        <w:numPr>
          <w:ilvl w:val="0"/>
          <w:numId w:val="1026"/>
        </w:numPr>
      </w:pPr>
      <w:r>
        <w:t xml:space="preserve">La mise en place d’un comité scientifique international</w:t>
      </w:r>
    </w:p>
    <w:p>
      <w:pPr>
        <w:numPr>
          <w:ilvl w:val="0"/>
          <w:numId w:val="1026"/>
        </w:numPr>
      </w:pPr>
      <w:r>
        <w:t xml:space="preserve">Le financement de bourses de recherche</w:t>
      </w:r>
    </w:p>
    <w:p>
      <w:pPr>
        <w:numPr>
          <w:ilvl w:val="0"/>
          <w:numId w:val="1026"/>
        </w:numPr>
      </w:pPr>
      <w:r>
        <w:t xml:space="preserve">La collecte et l’archivage de données sur les jumeaux</w:t>
      </w:r>
    </w:p>
    <w:p>
      <w:pPr>
        <w:numPr>
          <w:ilvl w:val="0"/>
          <w:numId w:val="1026"/>
        </w:numPr>
      </w:pPr>
      <w:r>
        <w:t xml:space="preserve">La publication d’un journal scientifique annuel</w:t>
      </w:r>
    </w:p>
    <w:p>
      <w:pPr>
        <w:numPr>
          <w:ilvl w:val="0"/>
          <w:numId w:val="1026"/>
        </w:numPr>
      </w:pPr>
      <w:r>
        <w:t xml:space="preserve">L’organisation d’un congrès international bisannuel</w:t>
      </w:r>
    </w:p>
    <w:bookmarkEnd w:id="37"/>
    <w:bookmarkEnd w:id="38"/>
    <w:bookmarkStart w:id="57" w:name="titre-iv-structure-et-gouvernance"/>
    <w:p>
      <w:pPr>
        <w:pStyle w:val="Heading2"/>
      </w:pPr>
      <w:r>
        <w:t xml:space="preserve">TITRE IV : STRUCTURE ET GOUVERNANCE</w:t>
      </w:r>
    </w:p>
    <w:bookmarkStart w:id="39" w:name="article-16-organisation-générale"/>
    <w:p>
      <w:pPr>
        <w:pStyle w:val="Heading3"/>
      </w:pPr>
      <w:r>
        <w:t xml:space="preserve">Article 16 : Organisation générale</w:t>
      </w:r>
    </w:p>
    <w:p>
      <w:pPr>
        <w:pStyle w:val="FirstParagraph"/>
      </w:pPr>
      <w:r>
        <w:t xml:space="preserve">Le RJP est structuré comme suit :</w:t>
      </w:r>
    </w:p>
    <w:p>
      <w:pPr>
        <w:numPr>
          <w:ilvl w:val="0"/>
          <w:numId w:val="1027"/>
        </w:numPr>
      </w:pPr>
      <w:r>
        <w:t xml:space="preserve">Le Conseil Mondial : Organe de décision stratégique</w:t>
      </w:r>
    </w:p>
    <w:p>
      <w:pPr>
        <w:numPr>
          <w:ilvl w:val="0"/>
          <w:numId w:val="1027"/>
        </w:numPr>
      </w:pPr>
      <w:r>
        <w:t xml:space="preserve">Le Comité Exécutif International : Responsable de la gestion opérationnelle</w:t>
      </w:r>
    </w:p>
    <w:p>
      <w:pPr>
        <w:numPr>
          <w:ilvl w:val="0"/>
          <w:numId w:val="1027"/>
        </w:numPr>
      </w:pPr>
      <w:r>
        <w:t xml:space="preserve">Les Antennes Nationales : Chargées de l’adaptation des projets aux réalités locales</w:t>
      </w:r>
    </w:p>
    <w:p>
      <w:pPr>
        <w:numPr>
          <w:ilvl w:val="0"/>
          <w:numId w:val="1027"/>
        </w:numPr>
      </w:pPr>
      <w:r>
        <w:t xml:space="preserve">Les Sections Communales : Unités locales assurant les actions de proximité</w:t>
      </w:r>
    </w:p>
    <w:bookmarkEnd w:id="39"/>
    <w:bookmarkStart w:id="43" w:name="article-17-le-conseil-mondial"/>
    <w:p>
      <w:pPr>
        <w:pStyle w:val="Heading3"/>
      </w:pPr>
      <w:r>
        <w:t xml:space="preserve">Article 17 : Le Conseil Mondial</w:t>
      </w:r>
    </w:p>
    <w:bookmarkStart w:id="40" w:name="composition"/>
    <w:p>
      <w:pPr>
        <w:pStyle w:val="Heading4"/>
      </w:pPr>
      <w:r>
        <w:t xml:space="preserve">17.1. Composition</w:t>
      </w:r>
    </w:p>
    <w:p>
      <w:pPr>
        <w:pStyle w:val="FirstParagraph"/>
      </w:pPr>
      <w:r>
        <w:t xml:space="preserve">Le Conseil Mondial est composé de :</w:t>
      </w:r>
    </w:p>
    <w:p>
      <w:pPr>
        <w:numPr>
          <w:ilvl w:val="0"/>
          <w:numId w:val="1028"/>
        </w:numPr>
      </w:pPr>
      <w:r>
        <w:t xml:space="preserve">Les membres fondateurs</w:t>
      </w:r>
    </w:p>
    <w:p>
      <w:pPr>
        <w:numPr>
          <w:ilvl w:val="0"/>
          <w:numId w:val="1028"/>
        </w:numPr>
      </w:pPr>
      <w:r>
        <w:t xml:space="preserve">Les Présidents des Antennes Nationales</w:t>
      </w:r>
    </w:p>
    <w:p>
      <w:pPr>
        <w:numPr>
          <w:ilvl w:val="0"/>
          <w:numId w:val="1028"/>
        </w:numPr>
      </w:pPr>
      <w:r>
        <w:t xml:space="preserve">Deux délégués élus par Antenne Nationale</w:t>
      </w:r>
    </w:p>
    <w:p>
      <w:pPr>
        <w:numPr>
          <w:ilvl w:val="0"/>
          <w:numId w:val="1028"/>
        </w:numPr>
      </w:pPr>
      <w:r>
        <w:t xml:space="preserve">Cinq membres cooptés pour leur expertise</w:t>
      </w:r>
    </w:p>
    <w:bookmarkEnd w:id="40"/>
    <w:bookmarkStart w:id="41" w:name="attributions"/>
    <w:p>
      <w:pPr>
        <w:pStyle w:val="Heading4"/>
      </w:pPr>
      <w:r>
        <w:t xml:space="preserve">17.2. Attributions</w:t>
      </w:r>
    </w:p>
    <w:p>
      <w:pPr>
        <w:pStyle w:val="FirstParagraph"/>
      </w:pPr>
      <w:r>
        <w:t xml:space="preserve">Le Conseil Mondial a pour attributions de :</w:t>
      </w:r>
    </w:p>
    <w:p>
      <w:pPr>
        <w:numPr>
          <w:ilvl w:val="0"/>
          <w:numId w:val="1029"/>
        </w:numPr>
      </w:pPr>
      <w:r>
        <w:t xml:space="preserve">Définir les orientations stratégiques du RJP</w:t>
      </w:r>
    </w:p>
    <w:p>
      <w:pPr>
        <w:numPr>
          <w:ilvl w:val="0"/>
          <w:numId w:val="1029"/>
        </w:numPr>
      </w:pPr>
      <w:r>
        <w:t xml:space="preserve">Approuver le plan d’action pluriannuel</w:t>
      </w:r>
    </w:p>
    <w:p>
      <w:pPr>
        <w:numPr>
          <w:ilvl w:val="0"/>
          <w:numId w:val="1029"/>
        </w:numPr>
      </w:pPr>
      <w:r>
        <w:t xml:space="preserve">Élire les membres du Comité Exécutif International</w:t>
      </w:r>
    </w:p>
    <w:p>
      <w:pPr>
        <w:numPr>
          <w:ilvl w:val="0"/>
          <w:numId w:val="1029"/>
        </w:numPr>
      </w:pPr>
      <w:r>
        <w:t xml:space="preserve">Approuver le budget annuel et les comptes</w:t>
      </w:r>
    </w:p>
    <w:p>
      <w:pPr>
        <w:numPr>
          <w:ilvl w:val="0"/>
          <w:numId w:val="1029"/>
        </w:numPr>
      </w:pPr>
      <w:r>
        <w:t xml:space="preserve">Modifier les statuts et le règlement intérieur</w:t>
      </w:r>
    </w:p>
    <w:p>
      <w:pPr>
        <w:numPr>
          <w:ilvl w:val="0"/>
          <w:numId w:val="1029"/>
        </w:numPr>
      </w:pPr>
      <w:r>
        <w:t xml:space="preserve">Créer et dissoudre les Antennes Nationales</w:t>
      </w:r>
    </w:p>
    <w:p>
      <w:pPr>
        <w:numPr>
          <w:ilvl w:val="0"/>
          <w:numId w:val="1029"/>
        </w:numPr>
      </w:pPr>
      <w:r>
        <w:t xml:space="preserve">Nommer les Ambassadeurs RJP</w:t>
      </w:r>
    </w:p>
    <w:p>
      <w:pPr>
        <w:numPr>
          <w:ilvl w:val="0"/>
          <w:numId w:val="1029"/>
        </w:numPr>
      </w:pPr>
      <w:r>
        <w:t xml:space="preserve">Décider de la dissolution de l’Association</w:t>
      </w:r>
    </w:p>
    <w:bookmarkEnd w:id="41"/>
    <w:bookmarkStart w:id="42" w:name="fonctionnement"/>
    <w:p>
      <w:pPr>
        <w:pStyle w:val="Heading4"/>
      </w:pPr>
      <w:r>
        <w:t xml:space="preserve">17.3. Fonctionnement</w:t>
      </w:r>
    </w:p>
    <w:p>
      <w:pPr>
        <w:pStyle w:val="FirstParagraph"/>
      </w:pPr>
      <w:r>
        <w:t xml:space="preserve">Le Conseil Mondial se réunit en session ordinaire une fois par an et en session extraordinaire sur convocation du Président du Comité Exécutif International ou à la demande d’au moins un tiers de ses membres.</w:t>
      </w:r>
    </w:p>
    <w:p>
      <w:pPr>
        <w:pStyle w:val="BodyText"/>
      </w:pPr>
      <w:r>
        <w:t xml:space="preserve">Les décisions sont prises à la majorité simple des membres présents ou représentés, sauf pour les modifications statutaires et la dissolution qui requièrent une majorité des deux tiers.</w:t>
      </w:r>
    </w:p>
    <w:bookmarkEnd w:id="42"/>
    <w:bookmarkEnd w:id="43"/>
    <w:bookmarkStart w:id="48" w:name="Xb48b1f38640816f579f97baad48c62e4b9d8710"/>
    <w:p>
      <w:pPr>
        <w:pStyle w:val="Heading3"/>
      </w:pPr>
      <w:r>
        <w:t xml:space="preserve">Article 18 : Le Comité Exécutif International</w:t>
      </w:r>
    </w:p>
    <w:bookmarkStart w:id="44" w:name="composition-1"/>
    <w:p>
      <w:pPr>
        <w:pStyle w:val="Heading4"/>
      </w:pPr>
      <w:r>
        <w:t xml:space="preserve">18.1. Composition</w:t>
      </w:r>
    </w:p>
    <w:p>
      <w:pPr>
        <w:pStyle w:val="FirstParagraph"/>
      </w:pPr>
      <w:r>
        <w:t xml:space="preserve">Le Comité Exécutif International comprend :</w:t>
      </w:r>
    </w:p>
    <w:p>
      <w:pPr>
        <w:numPr>
          <w:ilvl w:val="0"/>
          <w:numId w:val="1030"/>
        </w:numPr>
      </w:pPr>
      <w:r>
        <w:t xml:space="preserve">Un Président</w:t>
      </w:r>
    </w:p>
    <w:p>
      <w:pPr>
        <w:numPr>
          <w:ilvl w:val="0"/>
          <w:numId w:val="1030"/>
        </w:numPr>
      </w:pPr>
      <w:r>
        <w:t xml:space="preserve">Deux Vice-présidents</w:t>
      </w:r>
    </w:p>
    <w:p>
      <w:pPr>
        <w:numPr>
          <w:ilvl w:val="0"/>
          <w:numId w:val="1030"/>
        </w:numPr>
      </w:pPr>
      <w:r>
        <w:t xml:space="preserve">Un Secrétaire Général</w:t>
      </w:r>
    </w:p>
    <w:p>
      <w:pPr>
        <w:numPr>
          <w:ilvl w:val="0"/>
          <w:numId w:val="1030"/>
        </w:numPr>
      </w:pPr>
      <w:r>
        <w:t xml:space="preserve">Un Secrétaire Général Adjoint</w:t>
      </w:r>
    </w:p>
    <w:p>
      <w:pPr>
        <w:numPr>
          <w:ilvl w:val="0"/>
          <w:numId w:val="1030"/>
        </w:numPr>
      </w:pPr>
      <w:r>
        <w:t xml:space="preserve">Un Trésorier</w:t>
      </w:r>
    </w:p>
    <w:p>
      <w:pPr>
        <w:numPr>
          <w:ilvl w:val="0"/>
          <w:numId w:val="1030"/>
        </w:numPr>
      </w:pPr>
      <w:r>
        <w:t xml:space="preserve">Un Trésorier Adjoint</w:t>
      </w:r>
    </w:p>
    <w:p>
      <w:pPr>
        <w:numPr>
          <w:ilvl w:val="0"/>
          <w:numId w:val="1030"/>
        </w:numPr>
      </w:pPr>
      <w:r>
        <w:t xml:space="preserve">Six Commissaires chargés respectivement de :</w:t>
      </w:r>
    </w:p>
    <w:p>
      <w:pPr>
        <w:numPr>
          <w:ilvl w:val="1"/>
          <w:numId w:val="1031"/>
        </w:numPr>
      </w:pPr>
      <w:r>
        <w:t xml:space="preserve">Protection sociale</w:t>
      </w:r>
    </w:p>
    <w:p>
      <w:pPr>
        <w:numPr>
          <w:ilvl w:val="1"/>
          <w:numId w:val="1031"/>
        </w:numPr>
      </w:pPr>
      <w:r>
        <w:t xml:space="preserve">Santé</w:t>
      </w:r>
    </w:p>
    <w:p>
      <w:pPr>
        <w:numPr>
          <w:ilvl w:val="1"/>
          <w:numId w:val="1031"/>
        </w:numPr>
      </w:pPr>
      <w:r>
        <w:t xml:space="preserve">Éducation</w:t>
      </w:r>
    </w:p>
    <w:p>
      <w:pPr>
        <w:numPr>
          <w:ilvl w:val="1"/>
          <w:numId w:val="1031"/>
        </w:numPr>
      </w:pPr>
      <w:r>
        <w:t xml:space="preserve">Recherche</w:t>
      </w:r>
    </w:p>
    <w:p>
      <w:pPr>
        <w:numPr>
          <w:ilvl w:val="1"/>
          <w:numId w:val="1031"/>
        </w:numPr>
      </w:pPr>
      <w:r>
        <w:t xml:space="preserve">Culture</w:t>
      </w:r>
    </w:p>
    <w:p>
      <w:pPr>
        <w:numPr>
          <w:ilvl w:val="1"/>
          <w:numId w:val="1031"/>
        </w:numPr>
      </w:pPr>
      <w:r>
        <w:t xml:space="preserve">Communication</w:t>
      </w:r>
    </w:p>
    <w:bookmarkEnd w:id="44"/>
    <w:bookmarkStart w:id="45" w:name="élection-et-mandat"/>
    <w:p>
      <w:pPr>
        <w:pStyle w:val="Heading4"/>
      </w:pPr>
      <w:r>
        <w:t xml:space="preserve">18.2. Élection et mandat</w:t>
      </w:r>
    </w:p>
    <w:p>
      <w:pPr>
        <w:pStyle w:val="FirstParagraph"/>
      </w:pPr>
      <w:r>
        <w:t xml:space="preserve">Les membres du Comité Exécutif International sont élus par le Conseil Mondial pour un mandat de deux ans renouvelable une fois. L’élection se fait au scrutin secret à la majorité absolue au premier tour et à la majorité relative au second tour.</w:t>
      </w:r>
    </w:p>
    <w:bookmarkEnd w:id="45"/>
    <w:bookmarkStart w:id="46" w:name="attributions-1"/>
    <w:p>
      <w:pPr>
        <w:pStyle w:val="Heading4"/>
      </w:pPr>
      <w:r>
        <w:t xml:space="preserve">18.3. Attributions</w:t>
      </w:r>
    </w:p>
    <w:p>
      <w:pPr>
        <w:pStyle w:val="FirstParagraph"/>
      </w:pPr>
      <w:r>
        <w:t xml:space="preserve">Le Comité Exécutif International est chargé de :</w:t>
      </w:r>
    </w:p>
    <w:p>
      <w:pPr>
        <w:numPr>
          <w:ilvl w:val="0"/>
          <w:numId w:val="1032"/>
        </w:numPr>
      </w:pPr>
      <w:r>
        <w:t xml:space="preserve">Mettre en œuvre les décisions du Conseil Mondial</w:t>
      </w:r>
    </w:p>
    <w:p>
      <w:pPr>
        <w:numPr>
          <w:ilvl w:val="0"/>
          <w:numId w:val="1032"/>
        </w:numPr>
      </w:pPr>
      <w:r>
        <w:t xml:space="preserve">Assurer la gestion quotidienne de l’Association</w:t>
      </w:r>
    </w:p>
    <w:p>
      <w:pPr>
        <w:numPr>
          <w:ilvl w:val="0"/>
          <w:numId w:val="1032"/>
        </w:numPr>
      </w:pPr>
      <w:r>
        <w:t xml:space="preserve">Élaborer et exécuter le plan d’action annuel</w:t>
      </w:r>
    </w:p>
    <w:p>
      <w:pPr>
        <w:numPr>
          <w:ilvl w:val="0"/>
          <w:numId w:val="1032"/>
        </w:numPr>
      </w:pPr>
      <w:r>
        <w:t xml:space="preserve">Préparer le budget et les comptes</w:t>
      </w:r>
    </w:p>
    <w:p>
      <w:pPr>
        <w:numPr>
          <w:ilvl w:val="0"/>
          <w:numId w:val="1032"/>
        </w:numPr>
      </w:pPr>
      <w:r>
        <w:t xml:space="preserve">Coordonner les activités des Antennes Nationales</w:t>
      </w:r>
    </w:p>
    <w:p>
      <w:pPr>
        <w:numPr>
          <w:ilvl w:val="0"/>
          <w:numId w:val="1032"/>
        </w:numPr>
      </w:pPr>
      <w:r>
        <w:t xml:space="preserve">Représenter l’Association auprès des partenaires internationaux</w:t>
      </w:r>
    </w:p>
    <w:p>
      <w:pPr>
        <w:numPr>
          <w:ilvl w:val="0"/>
          <w:numId w:val="1032"/>
        </w:numPr>
      </w:pPr>
      <w:r>
        <w:t xml:space="preserve">Nommer les Super-Héros RJP sur proposition des Antennes Nationales</w:t>
      </w:r>
    </w:p>
    <w:bookmarkEnd w:id="46"/>
    <w:bookmarkStart w:id="47" w:name="fonctionnement-1"/>
    <w:p>
      <w:pPr>
        <w:pStyle w:val="Heading4"/>
      </w:pPr>
      <w:r>
        <w:t xml:space="preserve">18.4. Fonctionnement</w:t>
      </w:r>
    </w:p>
    <w:p>
      <w:pPr>
        <w:pStyle w:val="FirstParagraph"/>
      </w:pPr>
      <w:r>
        <w:t xml:space="preserve">Le Comité Exécutif International se réunit au moins une fois par trimestre sur convocation du Président ou à la demande d’un tiers de ses membres.</w:t>
      </w:r>
    </w:p>
    <w:p>
      <w:pPr>
        <w:pStyle w:val="BodyText"/>
      </w:pPr>
      <w:r>
        <w:t xml:space="preserve">Les décisions sont prises à la majorité simple des membres présents, la voix du Président étant prépondérante en cas d’égalité.</w:t>
      </w:r>
    </w:p>
    <w:bookmarkEnd w:id="47"/>
    <w:bookmarkEnd w:id="48"/>
    <w:bookmarkStart w:id="52" w:name="article-19-les-antennes-nationales"/>
    <w:p>
      <w:pPr>
        <w:pStyle w:val="Heading3"/>
      </w:pPr>
      <w:r>
        <w:t xml:space="preserve">Article 19 : Les Antennes Nationales</w:t>
      </w:r>
    </w:p>
    <w:bookmarkStart w:id="49" w:name="création"/>
    <w:p>
      <w:pPr>
        <w:pStyle w:val="Heading4"/>
      </w:pPr>
      <w:r>
        <w:t xml:space="preserve">19.1. Création</w:t>
      </w:r>
    </w:p>
    <w:p>
      <w:pPr>
        <w:pStyle w:val="FirstParagraph"/>
      </w:pPr>
      <w:r>
        <w:t xml:space="preserve">Une Antenne Nationale peut être créée dans tout pays comptant au moins trois Sections Communales actives. La création est entérinée par le Conseil Mondial sur proposition du Comité Exécutif International.</w:t>
      </w:r>
    </w:p>
    <w:bookmarkEnd w:id="49"/>
    <w:bookmarkStart w:id="50" w:name="structure"/>
    <w:p>
      <w:pPr>
        <w:pStyle w:val="Heading4"/>
      </w:pPr>
      <w:r>
        <w:t xml:space="preserve">19.2. Structure</w:t>
      </w:r>
    </w:p>
    <w:p>
      <w:pPr>
        <w:pStyle w:val="FirstParagraph"/>
      </w:pPr>
      <w:r>
        <w:t xml:space="preserve">Chaque Antenne Nationale comprend :</w:t>
      </w:r>
    </w:p>
    <w:p>
      <w:pPr>
        <w:numPr>
          <w:ilvl w:val="0"/>
          <w:numId w:val="1033"/>
        </w:numPr>
      </w:pPr>
      <w:r>
        <w:t xml:space="preserve">Une Assemblée Générale Nationale</w:t>
      </w:r>
    </w:p>
    <w:p>
      <w:pPr>
        <w:numPr>
          <w:ilvl w:val="0"/>
          <w:numId w:val="1033"/>
        </w:numPr>
      </w:pPr>
      <w:r>
        <w:t xml:space="preserve">Un Comité Exécutif National</w:t>
      </w:r>
    </w:p>
    <w:p>
      <w:pPr>
        <w:numPr>
          <w:ilvl w:val="0"/>
          <w:numId w:val="1033"/>
        </w:numPr>
      </w:pPr>
      <w:r>
        <w:t xml:space="preserve">Un Conseil des Sections</w:t>
      </w:r>
    </w:p>
    <w:bookmarkEnd w:id="50"/>
    <w:bookmarkStart w:id="51" w:name="autonomie-et-coordination"/>
    <w:p>
      <w:pPr>
        <w:pStyle w:val="Heading4"/>
      </w:pPr>
      <w:r>
        <w:t xml:space="preserve">19.3. Autonomie et coordination</w:t>
      </w:r>
    </w:p>
    <w:p>
      <w:pPr>
        <w:pStyle w:val="FirstParagraph"/>
      </w:pPr>
      <w:r>
        <w:t xml:space="preserve">Les Antennes Nationales jouissent d’une autonomie de gestion dans le cadre des orientations définies par le Conseil Mondial. Elles adaptent les programmes du RJP aux réalités locales et développent des initiatives spécifiques.</w:t>
      </w:r>
    </w:p>
    <w:p>
      <w:pPr>
        <w:pStyle w:val="BodyText"/>
      </w:pPr>
      <w:r>
        <w:t xml:space="preserve">Chaque Antenne Nationale doit soumettre un rapport d’activité et financier annuel au Comité Exécutif International.</w:t>
      </w:r>
    </w:p>
    <w:bookmarkEnd w:id="51"/>
    <w:bookmarkEnd w:id="52"/>
    <w:bookmarkStart w:id="56" w:name="article-20-les-sections-communales"/>
    <w:p>
      <w:pPr>
        <w:pStyle w:val="Heading3"/>
      </w:pPr>
      <w:r>
        <w:t xml:space="preserve">Article 20 : Les Sections Communales</w:t>
      </w:r>
    </w:p>
    <w:bookmarkStart w:id="53" w:name="création-1"/>
    <w:p>
      <w:pPr>
        <w:pStyle w:val="Heading4"/>
      </w:pPr>
      <w:r>
        <w:t xml:space="preserve">20.1. Création</w:t>
      </w:r>
    </w:p>
    <w:p>
      <w:pPr>
        <w:pStyle w:val="FirstParagraph"/>
      </w:pPr>
      <w:r>
        <w:t xml:space="preserve">Une Section Communale peut être créée dans toute localité regroupant au moins vingt membres actifs. La création est validée par le Comité Exécutif de l’Antenne Nationale concernée.</w:t>
      </w:r>
    </w:p>
    <w:bookmarkEnd w:id="53"/>
    <w:bookmarkStart w:id="54" w:name="structure-1"/>
    <w:p>
      <w:pPr>
        <w:pStyle w:val="Heading4"/>
      </w:pPr>
      <w:r>
        <w:t xml:space="preserve">20.2. Structure</w:t>
      </w:r>
    </w:p>
    <w:p>
      <w:pPr>
        <w:pStyle w:val="FirstParagraph"/>
      </w:pPr>
      <w:r>
        <w:t xml:space="preserve">Chaque Section Communale comprend :</w:t>
      </w:r>
    </w:p>
    <w:p>
      <w:pPr>
        <w:numPr>
          <w:ilvl w:val="0"/>
          <w:numId w:val="1034"/>
        </w:numPr>
      </w:pPr>
      <w:r>
        <w:t xml:space="preserve">Une Assemblée Générale locale</w:t>
      </w:r>
    </w:p>
    <w:p>
      <w:pPr>
        <w:numPr>
          <w:ilvl w:val="0"/>
          <w:numId w:val="1034"/>
        </w:numPr>
      </w:pPr>
      <w:r>
        <w:t xml:space="preserve">Un Bureau Exécutif de Section</w:t>
      </w:r>
    </w:p>
    <w:p>
      <w:pPr>
        <w:numPr>
          <w:ilvl w:val="0"/>
          <w:numId w:val="1034"/>
        </w:numPr>
      </w:pPr>
      <w:r>
        <w:t xml:space="preserve">Des Commissions thématiques</w:t>
      </w:r>
    </w:p>
    <w:bookmarkEnd w:id="54"/>
    <w:bookmarkStart w:id="55" w:name="rôle"/>
    <w:p>
      <w:pPr>
        <w:pStyle w:val="Heading4"/>
      </w:pPr>
      <w:r>
        <w:t xml:space="preserve">20.3. Rôle</w:t>
      </w:r>
    </w:p>
    <w:p>
      <w:pPr>
        <w:pStyle w:val="FirstParagraph"/>
      </w:pPr>
      <w:r>
        <w:t xml:space="preserve">Les Sections Communales constituent le niveau opérationnel de base du RJP. Elles :</w:t>
      </w:r>
    </w:p>
    <w:p>
      <w:pPr>
        <w:numPr>
          <w:ilvl w:val="0"/>
          <w:numId w:val="1035"/>
        </w:numPr>
      </w:pPr>
      <w:r>
        <w:t xml:space="preserve">Mettent en œuvre les programmes au niveau local</w:t>
      </w:r>
    </w:p>
    <w:p>
      <w:pPr>
        <w:numPr>
          <w:ilvl w:val="0"/>
          <w:numId w:val="1035"/>
        </w:numPr>
      </w:pPr>
      <w:r>
        <w:t xml:space="preserve">Identifient et accompagnent les bénéficiaires</w:t>
      </w:r>
    </w:p>
    <w:p>
      <w:pPr>
        <w:numPr>
          <w:ilvl w:val="0"/>
          <w:numId w:val="1035"/>
        </w:numPr>
      </w:pPr>
      <w:r>
        <w:t xml:space="preserve">Mobilisent les membres et les ressources locales</w:t>
      </w:r>
    </w:p>
    <w:p>
      <w:pPr>
        <w:numPr>
          <w:ilvl w:val="0"/>
          <w:numId w:val="1035"/>
        </w:numPr>
      </w:pPr>
      <w:r>
        <w:t xml:space="preserve">Font remonter les besoins et initiatives à l’Antenne Nationale</w:t>
      </w:r>
    </w:p>
    <w:bookmarkEnd w:id="55"/>
    <w:bookmarkEnd w:id="56"/>
    <w:bookmarkEnd w:id="57"/>
    <w:bookmarkStart w:id="64" w:name="titre-v-ressources-et-gestion-financière"/>
    <w:p>
      <w:pPr>
        <w:pStyle w:val="Heading2"/>
      </w:pPr>
      <w:r>
        <w:t xml:space="preserve">TITRE V : RESSOURCES ET GESTION FINANCIÈRE</w:t>
      </w:r>
    </w:p>
    <w:bookmarkStart w:id="58" w:name="article-21-ressources"/>
    <w:p>
      <w:pPr>
        <w:pStyle w:val="Heading3"/>
      </w:pPr>
      <w:r>
        <w:t xml:space="preserve">Article 21 : Ressources</w:t>
      </w:r>
    </w:p>
    <w:p>
      <w:pPr>
        <w:pStyle w:val="FirstParagraph"/>
      </w:pPr>
      <w:r>
        <w:t xml:space="preserve">Les ressources du RJP proviennent de :</w:t>
      </w:r>
    </w:p>
    <w:p>
      <w:pPr>
        <w:numPr>
          <w:ilvl w:val="0"/>
          <w:numId w:val="1036"/>
        </w:numPr>
      </w:pPr>
      <w:r>
        <w:t xml:space="preserve">Droits d’adhésion et cotisations des membres</w:t>
      </w:r>
    </w:p>
    <w:p>
      <w:pPr>
        <w:numPr>
          <w:ilvl w:val="0"/>
          <w:numId w:val="1036"/>
        </w:numPr>
      </w:pPr>
      <w:r>
        <w:t xml:space="preserve">Subventions publiques et privées</w:t>
      </w:r>
    </w:p>
    <w:p>
      <w:pPr>
        <w:numPr>
          <w:ilvl w:val="0"/>
          <w:numId w:val="1036"/>
        </w:numPr>
      </w:pPr>
      <w:r>
        <w:t xml:space="preserve">Dons et legs</w:t>
      </w:r>
    </w:p>
    <w:p>
      <w:pPr>
        <w:numPr>
          <w:ilvl w:val="0"/>
          <w:numId w:val="1036"/>
        </w:numPr>
      </w:pPr>
      <w:r>
        <w:t xml:space="preserve">Produits des activités et manifestations</w:t>
      </w:r>
    </w:p>
    <w:p>
      <w:pPr>
        <w:numPr>
          <w:ilvl w:val="0"/>
          <w:numId w:val="1036"/>
        </w:numPr>
      </w:pPr>
      <w:r>
        <w:t xml:space="preserve">Revenus des biens et valeurs de l’Association</w:t>
      </w:r>
    </w:p>
    <w:p>
      <w:pPr>
        <w:numPr>
          <w:ilvl w:val="0"/>
          <w:numId w:val="1036"/>
        </w:numPr>
      </w:pPr>
      <w:r>
        <w:t xml:space="preserve">Contributions des Ambassadeurs RJP</w:t>
      </w:r>
    </w:p>
    <w:p>
      <w:pPr>
        <w:numPr>
          <w:ilvl w:val="0"/>
          <w:numId w:val="1036"/>
        </w:numPr>
      </w:pPr>
      <w:r>
        <w:t xml:space="preserve">Partenariats avec des entreprises et fondations</w:t>
      </w:r>
    </w:p>
    <w:p>
      <w:pPr>
        <w:numPr>
          <w:ilvl w:val="0"/>
          <w:numId w:val="1036"/>
        </w:numPr>
      </w:pPr>
      <w:r>
        <w:t xml:space="preserve">Toute autre ressource autorisée par la loi</w:t>
      </w:r>
    </w:p>
    <w:bookmarkEnd w:id="58"/>
    <w:bookmarkStart w:id="59" w:name="X138a13d51055880529f48e0351e4454f65adaf8"/>
    <w:p>
      <w:pPr>
        <w:pStyle w:val="Heading3"/>
      </w:pPr>
      <w:r>
        <w:t xml:space="preserve">Article 22 : Droits d’adhésion et cotisations</w:t>
      </w:r>
    </w:p>
    <w:p>
      <w:pPr>
        <w:pStyle w:val="FirstParagraph"/>
      </w:pPr>
      <w:r>
        <w:t xml:space="preserve">Les droits d’adhésion sont fixés à un montant équivalent à 10 USD, payables une seule fois.</w:t>
      </w:r>
    </w:p>
    <w:p>
      <w:pPr>
        <w:pStyle w:val="BodyText"/>
      </w:pPr>
      <w:r>
        <w:t xml:space="preserve">Les cotisations trimestrielles sont fixées selon les catégories suivantes :</w:t>
      </w:r>
    </w:p>
    <w:p>
      <w:pPr>
        <w:numPr>
          <w:ilvl w:val="0"/>
          <w:numId w:val="1037"/>
        </w:numPr>
      </w:pPr>
      <w:r>
        <w:t xml:space="preserve">Membres actifs : équivalent à 5 USD</w:t>
      </w:r>
    </w:p>
    <w:p>
      <w:pPr>
        <w:numPr>
          <w:ilvl w:val="0"/>
          <w:numId w:val="1037"/>
        </w:numPr>
      </w:pPr>
      <w:r>
        <w:t xml:space="preserve">Membres bienfaiteurs : minimum équivalent à 50 USD</w:t>
      </w:r>
    </w:p>
    <w:p>
      <w:pPr>
        <w:numPr>
          <w:ilvl w:val="0"/>
          <w:numId w:val="1037"/>
        </w:numPr>
      </w:pPr>
      <w:r>
        <w:t xml:space="preserve">Super-Héros RJP : équivalent à 20 USD</w:t>
      </w:r>
    </w:p>
    <w:p>
      <w:pPr>
        <w:pStyle w:val="FirstParagraph"/>
      </w:pPr>
      <w:r>
        <w:t xml:space="preserve">Ces montants peuvent être ajustés par le Conseil Mondial sur proposition du Comité Exécutif International.</w:t>
      </w:r>
    </w:p>
    <w:bookmarkEnd w:id="59"/>
    <w:bookmarkStart w:id="60" w:name="article-23-répartition-des-ressources"/>
    <w:p>
      <w:pPr>
        <w:pStyle w:val="Heading3"/>
      </w:pPr>
      <w:r>
        <w:t xml:space="preserve">Article 23 : Répartition des ressources</w:t>
      </w:r>
    </w:p>
    <w:p>
      <w:pPr>
        <w:pStyle w:val="FirstParagraph"/>
      </w:pPr>
      <w:r>
        <w:t xml:space="preserve">Les droits d’adhésion et cotisations sont répartis comme suit :</w:t>
      </w:r>
    </w:p>
    <w:p>
      <w:pPr>
        <w:numPr>
          <w:ilvl w:val="0"/>
          <w:numId w:val="1038"/>
        </w:numPr>
      </w:pPr>
      <w:r>
        <w:t xml:space="preserve">50% pour la Section Communale</w:t>
      </w:r>
    </w:p>
    <w:p>
      <w:pPr>
        <w:numPr>
          <w:ilvl w:val="0"/>
          <w:numId w:val="1038"/>
        </w:numPr>
      </w:pPr>
      <w:r>
        <w:t xml:space="preserve">30% pour l’Antenne Nationale</w:t>
      </w:r>
    </w:p>
    <w:p>
      <w:pPr>
        <w:numPr>
          <w:ilvl w:val="0"/>
          <w:numId w:val="1038"/>
        </w:numPr>
      </w:pPr>
      <w:r>
        <w:t xml:space="preserve">20% pour le niveau international</w:t>
      </w:r>
    </w:p>
    <w:p>
      <w:pPr>
        <w:pStyle w:val="FirstParagraph"/>
      </w:pPr>
      <w:r>
        <w:t xml:space="preserve">Les autres ressources sont gérées selon leur destination et les conventions spécifiques.</w:t>
      </w:r>
    </w:p>
    <w:bookmarkEnd w:id="60"/>
    <w:bookmarkStart w:id="61" w:name="article-24-fonds-spéciaux"/>
    <w:p>
      <w:pPr>
        <w:pStyle w:val="Heading3"/>
      </w:pPr>
      <w:r>
        <w:t xml:space="preserve">Article 24 : Fonds spéciaux</w:t>
      </w:r>
    </w:p>
    <w:p>
      <w:pPr>
        <w:pStyle w:val="FirstParagraph"/>
      </w:pPr>
      <w:r>
        <w:t xml:space="preserve">Le RJP met en place les fonds spéciaux suivants :</w:t>
      </w:r>
    </w:p>
    <w:p>
      <w:pPr>
        <w:numPr>
          <w:ilvl w:val="0"/>
          <w:numId w:val="1039"/>
        </w:numPr>
      </w:pPr>
      <w:r>
        <w:t xml:space="preserve">Fonds d’urgence pour la protection des jumeaux</w:t>
      </w:r>
    </w:p>
    <w:p>
      <w:pPr>
        <w:numPr>
          <w:ilvl w:val="0"/>
          <w:numId w:val="1039"/>
        </w:numPr>
      </w:pPr>
      <w:r>
        <w:t xml:space="preserve">Fonds de bourses éducatives</w:t>
      </w:r>
    </w:p>
    <w:p>
      <w:pPr>
        <w:numPr>
          <w:ilvl w:val="0"/>
          <w:numId w:val="1039"/>
        </w:numPr>
      </w:pPr>
      <w:r>
        <w:t xml:space="preserve">Fonds de recherche scientifique</w:t>
      </w:r>
    </w:p>
    <w:p>
      <w:pPr>
        <w:numPr>
          <w:ilvl w:val="0"/>
          <w:numId w:val="1039"/>
        </w:numPr>
      </w:pPr>
      <w:r>
        <w:t xml:space="preserve">Fonds de développement des Antennes Nationales</w:t>
      </w:r>
    </w:p>
    <w:p>
      <w:pPr>
        <w:pStyle w:val="FirstParagraph"/>
      </w:pPr>
      <w:r>
        <w:t xml:space="preserve">Ces fonds sont alimentés par des affectations spécifiques décidées par le Comité Exécutif International.</w:t>
      </w:r>
    </w:p>
    <w:bookmarkEnd w:id="61"/>
    <w:bookmarkStart w:id="62" w:name="article-25-gestion-financière"/>
    <w:p>
      <w:pPr>
        <w:pStyle w:val="Heading3"/>
      </w:pPr>
      <w:r>
        <w:t xml:space="preserve">Article 25 : Gestion financière</w:t>
      </w:r>
    </w:p>
    <w:p>
      <w:pPr>
        <w:pStyle w:val="FirstParagraph"/>
      </w:pPr>
      <w:r>
        <w:t xml:space="preserve">La gestion financière du RJP est assurée à chaque niveau par le Trésorier sous la responsabilité du Président de l’instance concernée.</w:t>
      </w:r>
    </w:p>
    <w:p>
      <w:pPr>
        <w:pStyle w:val="BodyText"/>
      </w:pPr>
      <w:r>
        <w:t xml:space="preserve">Un compte bancaire est ouvert pour chaque niveau de l’organisation avec double signature.</w:t>
      </w:r>
    </w:p>
    <w:p>
      <w:pPr>
        <w:pStyle w:val="BodyText"/>
      </w:pPr>
      <w:r>
        <w:t xml:space="preserve">Un rapport financier annuel est présenté à chaque niveau et consolidé au niveau international.</w:t>
      </w:r>
    </w:p>
    <w:bookmarkEnd w:id="62"/>
    <w:bookmarkStart w:id="63" w:name="article-26-contrôle-financier"/>
    <w:p>
      <w:pPr>
        <w:pStyle w:val="Heading3"/>
      </w:pPr>
      <w:r>
        <w:t xml:space="preserve">Article 26 : Contrôle financier</w:t>
      </w:r>
    </w:p>
    <w:p>
      <w:pPr>
        <w:pStyle w:val="FirstParagraph"/>
      </w:pPr>
      <w:r>
        <w:t xml:space="preserve">Un Commissaire aux comptes est nommé par le Conseil Mondial pour un mandat de deux ans.</w:t>
      </w:r>
    </w:p>
    <w:p>
      <w:pPr>
        <w:pStyle w:val="BodyText"/>
      </w:pPr>
      <w:r>
        <w:t xml:space="preserve">Une commission de contrôle financier est mise en place à chaque niveau de l’organisation.</w:t>
      </w:r>
    </w:p>
    <w:p>
      <w:pPr>
        <w:pStyle w:val="BodyText"/>
      </w:pPr>
      <w:r>
        <w:t xml:space="preserve">Un audit externe peut être commandé par le Conseil Mondial.</w:t>
      </w:r>
    </w:p>
    <w:bookmarkEnd w:id="63"/>
    <w:bookmarkEnd w:id="64"/>
    <w:bookmarkStart w:id="70" w:name="titre-vi-dispositions-diverses"/>
    <w:p>
      <w:pPr>
        <w:pStyle w:val="Heading2"/>
      </w:pPr>
      <w:r>
        <w:t xml:space="preserve">TITRE VI : DISPOSITIONS DIVERSES</w:t>
      </w:r>
    </w:p>
    <w:bookmarkStart w:id="65" w:name="article-27-modification-des-statuts"/>
    <w:p>
      <w:pPr>
        <w:pStyle w:val="Heading3"/>
      </w:pPr>
      <w:r>
        <w:t xml:space="preserve">Article 27 : Modification des statuts</w:t>
      </w:r>
    </w:p>
    <w:p>
      <w:pPr>
        <w:pStyle w:val="FirstParagraph"/>
      </w:pPr>
      <w:r>
        <w:t xml:space="preserve">Les présents statuts ne peuvent être modifiés que par le Conseil Mondial statuant à la majorité des deux tiers des membres présents ou représentés.</w:t>
      </w:r>
    </w:p>
    <w:p>
      <w:pPr>
        <w:pStyle w:val="BodyText"/>
      </w:pPr>
      <w:r>
        <w:t xml:space="preserve">Toute proposition de modification doit être soumise au moins trois mois avant la session du Conseil Mondial et diffusée à tous les membres au moins un mois avant.</w:t>
      </w:r>
    </w:p>
    <w:bookmarkEnd w:id="65"/>
    <w:bookmarkStart w:id="66" w:name="article-28-règlement-intérieur"/>
    <w:p>
      <w:pPr>
        <w:pStyle w:val="Heading3"/>
      </w:pPr>
      <w:r>
        <w:t xml:space="preserve">Article 28 : Règlement intérieur</w:t>
      </w:r>
    </w:p>
    <w:p>
      <w:pPr>
        <w:pStyle w:val="FirstParagraph"/>
      </w:pPr>
      <w:r>
        <w:t xml:space="preserve">Un règlement intérieur est établi par le Comité Exécutif International et approuvé par le Conseil Mondial. Il précise les modalités d’application des présents statuts.</w:t>
      </w:r>
    </w:p>
    <w:bookmarkEnd w:id="66"/>
    <w:bookmarkStart w:id="67" w:name="article-29-dissolution"/>
    <w:p>
      <w:pPr>
        <w:pStyle w:val="Heading3"/>
      </w:pPr>
      <w:r>
        <w:t xml:space="preserve">Article 29 : Dissolution</w:t>
      </w:r>
    </w:p>
    <w:p>
      <w:pPr>
        <w:pStyle w:val="FirstParagraph"/>
      </w:pPr>
      <w:r>
        <w:t xml:space="preserve">La dissolution de l’Association ne peut être prononcée que par le Conseil Mondial statuant à la majorité des trois quarts des membres présents ou représentés.</w:t>
      </w:r>
    </w:p>
    <w:p>
      <w:pPr>
        <w:pStyle w:val="BodyText"/>
      </w:pPr>
      <w:r>
        <w:t xml:space="preserve">En cas de dissolution, le Conseil Mondial désigne un ou plusieurs commissaires chargés de la liquidation des biens de l’Association. L’actif net est attribué à une ou plusieurs associations poursuivant des buts similaires.</w:t>
      </w:r>
    </w:p>
    <w:bookmarkEnd w:id="67"/>
    <w:bookmarkStart w:id="68" w:name="article-30-dispositions-transitoires"/>
    <w:p>
      <w:pPr>
        <w:pStyle w:val="Heading3"/>
      </w:pPr>
      <w:r>
        <w:t xml:space="preserve">Article 30 : Dispositions transitoires</w:t>
      </w:r>
    </w:p>
    <w:p>
      <w:pPr>
        <w:pStyle w:val="FirstParagraph"/>
      </w:pPr>
      <w:r>
        <w:t xml:space="preserve">Un Comité Provisoire est chargé de la mise en place des structures du RJP pendant une période de deux ans à compter de l’adoption des présents statuts.</w:t>
      </w:r>
    </w:p>
    <w:p>
      <w:pPr>
        <w:pStyle w:val="BodyText"/>
      </w:pPr>
      <w:r>
        <w:t xml:space="preserve">Le premier Conseil Mondial se réunira au plus tard dix-huit mois après l’adoption des statuts.</w:t>
      </w:r>
    </w:p>
    <w:bookmarkEnd w:id="68"/>
    <w:bookmarkStart w:id="69" w:name="article-31-entrée-en-vigueur"/>
    <w:p>
      <w:pPr>
        <w:pStyle w:val="Heading3"/>
      </w:pPr>
      <w:r>
        <w:t xml:space="preserve">Article 31 : Entrée en vigueur</w:t>
      </w:r>
    </w:p>
    <w:p>
      <w:pPr>
        <w:pStyle w:val="FirstParagraph"/>
      </w:pPr>
      <w:r>
        <w:t xml:space="preserve">Les présents statuts entrent en vigueur dès leur adoption par l’Assemblée Constitutive.</w:t>
      </w:r>
    </w:p>
    <w:p>
      <w:pPr>
        <w:pStyle w:val="BodyText"/>
      </w:pPr>
      <w:r>
        <w:t xml:space="preserve">Fait à Abidjan, le [date]</w:t>
      </w:r>
    </w:p>
    <w:p>
      <w:pPr>
        <w:pStyle w:val="BodyText"/>
      </w:pPr>
      <w:r>
        <w:t xml:space="preserve">Le Président Fondateur                          Le Secrétaire Général Fondateur [Nom et signature]                              [Nom et signature]</w:t>
      </w:r>
    </w:p>
    <w:bookmarkEnd w:id="69"/>
    <w:bookmarkEnd w:id="70"/>
    <w:bookmarkEnd w:id="71"/>
    <w:bookmarkStart w:id="170" w:name="Xd3862dcc026c3118246b0fe1606cd86b97174f7"/>
    <w:p>
      <w:pPr>
        <w:pStyle w:val="Heading1"/>
      </w:pPr>
      <w:r>
        <w:t xml:space="preserve">RÈGLEMENT INTÉRIEUR DU RÉSEAU DES JUMEAUX &amp; PLUS (RJP)</w:t>
      </w:r>
    </w:p>
    <w:bookmarkStart w:id="72" w:name="préambule-1"/>
    <w:p>
      <w:pPr>
        <w:pStyle w:val="Heading2"/>
      </w:pPr>
      <w:r>
        <w:t xml:space="preserve">PRÉAMBULE</w:t>
      </w:r>
    </w:p>
    <w:p>
      <w:pPr>
        <w:pStyle w:val="FirstParagraph"/>
      </w:pPr>
      <w:r>
        <w:t xml:space="preserve">Le présent Règlement Intérieur est établi en application de l’article 28 des Statuts du Réseau des Jumeaux &amp; Plus (RJP), eux-mêmes adoptés conformément à l’Ordonnance n°2024-368 du 12 juin 2024 relative aux associations. Il a pour objet de préciser et compléter les règles de fonctionnement de l’Association. Il est opposable à tous les membres au même titre que les Statuts.</w:t>
      </w:r>
    </w:p>
    <w:bookmarkEnd w:id="72"/>
    <w:bookmarkStart w:id="93" w:name="titre-i-adhésion-et-membres"/>
    <w:p>
      <w:pPr>
        <w:pStyle w:val="Heading2"/>
      </w:pPr>
      <w:r>
        <w:t xml:space="preserve">TITRE I : ADHÉSION ET MEMBRES</w:t>
      </w:r>
    </w:p>
    <w:bookmarkStart w:id="77" w:name="article-1-procédure-détaillée-dadhésion"/>
    <w:p>
      <w:pPr>
        <w:pStyle w:val="Heading3"/>
      </w:pPr>
      <w:r>
        <w:t xml:space="preserve">Article 1 : Procédure détaillée d’adhésion</w:t>
      </w:r>
    </w:p>
    <w:bookmarkStart w:id="73" w:name="formalités-dadhésion"/>
    <w:p>
      <w:pPr>
        <w:pStyle w:val="Heading4"/>
      </w:pPr>
      <w:r>
        <w:t xml:space="preserve">1.1. Formalités d’adhésion</w:t>
      </w:r>
    </w:p>
    <w:p>
      <w:pPr>
        <w:pStyle w:val="FirstParagraph"/>
      </w:pPr>
      <w:r>
        <w:t xml:space="preserve">Toute demande d’adhésion au RJP doit être formulée par écrit à l’aide du formulaire officiel disponible auprès des Sections Communales, des Antennes Nationales ou sur le site internet de l’Association.</w:t>
      </w:r>
    </w:p>
    <w:p>
      <w:pPr>
        <w:pStyle w:val="BodyText"/>
      </w:pPr>
      <w:r>
        <w:t xml:space="preserve">Le formulaire doit être accompagné des pièces suivantes :</w:t>
      </w:r>
    </w:p>
    <w:p>
      <w:pPr>
        <w:numPr>
          <w:ilvl w:val="0"/>
          <w:numId w:val="1040"/>
        </w:numPr>
      </w:pPr>
      <w:r>
        <w:t xml:space="preserve">Photocopie d’une pièce d’identité</w:t>
      </w:r>
    </w:p>
    <w:p>
      <w:pPr>
        <w:numPr>
          <w:ilvl w:val="0"/>
          <w:numId w:val="1040"/>
        </w:numPr>
      </w:pPr>
      <w:r>
        <w:t xml:space="preserve">Pour les jumeaux : acte de naissance ou document attestant la gémellité</w:t>
      </w:r>
    </w:p>
    <w:p>
      <w:pPr>
        <w:numPr>
          <w:ilvl w:val="0"/>
          <w:numId w:val="1040"/>
        </w:numPr>
      </w:pPr>
      <w:r>
        <w:t xml:space="preserve">Pour les parents de jumeaux : acte de naissance des enfants</w:t>
      </w:r>
    </w:p>
    <w:p>
      <w:pPr>
        <w:numPr>
          <w:ilvl w:val="0"/>
          <w:numId w:val="1040"/>
        </w:numPr>
      </w:pPr>
      <w:r>
        <w:t xml:space="preserve">Deux photos d’identité</w:t>
      </w:r>
    </w:p>
    <w:p>
      <w:pPr>
        <w:numPr>
          <w:ilvl w:val="0"/>
          <w:numId w:val="1040"/>
        </w:numPr>
      </w:pPr>
      <w:r>
        <w:t xml:space="preserve">Le montant des droits d’adhésion</w:t>
      </w:r>
    </w:p>
    <w:bookmarkEnd w:id="73"/>
    <w:bookmarkStart w:id="74" w:name="traitement-de-la-demande"/>
    <w:p>
      <w:pPr>
        <w:pStyle w:val="Heading4"/>
      </w:pPr>
      <w:r>
        <w:t xml:space="preserve">1.2. Traitement de la demande</w:t>
      </w:r>
    </w:p>
    <w:p>
      <w:pPr>
        <w:pStyle w:val="FirstParagraph"/>
      </w:pPr>
      <w:r>
        <w:t xml:space="preserve">La demande est transmise au Bureau Exécutif de la Section Communale concernée qui statue dans un délai maximum de trente jours.</w:t>
      </w:r>
    </w:p>
    <w:p>
      <w:pPr>
        <w:pStyle w:val="BodyText"/>
      </w:pPr>
      <w:r>
        <w:t xml:space="preserve">En cas d’acceptation, une carte de membre est délivrée à l’adhérent qui est inscrit au registre des membres de la Section et de l’Association.</w:t>
      </w:r>
    </w:p>
    <w:p>
      <w:pPr>
        <w:pStyle w:val="BodyText"/>
      </w:pPr>
      <w:r>
        <w:t xml:space="preserve">En cas de rejet, la décision motivée est notifiée par écrit au demandeur qui peut faire appel devant le Comité Exécutif de l’Antenne Nationale dans un délai de quinze jours.</w:t>
      </w:r>
    </w:p>
    <w:bookmarkEnd w:id="74"/>
    <w:bookmarkStart w:id="75" w:name="parrainage"/>
    <w:p>
      <w:pPr>
        <w:pStyle w:val="Heading4"/>
      </w:pPr>
      <w:r>
        <w:t xml:space="preserve">1.3. Parrainage</w:t>
      </w:r>
    </w:p>
    <w:p>
      <w:pPr>
        <w:pStyle w:val="FirstParagraph"/>
      </w:pPr>
      <w:r>
        <w:t xml:space="preserve">Chaque nouvelle adhésion doit être parrainée par au moins un membre actif du RJP ayant au minimum un an d’ancienneté.</w:t>
      </w:r>
    </w:p>
    <w:bookmarkEnd w:id="75"/>
    <w:bookmarkStart w:id="76" w:name="période-probatoire"/>
    <w:p>
      <w:pPr>
        <w:pStyle w:val="Heading4"/>
      </w:pPr>
      <w:r>
        <w:t xml:space="preserve">1.4. Période probatoire</w:t>
      </w:r>
    </w:p>
    <w:p>
      <w:pPr>
        <w:pStyle w:val="FirstParagraph"/>
      </w:pPr>
      <w:r>
        <w:t xml:space="preserve">Les nouveaux membres sont soumis à une période probatoire de trois mois pendant laquelle ils ne disposent pas du droit de vote ni d’éligibilité aux instances dirigeantes.</w:t>
      </w:r>
    </w:p>
    <w:bookmarkEnd w:id="76"/>
    <w:bookmarkEnd w:id="77"/>
    <w:bookmarkStart w:id="81" w:name="X4606968b5b6b1a97cc7b149af111d7bd3aabeac"/>
    <w:p>
      <w:pPr>
        <w:pStyle w:val="Heading3"/>
      </w:pPr>
      <w:r>
        <w:t xml:space="preserve">Article 2 : Droits et privilèges détaillés des membres</w:t>
      </w:r>
    </w:p>
    <w:bookmarkStart w:id="78" w:name="carte-de-membre"/>
    <w:p>
      <w:pPr>
        <w:pStyle w:val="Heading4"/>
      </w:pPr>
      <w:r>
        <w:t xml:space="preserve">2.1. Carte de membre</w:t>
      </w:r>
    </w:p>
    <w:p>
      <w:pPr>
        <w:pStyle w:val="FirstParagraph"/>
      </w:pPr>
      <w:r>
        <w:t xml:space="preserve">Chaque membre reçoit une carte de membre numérotée et nominative, valable pour l’année en cours et renouvelable après paiement des cotisations.</w:t>
      </w:r>
    </w:p>
    <w:bookmarkEnd w:id="78"/>
    <w:bookmarkStart w:id="79" w:name="accès-aux-services"/>
    <w:p>
      <w:pPr>
        <w:pStyle w:val="Heading4"/>
      </w:pPr>
      <w:r>
        <w:t xml:space="preserve">2.2. Accès aux services</w:t>
      </w:r>
    </w:p>
    <w:p>
      <w:pPr>
        <w:pStyle w:val="FirstParagraph"/>
      </w:pPr>
      <w:r>
        <w:t xml:space="preserve">Les membres bénéficient des services suivants selon leur catégorie :</w:t>
      </w:r>
    </w:p>
    <w:p>
      <w:pPr>
        <w:pStyle w:val="BodyText"/>
      </w:pPr>
      <w:r>
        <w:rPr>
          <w:bCs/>
          <w:b/>
        </w:rPr>
        <w:t xml:space="preserve">Membres actifs</w:t>
      </w:r>
      <w:r>
        <w:t xml:space="preserve"> :</w:t>
      </w:r>
    </w:p>
    <w:p>
      <w:pPr>
        <w:numPr>
          <w:ilvl w:val="0"/>
          <w:numId w:val="1041"/>
        </w:numPr>
      </w:pPr>
      <w:r>
        <w:t xml:space="preserve">Accès prioritaire à tous les programmes d’aide et de soutien</w:t>
      </w:r>
    </w:p>
    <w:p>
      <w:pPr>
        <w:numPr>
          <w:ilvl w:val="0"/>
          <w:numId w:val="1041"/>
        </w:numPr>
      </w:pPr>
      <w:r>
        <w:t xml:space="preserve">Participation gratuite ou à tarif réduit aux événements</w:t>
      </w:r>
    </w:p>
    <w:p>
      <w:pPr>
        <w:numPr>
          <w:ilvl w:val="0"/>
          <w:numId w:val="1041"/>
        </w:numPr>
      </w:pPr>
      <w:r>
        <w:t xml:space="preserve">Accès à la plateforme numérique du RJP</w:t>
      </w:r>
    </w:p>
    <w:p>
      <w:pPr>
        <w:numPr>
          <w:ilvl w:val="0"/>
          <w:numId w:val="1041"/>
        </w:numPr>
      </w:pPr>
      <w:r>
        <w:t xml:space="preserve">Abonnement à la newsletter mensuelle</w:t>
      </w:r>
    </w:p>
    <w:p>
      <w:pPr>
        <w:numPr>
          <w:ilvl w:val="0"/>
          <w:numId w:val="1041"/>
        </w:numPr>
      </w:pPr>
      <w:r>
        <w:t xml:space="preserve">Accès aux formations et ateliers organisés par le RJP</w:t>
      </w:r>
    </w:p>
    <w:p>
      <w:pPr>
        <w:pStyle w:val="FirstParagraph"/>
      </w:pPr>
      <w:r>
        <w:rPr>
          <w:bCs/>
          <w:b/>
        </w:rPr>
        <w:t xml:space="preserve">Membres bienfaiteurs</w:t>
      </w:r>
      <w:r>
        <w:t xml:space="preserve"> :</w:t>
      </w:r>
    </w:p>
    <w:p>
      <w:pPr>
        <w:numPr>
          <w:ilvl w:val="0"/>
          <w:numId w:val="1042"/>
        </w:numPr>
      </w:pPr>
      <w:r>
        <w:t xml:space="preserve">Mention dans le rapport annuel d’activités</w:t>
      </w:r>
    </w:p>
    <w:p>
      <w:pPr>
        <w:numPr>
          <w:ilvl w:val="0"/>
          <w:numId w:val="1042"/>
        </w:numPr>
      </w:pPr>
      <w:r>
        <w:t xml:space="preserve">Invitation aux événements de prestige</w:t>
      </w:r>
    </w:p>
    <w:p>
      <w:pPr>
        <w:numPr>
          <w:ilvl w:val="0"/>
          <w:numId w:val="1042"/>
        </w:numPr>
      </w:pPr>
      <w:r>
        <w:t xml:space="preserve">Certificat annuel de reconnaissance</w:t>
      </w:r>
    </w:p>
    <w:p>
      <w:pPr>
        <w:numPr>
          <w:ilvl w:val="0"/>
          <w:numId w:val="1042"/>
        </w:numPr>
      </w:pPr>
      <w:r>
        <w:t xml:space="preserve">Accès privilégié aux publications du RJP</w:t>
      </w:r>
    </w:p>
    <w:p>
      <w:pPr>
        <w:pStyle w:val="FirstParagraph"/>
      </w:pPr>
      <w:r>
        <w:rPr>
          <w:bCs/>
          <w:b/>
        </w:rPr>
        <w:t xml:space="preserve">Membres d’honneur</w:t>
      </w:r>
      <w:r>
        <w:t xml:space="preserve"> :</w:t>
      </w:r>
    </w:p>
    <w:p>
      <w:pPr>
        <w:numPr>
          <w:ilvl w:val="0"/>
          <w:numId w:val="1043"/>
        </w:numPr>
      </w:pPr>
      <w:r>
        <w:t xml:space="preserve">Invitation à tous les événements officiels</w:t>
      </w:r>
    </w:p>
    <w:p>
      <w:pPr>
        <w:numPr>
          <w:ilvl w:val="0"/>
          <w:numId w:val="1043"/>
        </w:numPr>
      </w:pPr>
      <w:r>
        <w:t xml:space="preserve">Tribune libre dans les publications du RJP</w:t>
      </w:r>
    </w:p>
    <w:p>
      <w:pPr>
        <w:numPr>
          <w:ilvl w:val="0"/>
          <w:numId w:val="1043"/>
        </w:numPr>
      </w:pPr>
      <w:r>
        <w:t xml:space="preserve">Priorité d’intervention lors des conférences</w:t>
      </w:r>
    </w:p>
    <w:p>
      <w:pPr>
        <w:pStyle w:val="FirstParagraph"/>
      </w:pPr>
      <w:r>
        <w:rPr>
          <w:bCs/>
          <w:b/>
        </w:rPr>
        <w:t xml:space="preserve">Ambassadeurs RJP</w:t>
      </w:r>
      <w:r>
        <w:t xml:space="preserve"> :</w:t>
      </w:r>
    </w:p>
    <w:p>
      <w:pPr>
        <w:numPr>
          <w:ilvl w:val="0"/>
          <w:numId w:val="1044"/>
        </w:numPr>
      </w:pPr>
      <w:r>
        <w:t xml:space="preserve">Kit officiel de représentation</w:t>
      </w:r>
    </w:p>
    <w:p>
      <w:pPr>
        <w:numPr>
          <w:ilvl w:val="0"/>
          <w:numId w:val="1044"/>
        </w:numPr>
      </w:pPr>
      <w:r>
        <w:t xml:space="preserve">Prise en charge des déplacements officiels</w:t>
      </w:r>
    </w:p>
    <w:p>
      <w:pPr>
        <w:numPr>
          <w:ilvl w:val="0"/>
          <w:numId w:val="1044"/>
        </w:numPr>
      </w:pPr>
      <w:r>
        <w:t xml:space="preserve">Accès direct aux instances dirigeantes</w:t>
      </w:r>
    </w:p>
    <w:p>
      <w:pPr>
        <w:numPr>
          <w:ilvl w:val="0"/>
          <w:numId w:val="1044"/>
        </w:numPr>
      </w:pPr>
      <w:r>
        <w:t xml:space="preserve">Support logistique pour les actions de représentation</w:t>
      </w:r>
    </w:p>
    <w:p>
      <w:pPr>
        <w:pStyle w:val="FirstParagraph"/>
      </w:pPr>
      <w:r>
        <w:rPr>
          <w:bCs/>
          <w:b/>
        </w:rPr>
        <w:t xml:space="preserve">Super-Héros RJP</w:t>
      </w:r>
      <w:r>
        <w:t xml:space="preserve"> :</w:t>
      </w:r>
    </w:p>
    <w:p>
      <w:pPr>
        <w:numPr>
          <w:ilvl w:val="0"/>
          <w:numId w:val="1045"/>
        </w:numPr>
      </w:pPr>
      <w:r>
        <w:t xml:space="preserve">Uniforme et badge distinctifs</w:t>
      </w:r>
    </w:p>
    <w:p>
      <w:pPr>
        <w:numPr>
          <w:ilvl w:val="0"/>
          <w:numId w:val="1045"/>
        </w:numPr>
      </w:pPr>
      <w:r>
        <w:t xml:space="preserve">Formation spécifique à la mission</w:t>
      </w:r>
    </w:p>
    <w:p>
      <w:pPr>
        <w:numPr>
          <w:ilvl w:val="0"/>
          <w:numId w:val="1045"/>
        </w:numPr>
      </w:pPr>
      <w:r>
        <w:t xml:space="preserve">Indemnités de déplacement</w:t>
      </w:r>
    </w:p>
    <w:p>
      <w:pPr>
        <w:numPr>
          <w:ilvl w:val="0"/>
          <w:numId w:val="1045"/>
        </w:numPr>
      </w:pPr>
      <w:r>
        <w:t xml:space="preserve">Accès aux réunions stratégiques de leur niveau</w:t>
      </w:r>
    </w:p>
    <w:bookmarkEnd w:id="79"/>
    <w:bookmarkStart w:id="80" w:name="participation-à-la-vie-associative"/>
    <w:p>
      <w:pPr>
        <w:pStyle w:val="Heading4"/>
      </w:pPr>
      <w:r>
        <w:t xml:space="preserve">2.3. Participation à la vie associative</w:t>
      </w:r>
    </w:p>
    <w:p>
      <w:pPr>
        <w:pStyle w:val="FirstParagraph"/>
      </w:pPr>
      <w:r>
        <w:t xml:space="preserve">Les membres actifs à jour de cotisation peuvent :</w:t>
      </w:r>
    </w:p>
    <w:p>
      <w:pPr>
        <w:numPr>
          <w:ilvl w:val="0"/>
          <w:numId w:val="1046"/>
        </w:numPr>
      </w:pPr>
      <w:r>
        <w:t xml:space="preserve">Voter aux Assemblées Générales de leur niveau</w:t>
      </w:r>
    </w:p>
    <w:p>
      <w:pPr>
        <w:numPr>
          <w:ilvl w:val="0"/>
          <w:numId w:val="1046"/>
        </w:numPr>
      </w:pPr>
      <w:r>
        <w:t xml:space="preserve">Présenter leur candidature aux postes électifs selon les conditions d’éligibilité</w:t>
      </w:r>
    </w:p>
    <w:p>
      <w:pPr>
        <w:numPr>
          <w:ilvl w:val="0"/>
          <w:numId w:val="1046"/>
        </w:numPr>
      </w:pPr>
      <w:r>
        <w:t xml:space="preserve">Proposer des projets d’action au Bureau de leur Section</w:t>
      </w:r>
    </w:p>
    <w:p>
      <w:pPr>
        <w:numPr>
          <w:ilvl w:val="0"/>
          <w:numId w:val="1046"/>
        </w:numPr>
      </w:pPr>
      <w:r>
        <w:t xml:space="preserve">Participer aux commissions thématiques</w:t>
      </w:r>
    </w:p>
    <w:p>
      <w:pPr>
        <w:numPr>
          <w:ilvl w:val="0"/>
          <w:numId w:val="1046"/>
        </w:numPr>
      </w:pPr>
      <w:r>
        <w:t xml:space="preserve">Représenter l’Association sur mandat explicite</w:t>
      </w:r>
    </w:p>
    <w:bookmarkEnd w:id="80"/>
    <w:bookmarkEnd w:id="81"/>
    <w:bookmarkStart w:id="86" w:name="Xb043f122828c9777f8c5023c874e8dead8e2ff0"/>
    <w:p>
      <w:pPr>
        <w:pStyle w:val="Heading3"/>
      </w:pPr>
      <w:r>
        <w:t xml:space="preserve">Article 3 : Cotisations et contributions financières</w:t>
      </w:r>
    </w:p>
    <w:bookmarkStart w:id="82" w:name="modalités-de-paiement"/>
    <w:p>
      <w:pPr>
        <w:pStyle w:val="Heading4"/>
      </w:pPr>
      <w:r>
        <w:t xml:space="preserve">3.1. Modalités de paiement</w:t>
      </w:r>
    </w:p>
    <w:p>
      <w:pPr>
        <w:pStyle w:val="FirstParagraph"/>
      </w:pPr>
      <w:r>
        <w:t xml:space="preserve">Les cotisations sont payables trimestriellement, au plus tard le 15 du premier mois de chaque trimestre. Le paiement peut être effectué :</w:t>
      </w:r>
    </w:p>
    <w:p>
      <w:pPr>
        <w:numPr>
          <w:ilvl w:val="0"/>
          <w:numId w:val="1047"/>
        </w:numPr>
      </w:pPr>
      <w:r>
        <w:t xml:space="preserve">En espèces auprès du Trésorier de la Section</w:t>
      </w:r>
    </w:p>
    <w:p>
      <w:pPr>
        <w:numPr>
          <w:ilvl w:val="0"/>
          <w:numId w:val="1047"/>
        </w:numPr>
      </w:pPr>
      <w:r>
        <w:t xml:space="preserve">Par virement bancaire</w:t>
      </w:r>
    </w:p>
    <w:p>
      <w:pPr>
        <w:numPr>
          <w:ilvl w:val="0"/>
          <w:numId w:val="1047"/>
        </w:numPr>
      </w:pPr>
      <w:r>
        <w:t xml:space="preserve">Par paiement mobile selon les pays</w:t>
      </w:r>
    </w:p>
    <w:p>
      <w:pPr>
        <w:numPr>
          <w:ilvl w:val="0"/>
          <w:numId w:val="1047"/>
        </w:numPr>
      </w:pPr>
      <w:r>
        <w:t xml:space="preserve">En ligne via la plateforme sécurisée du RJP</w:t>
      </w:r>
    </w:p>
    <w:bookmarkEnd w:id="82"/>
    <w:bookmarkStart w:id="83" w:name="rappels-et-sanctions"/>
    <w:p>
      <w:pPr>
        <w:pStyle w:val="Heading4"/>
      </w:pPr>
      <w:r>
        <w:t xml:space="preserve">3.2. Rappels et sanctions</w:t>
      </w:r>
    </w:p>
    <w:p>
      <w:pPr>
        <w:pStyle w:val="FirstParagraph"/>
      </w:pPr>
      <w:r>
        <w:t xml:space="preserve">Un premier rappel est adressé au membre retardataire quinze jours après l’échéance. Un second rappel est envoyé un mois après l’échéance. Après deux trimestres impayés, le membre est considéré comme démissionnaire.</w:t>
      </w:r>
    </w:p>
    <w:bookmarkEnd w:id="83"/>
    <w:bookmarkStart w:id="84" w:name="dispenses-et-réductions"/>
    <w:p>
      <w:pPr>
        <w:pStyle w:val="Heading4"/>
      </w:pPr>
      <w:r>
        <w:t xml:space="preserve">3.3. Dispenses et réductions</w:t>
      </w:r>
    </w:p>
    <w:p>
      <w:pPr>
        <w:pStyle w:val="FirstParagraph"/>
      </w:pPr>
      <w:r>
        <w:t xml:space="preserve">Des dispenses ou réductions temporaires de cotisation peuvent être accordées :</w:t>
      </w:r>
    </w:p>
    <w:p>
      <w:pPr>
        <w:numPr>
          <w:ilvl w:val="0"/>
          <w:numId w:val="1048"/>
        </w:numPr>
      </w:pPr>
      <w:r>
        <w:t xml:space="preserve">Aux membres en situation financière difficile (sur justificatif)</w:t>
      </w:r>
    </w:p>
    <w:p>
      <w:pPr>
        <w:numPr>
          <w:ilvl w:val="0"/>
          <w:numId w:val="1048"/>
        </w:numPr>
      </w:pPr>
      <w:r>
        <w:t xml:space="preserve">Aux membres particulièrement actifs dans le bénévolat</w:t>
      </w:r>
    </w:p>
    <w:p>
      <w:pPr>
        <w:numPr>
          <w:ilvl w:val="0"/>
          <w:numId w:val="1048"/>
        </w:numPr>
      </w:pPr>
      <w:r>
        <w:t xml:space="preserve">Aux membres dont les jumeaux sont eux-mêmes membres actifs</w:t>
      </w:r>
    </w:p>
    <w:p>
      <w:pPr>
        <w:pStyle w:val="FirstParagraph"/>
      </w:pPr>
      <w:r>
        <w:t xml:space="preserve">Ces dispenses sont accordées par le Bureau de la Section sur demande motivée.</w:t>
      </w:r>
    </w:p>
    <w:bookmarkEnd w:id="84"/>
    <w:bookmarkStart w:id="85" w:name="contributions-exceptionnelles"/>
    <w:p>
      <w:pPr>
        <w:pStyle w:val="Heading4"/>
      </w:pPr>
      <w:r>
        <w:t xml:space="preserve">3.4. Contributions exceptionnelles</w:t>
      </w:r>
    </w:p>
    <w:p>
      <w:pPr>
        <w:pStyle w:val="FirstParagraph"/>
      </w:pPr>
      <w:r>
        <w:t xml:space="preserve">Des contributions exceptionnelles peuvent être sollicitées pour des projets spécifiques ou des situations d’urgence. Ces contributions sont toujours volontaires.</w:t>
      </w:r>
    </w:p>
    <w:bookmarkEnd w:id="85"/>
    <w:bookmarkEnd w:id="86"/>
    <w:bookmarkStart w:id="92" w:name="article-4-procédure-disciplinaire"/>
    <w:p>
      <w:pPr>
        <w:pStyle w:val="Heading3"/>
      </w:pPr>
      <w:r>
        <w:t xml:space="preserve">Article 4 : Procédure disciplinaire</w:t>
      </w:r>
    </w:p>
    <w:bookmarkStart w:id="87" w:name="fautes-disciplinaires"/>
    <w:p>
      <w:pPr>
        <w:pStyle w:val="Heading4"/>
      </w:pPr>
      <w:r>
        <w:t xml:space="preserve">4.1. Fautes disciplinaires</w:t>
      </w:r>
    </w:p>
    <w:p>
      <w:pPr>
        <w:pStyle w:val="FirstParagraph"/>
      </w:pPr>
      <w:r>
        <w:t xml:space="preserve">Sont considérés comme fautes disciplinaires :</w:t>
      </w:r>
    </w:p>
    <w:p>
      <w:pPr>
        <w:numPr>
          <w:ilvl w:val="0"/>
          <w:numId w:val="1049"/>
        </w:numPr>
      </w:pPr>
      <w:r>
        <w:t xml:space="preserve">Le non-respect des Statuts et du Règlement Intérieur</w:t>
      </w:r>
    </w:p>
    <w:p>
      <w:pPr>
        <w:numPr>
          <w:ilvl w:val="0"/>
          <w:numId w:val="1049"/>
        </w:numPr>
      </w:pPr>
      <w:r>
        <w:t xml:space="preserve">Tout acte préjudiciable à l’image ou aux intérêts de l’Association</w:t>
      </w:r>
    </w:p>
    <w:p>
      <w:pPr>
        <w:numPr>
          <w:ilvl w:val="0"/>
          <w:numId w:val="1049"/>
        </w:numPr>
      </w:pPr>
      <w:r>
        <w:t xml:space="preserve">L’utilisation abusive du nom ou du logo de l’Association</w:t>
      </w:r>
    </w:p>
    <w:p>
      <w:pPr>
        <w:numPr>
          <w:ilvl w:val="0"/>
          <w:numId w:val="1049"/>
        </w:numPr>
      </w:pPr>
      <w:r>
        <w:t xml:space="preserve">Le détournement de fonds ou de biens de l’Association</w:t>
      </w:r>
    </w:p>
    <w:p>
      <w:pPr>
        <w:numPr>
          <w:ilvl w:val="0"/>
          <w:numId w:val="1049"/>
        </w:numPr>
      </w:pPr>
      <w:r>
        <w:t xml:space="preserve">Le comportement inapproprié lors des activités</w:t>
      </w:r>
    </w:p>
    <w:p>
      <w:pPr>
        <w:numPr>
          <w:ilvl w:val="0"/>
          <w:numId w:val="1049"/>
        </w:numPr>
      </w:pPr>
      <w:r>
        <w:t xml:space="preserve">Les propos diffamatoires à l’égard de l’Association ou de ses membres</w:t>
      </w:r>
    </w:p>
    <w:p>
      <w:pPr>
        <w:numPr>
          <w:ilvl w:val="0"/>
          <w:numId w:val="1049"/>
        </w:numPr>
      </w:pPr>
      <w:r>
        <w:t xml:space="preserve">Tout acte contraire à l’éthique de l’Association</w:t>
      </w:r>
    </w:p>
    <w:bookmarkEnd w:id="87"/>
    <w:bookmarkStart w:id="88" w:name="sanctions-applicables"/>
    <w:p>
      <w:pPr>
        <w:pStyle w:val="Heading4"/>
      </w:pPr>
      <w:r>
        <w:t xml:space="preserve">4.2. Sanctions applicables</w:t>
      </w:r>
    </w:p>
    <w:p>
      <w:pPr>
        <w:pStyle w:val="FirstParagraph"/>
      </w:pPr>
      <w:r>
        <w:t xml:space="preserve">Les sanctions applicables, par ordre de gravité, sont :</w:t>
      </w:r>
    </w:p>
    <w:p>
      <w:pPr>
        <w:numPr>
          <w:ilvl w:val="0"/>
          <w:numId w:val="1050"/>
        </w:numPr>
      </w:pPr>
      <w:r>
        <w:t xml:space="preserve">L’avertissement verbal</w:t>
      </w:r>
    </w:p>
    <w:p>
      <w:pPr>
        <w:numPr>
          <w:ilvl w:val="0"/>
          <w:numId w:val="1050"/>
        </w:numPr>
      </w:pPr>
      <w:r>
        <w:t xml:space="preserve">L’avertissement écrit</w:t>
      </w:r>
    </w:p>
    <w:p>
      <w:pPr>
        <w:numPr>
          <w:ilvl w:val="0"/>
          <w:numId w:val="1050"/>
        </w:numPr>
      </w:pPr>
      <w:r>
        <w:t xml:space="preserve">La suspension temporaire</w:t>
      </w:r>
    </w:p>
    <w:p>
      <w:pPr>
        <w:numPr>
          <w:ilvl w:val="0"/>
          <w:numId w:val="1050"/>
        </w:numPr>
      </w:pPr>
      <w:r>
        <w:t xml:space="preserve">La déchéance des fonctions électives</w:t>
      </w:r>
    </w:p>
    <w:p>
      <w:pPr>
        <w:numPr>
          <w:ilvl w:val="0"/>
          <w:numId w:val="1050"/>
        </w:numPr>
      </w:pPr>
      <w:r>
        <w:t xml:space="preserve">L’exclusion définitive</w:t>
      </w:r>
    </w:p>
    <w:bookmarkEnd w:id="88"/>
    <w:bookmarkStart w:id="89" w:name="procédure-contradictoire"/>
    <w:p>
      <w:pPr>
        <w:pStyle w:val="Heading4"/>
      </w:pPr>
      <w:r>
        <w:t xml:space="preserve">4.3. Procédure contradictoire</w:t>
      </w:r>
    </w:p>
    <w:p>
      <w:pPr>
        <w:pStyle w:val="FirstParagraph"/>
      </w:pPr>
      <w:r>
        <w:t xml:space="preserve">Toute sanction doit être précédée d’une procédure contradictoire :</w:t>
      </w:r>
    </w:p>
    <w:p>
      <w:pPr>
        <w:numPr>
          <w:ilvl w:val="0"/>
          <w:numId w:val="1051"/>
        </w:numPr>
      </w:pPr>
      <w:r>
        <w:t xml:space="preserve">Notification écrite des griefs adressée au membre concerné</w:t>
      </w:r>
    </w:p>
    <w:p>
      <w:pPr>
        <w:numPr>
          <w:ilvl w:val="0"/>
          <w:numId w:val="1051"/>
        </w:numPr>
      </w:pPr>
      <w:r>
        <w:t xml:space="preserve">Convocation à une audition devant l’organe disciplinaire avec un préavis minimum de quinze jours</w:t>
      </w:r>
    </w:p>
    <w:p>
      <w:pPr>
        <w:numPr>
          <w:ilvl w:val="0"/>
          <w:numId w:val="1051"/>
        </w:numPr>
      </w:pPr>
      <w:r>
        <w:t xml:space="preserve">Possibilité pour le membre de se faire assister par un autre membre de son choix</w:t>
      </w:r>
    </w:p>
    <w:p>
      <w:pPr>
        <w:numPr>
          <w:ilvl w:val="0"/>
          <w:numId w:val="1051"/>
        </w:numPr>
      </w:pPr>
      <w:r>
        <w:t xml:space="preserve">Délibération hors la présence du membre concerné</w:t>
      </w:r>
    </w:p>
    <w:p>
      <w:pPr>
        <w:numPr>
          <w:ilvl w:val="0"/>
          <w:numId w:val="1051"/>
        </w:numPr>
      </w:pPr>
      <w:r>
        <w:t xml:space="preserve">Notification motivée de la décision dans les huit jours</w:t>
      </w:r>
    </w:p>
    <w:bookmarkEnd w:id="89"/>
    <w:bookmarkStart w:id="90" w:name="instances-disciplinaires"/>
    <w:p>
      <w:pPr>
        <w:pStyle w:val="Heading4"/>
      </w:pPr>
      <w:r>
        <w:t xml:space="preserve">4.4. Instances disciplinaires</w:t>
      </w:r>
    </w:p>
    <w:p>
      <w:pPr>
        <w:pStyle w:val="FirstParagraph"/>
      </w:pPr>
      <w:r>
        <w:t xml:space="preserve">L’organe disciplinaire est :</w:t>
      </w:r>
    </w:p>
    <w:p>
      <w:pPr>
        <w:numPr>
          <w:ilvl w:val="0"/>
          <w:numId w:val="1052"/>
        </w:numPr>
      </w:pPr>
      <w:r>
        <w:t xml:space="preserve">Le Bureau Exécutif de la Section pour l’avertissement</w:t>
      </w:r>
    </w:p>
    <w:p>
      <w:pPr>
        <w:numPr>
          <w:ilvl w:val="0"/>
          <w:numId w:val="1052"/>
        </w:numPr>
      </w:pPr>
      <w:r>
        <w:t xml:space="preserve">Le Comité Exécutif de l’Antenne Nationale pour la suspension et l’exclusion</w:t>
      </w:r>
    </w:p>
    <w:p>
      <w:pPr>
        <w:numPr>
          <w:ilvl w:val="0"/>
          <w:numId w:val="1052"/>
        </w:numPr>
      </w:pPr>
      <w:r>
        <w:t xml:space="preserve">Le Comité Exécutif International pour les membres des instances dirigeantes</w:t>
      </w:r>
    </w:p>
    <w:bookmarkEnd w:id="90"/>
    <w:bookmarkStart w:id="91" w:name="recours"/>
    <w:p>
      <w:pPr>
        <w:pStyle w:val="Heading4"/>
      </w:pPr>
      <w:r>
        <w:t xml:space="preserve">4.5. Recours</w:t>
      </w:r>
    </w:p>
    <w:p>
      <w:pPr>
        <w:pStyle w:val="FirstParagraph"/>
      </w:pPr>
      <w:r>
        <w:t xml:space="preserve">Le membre sanctionné peut faire appel de la décision dans un délai de trente jours devant l’instance supérieure.</w:t>
      </w:r>
    </w:p>
    <w:p>
      <w:pPr>
        <w:pStyle w:val="BodyText"/>
      </w:pPr>
      <w:r>
        <w:t xml:space="preserve">Le recours est suspensif sauf pour les mesures conservatoires urgentes.</w:t>
      </w:r>
    </w:p>
    <w:bookmarkEnd w:id="91"/>
    <w:bookmarkEnd w:id="92"/>
    <w:bookmarkEnd w:id="93"/>
    <w:bookmarkStart w:id="118" w:name="X878aba802ba8c0c3db3941f6be079b6e1a84877"/>
    <w:p>
      <w:pPr>
        <w:pStyle w:val="Heading2"/>
      </w:pPr>
      <w:r>
        <w:t xml:space="preserve">TITRE II : ORGANISATION ET FONCTIONNEMENT DES INSTANCES</w:t>
      </w:r>
    </w:p>
    <w:bookmarkStart w:id="102" w:name="article-5-le-conseil-mondial"/>
    <w:p>
      <w:pPr>
        <w:pStyle w:val="Heading3"/>
      </w:pPr>
      <w:r>
        <w:t xml:space="preserve">Article 5 : Le Conseil Mondial</w:t>
      </w:r>
    </w:p>
    <w:bookmarkStart w:id="94" w:name="composition-détaillée"/>
    <w:p>
      <w:pPr>
        <w:pStyle w:val="Heading4"/>
      </w:pPr>
      <w:r>
        <w:t xml:space="preserve">5.1. Composition détaillée</w:t>
      </w:r>
    </w:p>
    <w:p>
      <w:pPr>
        <w:pStyle w:val="FirstParagraph"/>
      </w:pPr>
      <w:r>
        <w:t xml:space="preserve">Le Conseil Mondial comprend :</w:t>
      </w:r>
    </w:p>
    <w:p>
      <w:pPr>
        <w:numPr>
          <w:ilvl w:val="0"/>
          <w:numId w:val="1053"/>
        </w:numPr>
      </w:pPr>
      <w:r>
        <w:t xml:space="preserve">Les 7 membres fondateurs</w:t>
      </w:r>
    </w:p>
    <w:p>
      <w:pPr>
        <w:numPr>
          <w:ilvl w:val="0"/>
          <w:numId w:val="1053"/>
        </w:numPr>
      </w:pPr>
      <w:r>
        <w:t xml:space="preserve">Les Présidents des Antennes Nationales (1 par pays)</w:t>
      </w:r>
    </w:p>
    <w:p>
      <w:pPr>
        <w:numPr>
          <w:ilvl w:val="0"/>
          <w:numId w:val="1053"/>
        </w:numPr>
      </w:pPr>
      <w:r>
        <w:t xml:space="preserve">Deux délégués par Antenne Nationale élus pour deux ans</w:t>
      </w:r>
    </w:p>
    <w:p>
      <w:pPr>
        <w:numPr>
          <w:ilvl w:val="0"/>
          <w:numId w:val="1053"/>
        </w:numPr>
      </w:pPr>
      <w:r>
        <w:t xml:space="preserve">Cinq experts cooptés pour leur compétence dans les domaines d’action du RJP</w:t>
      </w:r>
    </w:p>
    <w:bookmarkEnd w:id="94"/>
    <w:bookmarkStart w:id="95" w:name="sessions-ordinaires"/>
    <w:p>
      <w:pPr>
        <w:pStyle w:val="Heading4"/>
      </w:pPr>
      <w:r>
        <w:t xml:space="preserve">5.2. Sessions ordinaires</w:t>
      </w:r>
    </w:p>
    <w:p>
      <w:pPr>
        <w:pStyle w:val="FirstParagraph"/>
      </w:pPr>
      <w:r>
        <w:t xml:space="preserve">Le Conseil Mondial se réunit en session ordinaire une fois par an, au cours du premier trimestre.</w:t>
      </w:r>
    </w:p>
    <w:p>
      <w:pPr>
        <w:pStyle w:val="BodyText"/>
      </w:pPr>
      <w:r>
        <w:t xml:space="preserve">La convocation est adressée par le Secrétaire Général au moins soixante jours avant la date fixée et comprend :</w:t>
      </w:r>
    </w:p>
    <w:p>
      <w:pPr>
        <w:numPr>
          <w:ilvl w:val="0"/>
          <w:numId w:val="1054"/>
        </w:numPr>
      </w:pPr>
      <w:r>
        <w:t xml:space="preserve">L’ordre du jour provisoire</w:t>
      </w:r>
    </w:p>
    <w:p>
      <w:pPr>
        <w:numPr>
          <w:ilvl w:val="0"/>
          <w:numId w:val="1054"/>
        </w:numPr>
      </w:pPr>
      <w:r>
        <w:t xml:space="preserve">Le lieu et la date de la réunion</w:t>
      </w:r>
    </w:p>
    <w:p>
      <w:pPr>
        <w:numPr>
          <w:ilvl w:val="0"/>
          <w:numId w:val="1054"/>
        </w:numPr>
      </w:pPr>
      <w:r>
        <w:t xml:space="preserve">Les documents préparatoires</w:t>
      </w:r>
    </w:p>
    <w:p>
      <w:pPr>
        <w:pStyle w:val="FirstParagraph"/>
      </w:pPr>
      <w:r>
        <w:t xml:space="preserve">Chaque membre peut proposer l’ajout de points à l’ordre du jour jusqu’à trente jours avant la session.</w:t>
      </w:r>
    </w:p>
    <w:bookmarkEnd w:id="95"/>
    <w:bookmarkStart w:id="96" w:name="sessions-extraordinaires"/>
    <w:p>
      <w:pPr>
        <w:pStyle w:val="Heading4"/>
      </w:pPr>
      <w:r>
        <w:t xml:space="preserve">5.3. Sessions extraordinaires</w:t>
      </w:r>
    </w:p>
    <w:p>
      <w:pPr>
        <w:pStyle w:val="FirstParagraph"/>
      </w:pPr>
      <w:r>
        <w:t xml:space="preserve">Les sessions extraordinaires peuvent être convoquées :</w:t>
      </w:r>
    </w:p>
    <w:p>
      <w:pPr>
        <w:numPr>
          <w:ilvl w:val="0"/>
          <w:numId w:val="1055"/>
        </w:numPr>
      </w:pPr>
      <w:r>
        <w:t xml:space="preserve">À l’initiative du Président</w:t>
      </w:r>
    </w:p>
    <w:p>
      <w:pPr>
        <w:numPr>
          <w:ilvl w:val="0"/>
          <w:numId w:val="1055"/>
        </w:numPr>
      </w:pPr>
      <w:r>
        <w:t xml:space="preserve">Sur demande du Comité Exécutif International</w:t>
      </w:r>
    </w:p>
    <w:p>
      <w:pPr>
        <w:numPr>
          <w:ilvl w:val="0"/>
          <w:numId w:val="1055"/>
        </w:numPr>
      </w:pPr>
      <w:r>
        <w:t xml:space="preserve">À la demande écrite d’au moins un tiers des membres du Conseil</w:t>
      </w:r>
    </w:p>
    <w:p>
      <w:pPr>
        <w:pStyle w:val="FirstParagraph"/>
      </w:pPr>
      <w:r>
        <w:t xml:space="preserve">Le délai de convocation est ramené à trente jours et l’ordre du jour est limité aux questions urgentes ayant motivé la convocation.</w:t>
      </w:r>
    </w:p>
    <w:bookmarkEnd w:id="96"/>
    <w:bookmarkStart w:id="97" w:name="quorum-et-délibérations"/>
    <w:p>
      <w:pPr>
        <w:pStyle w:val="Heading4"/>
      </w:pPr>
      <w:r>
        <w:t xml:space="preserve">5.4. Quorum et délibérations</w:t>
      </w:r>
    </w:p>
    <w:p>
      <w:pPr>
        <w:pStyle w:val="FirstParagraph"/>
      </w:pPr>
      <w:r>
        <w:t xml:space="preserve">Le quorum est fixé à la moitié des membres plus un.</w:t>
      </w:r>
    </w:p>
    <w:p>
      <w:pPr>
        <w:pStyle w:val="BodyText"/>
      </w:pPr>
      <w:r>
        <w:t xml:space="preserve">Si le quorum n’est pas atteint, une nouvelle session est convoquée dans un délai minimum de quinze jours et peut délibérer quel que soit le nombre de membres présents.</w:t>
      </w:r>
    </w:p>
    <w:bookmarkEnd w:id="97"/>
    <w:bookmarkStart w:id="98" w:name="modalités-de-vote"/>
    <w:p>
      <w:pPr>
        <w:pStyle w:val="Heading4"/>
      </w:pPr>
      <w:r>
        <w:t xml:space="preserve">5.5. Modalités de vote</w:t>
      </w:r>
    </w:p>
    <w:p>
      <w:pPr>
        <w:pStyle w:val="FirstParagraph"/>
      </w:pPr>
      <w:r>
        <w:t xml:space="preserve">Les votes ont lieu à main levée, sauf pour les élections de personnes ou si un membre demande un scrutin secret.</w:t>
      </w:r>
    </w:p>
    <w:p>
      <w:pPr>
        <w:pStyle w:val="BodyText"/>
      </w:pPr>
      <w:r>
        <w:t xml:space="preserve">Les décisions sont prises à la majorité simple des membres présents ou représentés, sauf pour :</w:t>
      </w:r>
    </w:p>
    <w:p>
      <w:pPr>
        <w:numPr>
          <w:ilvl w:val="0"/>
          <w:numId w:val="1056"/>
        </w:numPr>
      </w:pPr>
      <w:r>
        <w:t xml:space="preserve">Les modifications statutaires (majorité des deux tiers)</w:t>
      </w:r>
    </w:p>
    <w:p>
      <w:pPr>
        <w:numPr>
          <w:ilvl w:val="0"/>
          <w:numId w:val="1056"/>
        </w:numPr>
      </w:pPr>
      <w:r>
        <w:t xml:space="preserve">La dissolution (majorité des trois quarts)</w:t>
      </w:r>
    </w:p>
    <w:p>
      <w:pPr>
        <w:numPr>
          <w:ilvl w:val="0"/>
          <w:numId w:val="1056"/>
        </w:numPr>
      </w:pPr>
      <w:r>
        <w:t xml:space="preserve">La révocation du Comité Exécutif International (majorité des deux tiers)</w:t>
      </w:r>
    </w:p>
    <w:bookmarkEnd w:id="98"/>
    <w:bookmarkStart w:id="99" w:name="procurations"/>
    <w:p>
      <w:pPr>
        <w:pStyle w:val="Heading4"/>
      </w:pPr>
      <w:r>
        <w:t xml:space="preserve">5.6. Procurations</w:t>
      </w:r>
    </w:p>
    <w:p>
      <w:pPr>
        <w:pStyle w:val="FirstParagraph"/>
      </w:pPr>
      <w:r>
        <w:t xml:space="preserve">Chaque membre peut détenir au maximum deux procurations.</w:t>
      </w:r>
    </w:p>
    <w:p>
      <w:pPr>
        <w:pStyle w:val="BodyText"/>
      </w:pPr>
      <w:r>
        <w:t xml:space="preserve">Les procurations doivent être établies par écrit et transmises au Secrétariat au plus tard la veille de la session.</w:t>
      </w:r>
    </w:p>
    <w:bookmarkEnd w:id="99"/>
    <w:bookmarkStart w:id="100" w:name="participation-à-distance"/>
    <w:p>
      <w:pPr>
        <w:pStyle w:val="Heading4"/>
      </w:pPr>
      <w:r>
        <w:t xml:space="preserve">5.7. Participation à distance</w:t>
      </w:r>
    </w:p>
    <w:p>
      <w:pPr>
        <w:pStyle w:val="FirstParagraph"/>
      </w:pPr>
      <w:r>
        <w:t xml:space="preserve">Les membres empêchés peuvent participer aux délibérations par visioconférence lorsque les conditions techniques le permettent. Ils sont alors comptabilisés dans le quorum.</w:t>
      </w:r>
    </w:p>
    <w:bookmarkEnd w:id="100"/>
    <w:bookmarkStart w:id="101" w:name="procès-verbaux"/>
    <w:p>
      <w:pPr>
        <w:pStyle w:val="Heading4"/>
      </w:pPr>
      <w:r>
        <w:t xml:space="preserve">5.8. Procès-verbaux</w:t>
      </w:r>
    </w:p>
    <w:p>
      <w:pPr>
        <w:pStyle w:val="FirstParagraph"/>
      </w:pPr>
      <w:r>
        <w:t xml:space="preserve">Les délibérations font l’objet d’un procès-verbal signé par le Président et le Secrétaire Général.</w:t>
      </w:r>
    </w:p>
    <w:p>
      <w:pPr>
        <w:pStyle w:val="BodyText"/>
      </w:pPr>
      <w:r>
        <w:t xml:space="preserve">Le procès-verbal est diffusé à tous les membres dans les trente jours suivant la session et soumis à approbation lors de la session suivante.</w:t>
      </w:r>
    </w:p>
    <w:bookmarkEnd w:id="101"/>
    <w:bookmarkEnd w:id="102"/>
    <w:bookmarkStart w:id="107" w:name="Xd07b0ca7db850e69db9e8e32fa47bd069e447d6"/>
    <w:p>
      <w:pPr>
        <w:pStyle w:val="Heading3"/>
      </w:pPr>
      <w:r>
        <w:t xml:space="preserve">Article 6 : Le Comité Exécutif International</w:t>
      </w:r>
    </w:p>
    <w:bookmarkStart w:id="103" w:name="répartition-des-attributions"/>
    <w:p>
      <w:pPr>
        <w:pStyle w:val="Heading4"/>
      </w:pPr>
      <w:r>
        <w:t xml:space="preserve">6.1. Répartition des attributions</w:t>
      </w:r>
    </w:p>
    <w:p>
      <w:pPr>
        <w:pStyle w:val="FirstParagraph"/>
      </w:pPr>
      <w:r>
        <w:rPr>
          <w:bCs/>
          <w:b/>
        </w:rPr>
        <w:t xml:space="preserve">Le Président</w:t>
      </w:r>
      <w:r>
        <w:t xml:space="preserve"> :</w:t>
      </w:r>
    </w:p>
    <w:p>
      <w:pPr>
        <w:numPr>
          <w:ilvl w:val="0"/>
          <w:numId w:val="1057"/>
        </w:numPr>
      </w:pPr>
      <w:r>
        <w:t xml:space="preserve">Représente légalement l’Association</w:t>
      </w:r>
    </w:p>
    <w:p>
      <w:pPr>
        <w:numPr>
          <w:ilvl w:val="0"/>
          <w:numId w:val="1057"/>
        </w:numPr>
      </w:pPr>
      <w:r>
        <w:t xml:space="preserve">Préside les réunions du Comité et du Conseil</w:t>
      </w:r>
    </w:p>
    <w:p>
      <w:pPr>
        <w:numPr>
          <w:ilvl w:val="0"/>
          <w:numId w:val="1057"/>
        </w:numPr>
      </w:pPr>
      <w:r>
        <w:t xml:space="preserve">Ordonne les dépenses</w:t>
      </w:r>
    </w:p>
    <w:p>
      <w:pPr>
        <w:numPr>
          <w:ilvl w:val="0"/>
          <w:numId w:val="1057"/>
        </w:numPr>
      </w:pPr>
      <w:r>
        <w:t xml:space="preserve">Signe les contrats et conventions</w:t>
      </w:r>
    </w:p>
    <w:p>
      <w:pPr>
        <w:numPr>
          <w:ilvl w:val="0"/>
          <w:numId w:val="1057"/>
        </w:numPr>
      </w:pPr>
      <w:r>
        <w:t xml:space="preserve">Délègue certains de ses pouvoirs aux Vice-Présidents</w:t>
      </w:r>
    </w:p>
    <w:p>
      <w:pPr>
        <w:pStyle w:val="FirstParagraph"/>
      </w:pPr>
      <w:r>
        <w:rPr>
          <w:bCs/>
          <w:b/>
        </w:rPr>
        <w:t xml:space="preserve">Les Vice-Présidents</w:t>
      </w:r>
      <w:r>
        <w:t xml:space="preserve"> :</w:t>
      </w:r>
    </w:p>
    <w:p>
      <w:pPr>
        <w:numPr>
          <w:ilvl w:val="0"/>
          <w:numId w:val="1058"/>
        </w:numPr>
      </w:pPr>
      <w:r>
        <w:t xml:space="preserve">Assistent le Président dans ses fonctions</w:t>
      </w:r>
    </w:p>
    <w:p>
      <w:pPr>
        <w:numPr>
          <w:ilvl w:val="0"/>
          <w:numId w:val="1058"/>
        </w:numPr>
      </w:pPr>
      <w:r>
        <w:t xml:space="preserve">Assurent l’intérim en cas d’empêchement</w:t>
      </w:r>
    </w:p>
    <w:p>
      <w:pPr>
        <w:numPr>
          <w:ilvl w:val="0"/>
          <w:numId w:val="1058"/>
        </w:numPr>
      </w:pPr>
      <w:r>
        <w:t xml:space="preserve">Supervisent des zones géographiques spécifiques</w:t>
      </w:r>
    </w:p>
    <w:p>
      <w:pPr>
        <w:pStyle w:val="FirstParagraph"/>
      </w:pPr>
      <w:r>
        <w:rPr>
          <w:bCs/>
          <w:b/>
        </w:rPr>
        <w:t xml:space="preserve">Le Secrétaire Général</w:t>
      </w:r>
      <w:r>
        <w:t xml:space="preserve"> (suite) :</w:t>
      </w:r>
    </w:p>
    <w:p>
      <w:pPr>
        <w:numPr>
          <w:ilvl w:val="0"/>
          <w:numId w:val="1059"/>
        </w:numPr>
      </w:pPr>
      <w:r>
        <w:t xml:space="preserve">Coordonne l’administration de l’Association</w:t>
      </w:r>
    </w:p>
    <w:p>
      <w:pPr>
        <w:numPr>
          <w:ilvl w:val="0"/>
          <w:numId w:val="1059"/>
        </w:numPr>
      </w:pPr>
      <w:r>
        <w:t xml:space="preserve">Tient les registres statutaires</w:t>
      </w:r>
    </w:p>
    <w:p>
      <w:pPr>
        <w:numPr>
          <w:ilvl w:val="0"/>
          <w:numId w:val="1059"/>
        </w:numPr>
      </w:pPr>
      <w:r>
        <w:t xml:space="preserve">Rédige les procès-verbaux</w:t>
      </w:r>
    </w:p>
    <w:p>
      <w:pPr>
        <w:numPr>
          <w:ilvl w:val="0"/>
          <w:numId w:val="1059"/>
        </w:numPr>
      </w:pPr>
      <w:r>
        <w:t xml:space="preserve">Gère la correspondance officielle</w:t>
      </w:r>
    </w:p>
    <w:p>
      <w:pPr>
        <w:numPr>
          <w:ilvl w:val="0"/>
          <w:numId w:val="1059"/>
        </w:numPr>
      </w:pPr>
      <w:r>
        <w:t xml:space="preserve">Supervise l’archivage des documents</w:t>
      </w:r>
    </w:p>
    <w:p>
      <w:pPr>
        <w:pStyle w:val="FirstParagraph"/>
      </w:pPr>
      <w:r>
        <w:rPr>
          <w:bCs/>
          <w:b/>
        </w:rPr>
        <w:t xml:space="preserve">Le Trésorier International</w:t>
      </w:r>
      <w:r>
        <w:t xml:space="preserve"> :</w:t>
      </w:r>
    </w:p>
    <w:p>
      <w:pPr>
        <w:numPr>
          <w:ilvl w:val="0"/>
          <w:numId w:val="1060"/>
        </w:numPr>
      </w:pPr>
      <w:r>
        <w:t xml:space="preserve">Gère les finances de l’Association</w:t>
      </w:r>
    </w:p>
    <w:p>
      <w:pPr>
        <w:numPr>
          <w:ilvl w:val="0"/>
          <w:numId w:val="1060"/>
        </w:numPr>
      </w:pPr>
      <w:r>
        <w:t xml:space="preserve">Prépare le budget annuel</w:t>
      </w:r>
    </w:p>
    <w:p>
      <w:pPr>
        <w:numPr>
          <w:ilvl w:val="0"/>
          <w:numId w:val="1060"/>
        </w:numPr>
      </w:pPr>
      <w:r>
        <w:t xml:space="preserve">Supervise la comptabilité</w:t>
      </w:r>
    </w:p>
    <w:p>
      <w:pPr>
        <w:numPr>
          <w:ilvl w:val="0"/>
          <w:numId w:val="1060"/>
        </w:numPr>
      </w:pPr>
      <w:r>
        <w:t xml:space="preserve">Présente les rapports financiers</w:t>
      </w:r>
    </w:p>
    <w:p>
      <w:pPr>
        <w:numPr>
          <w:ilvl w:val="0"/>
          <w:numId w:val="1060"/>
        </w:numPr>
      </w:pPr>
      <w:r>
        <w:t xml:space="preserve">Contrôle les trésoreries nationales</w:t>
      </w:r>
    </w:p>
    <w:p>
      <w:pPr>
        <w:pStyle w:val="FirstParagraph"/>
      </w:pPr>
      <w:r>
        <w:rPr>
          <w:bCs/>
          <w:b/>
        </w:rPr>
        <w:t xml:space="preserve">Le Responsable de la Communication</w:t>
      </w:r>
      <w:r>
        <w:t xml:space="preserve"> :</w:t>
      </w:r>
    </w:p>
    <w:p>
      <w:pPr>
        <w:numPr>
          <w:ilvl w:val="0"/>
          <w:numId w:val="1061"/>
        </w:numPr>
      </w:pPr>
      <w:r>
        <w:t xml:space="preserve">Élabore la stratégie de communication</w:t>
      </w:r>
    </w:p>
    <w:p>
      <w:pPr>
        <w:numPr>
          <w:ilvl w:val="0"/>
          <w:numId w:val="1061"/>
        </w:numPr>
      </w:pPr>
      <w:r>
        <w:t xml:space="preserve">Supervise les publications officielles</w:t>
      </w:r>
    </w:p>
    <w:p>
      <w:pPr>
        <w:numPr>
          <w:ilvl w:val="0"/>
          <w:numId w:val="1061"/>
        </w:numPr>
      </w:pPr>
      <w:r>
        <w:t xml:space="preserve">Gère les relations avec les médias</w:t>
      </w:r>
    </w:p>
    <w:p>
      <w:pPr>
        <w:numPr>
          <w:ilvl w:val="0"/>
          <w:numId w:val="1061"/>
        </w:numPr>
      </w:pPr>
      <w:r>
        <w:t xml:space="preserve">Coordonne la présence numérique du RJP</w:t>
      </w:r>
    </w:p>
    <w:p>
      <w:pPr>
        <w:numPr>
          <w:ilvl w:val="0"/>
          <w:numId w:val="1061"/>
        </w:numPr>
      </w:pPr>
      <w:r>
        <w:t xml:space="preserve">Veille à l’image de marque de l’Association</w:t>
      </w:r>
    </w:p>
    <w:p>
      <w:pPr>
        <w:pStyle w:val="FirstParagraph"/>
      </w:pPr>
      <w:r>
        <w:rPr>
          <w:bCs/>
          <w:b/>
        </w:rPr>
        <w:t xml:space="preserve">Le Coordinateur des Programmes</w:t>
      </w:r>
      <w:r>
        <w:t xml:space="preserve"> :</w:t>
      </w:r>
    </w:p>
    <w:p>
      <w:pPr>
        <w:numPr>
          <w:ilvl w:val="0"/>
          <w:numId w:val="1062"/>
        </w:numPr>
      </w:pPr>
      <w:r>
        <w:t xml:space="preserve">Supervise les programmes internationaux</w:t>
      </w:r>
    </w:p>
    <w:p>
      <w:pPr>
        <w:numPr>
          <w:ilvl w:val="0"/>
          <w:numId w:val="1062"/>
        </w:numPr>
      </w:pPr>
      <w:r>
        <w:t xml:space="preserve">Assure le suivi des projets</w:t>
      </w:r>
    </w:p>
    <w:p>
      <w:pPr>
        <w:numPr>
          <w:ilvl w:val="0"/>
          <w:numId w:val="1062"/>
        </w:numPr>
      </w:pPr>
      <w:r>
        <w:t xml:space="preserve">Évalue l’impact des actions</w:t>
      </w:r>
    </w:p>
    <w:p>
      <w:pPr>
        <w:numPr>
          <w:ilvl w:val="0"/>
          <w:numId w:val="1062"/>
        </w:numPr>
      </w:pPr>
      <w:r>
        <w:t xml:space="preserve">Propose de nouvelles initiatives</w:t>
      </w:r>
    </w:p>
    <w:p>
      <w:pPr>
        <w:numPr>
          <w:ilvl w:val="0"/>
          <w:numId w:val="1062"/>
        </w:numPr>
      </w:pPr>
      <w:r>
        <w:t xml:space="preserve">Coordonne les équipes de projet</w:t>
      </w:r>
    </w:p>
    <w:p>
      <w:pPr>
        <w:pStyle w:val="FirstParagraph"/>
      </w:pPr>
      <w:r>
        <w:rPr>
          <w:bCs/>
          <w:b/>
        </w:rPr>
        <w:t xml:space="preserve">Le Chargé des Relations Institutionnelles</w:t>
      </w:r>
      <w:r>
        <w:t xml:space="preserve"> :</w:t>
      </w:r>
    </w:p>
    <w:p>
      <w:pPr>
        <w:numPr>
          <w:ilvl w:val="0"/>
          <w:numId w:val="1063"/>
        </w:numPr>
      </w:pPr>
      <w:r>
        <w:t xml:space="preserve">Entretient les relations avec les partenaires</w:t>
      </w:r>
    </w:p>
    <w:p>
      <w:pPr>
        <w:numPr>
          <w:ilvl w:val="0"/>
          <w:numId w:val="1063"/>
        </w:numPr>
      </w:pPr>
      <w:r>
        <w:t xml:space="preserve">Représente l’Association auprès des instances internationales</w:t>
      </w:r>
    </w:p>
    <w:p>
      <w:pPr>
        <w:numPr>
          <w:ilvl w:val="0"/>
          <w:numId w:val="1063"/>
        </w:numPr>
      </w:pPr>
      <w:r>
        <w:t xml:space="preserve">Négocie les accords de coopération</w:t>
      </w:r>
    </w:p>
    <w:p>
      <w:pPr>
        <w:numPr>
          <w:ilvl w:val="0"/>
          <w:numId w:val="1063"/>
        </w:numPr>
      </w:pPr>
      <w:r>
        <w:t xml:space="preserve">Identifie les opportunités de partenariat</w:t>
      </w:r>
    </w:p>
    <w:p>
      <w:pPr>
        <w:numPr>
          <w:ilvl w:val="0"/>
          <w:numId w:val="1063"/>
        </w:numPr>
      </w:pPr>
      <w:r>
        <w:t xml:space="preserve">Veille aux intérêts de l’Association dans les forums internationaux</w:t>
      </w:r>
    </w:p>
    <w:bookmarkEnd w:id="103"/>
    <w:bookmarkStart w:id="104" w:name="réunions-et-délibérations"/>
    <w:p>
      <w:pPr>
        <w:pStyle w:val="Heading4"/>
      </w:pPr>
      <w:r>
        <w:t xml:space="preserve">6.2. Réunions et délibérations</w:t>
      </w:r>
    </w:p>
    <w:p>
      <w:pPr>
        <w:pStyle w:val="FirstParagraph"/>
      </w:pPr>
      <w:r>
        <w:t xml:space="preserve">Le Comité Exécutif International se réunit au moins une fois par trimestre sur convocation du Président ou à la demande d’un tiers de ses membres.</w:t>
      </w:r>
    </w:p>
    <w:p>
      <w:pPr>
        <w:pStyle w:val="BodyText"/>
      </w:pPr>
      <w:r>
        <w:t xml:space="preserve">Les réunions peuvent se tenir en présentiel ou par visioconférence.</w:t>
      </w:r>
    </w:p>
    <w:p>
      <w:pPr>
        <w:pStyle w:val="BodyText"/>
      </w:pPr>
      <w:r>
        <w:t xml:space="preserve">L’ordre du jour est établi par le Président en consultation avec le Secrétaire Général et communiqué au moins quinze jours à l’avance.</w:t>
      </w:r>
    </w:p>
    <w:p>
      <w:pPr>
        <w:pStyle w:val="BodyText"/>
      </w:pPr>
      <w:r>
        <w:t xml:space="preserve">Le quorum est fixé à la majorité des membres.</w:t>
      </w:r>
    </w:p>
    <w:p>
      <w:pPr>
        <w:pStyle w:val="BodyText"/>
      </w:pPr>
      <w:r>
        <w:t xml:space="preserve">Les décisions sont prises à la majorité simple des présents ou représentés. En cas d’égalité, la voix du Président est prépondérante.</w:t>
      </w:r>
    </w:p>
    <w:bookmarkEnd w:id="104"/>
    <w:bookmarkStart w:id="105" w:name="rapports-dactivité"/>
    <w:p>
      <w:pPr>
        <w:pStyle w:val="Heading4"/>
      </w:pPr>
      <w:r>
        <w:t xml:space="preserve">6.3. Rapports d’activité</w:t>
      </w:r>
    </w:p>
    <w:p>
      <w:pPr>
        <w:pStyle w:val="FirstParagraph"/>
      </w:pPr>
      <w:r>
        <w:t xml:space="preserve">Le Comité présente un rapport d’activité trimestriel aux Antennes Nationales et un rapport annuel au Conseil Mondial.</w:t>
      </w:r>
    </w:p>
    <w:p>
      <w:pPr>
        <w:pStyle w:val="BodyText"/>
      </w:pPr>
      <w:r>
        <w:t xml:space="preserve">Ces rapports comprennent :</w:t>
      </w:r>
    </w:p>
    <w:p>
      <w:pPr>
        <w:numPr>
          <w:ilvl w:val="0"/>
          <w:numId w:val="1064"/>
        </w:numPr>
      </w:pPr>
      <w:r>
        <w:t xml:space="preserve">Les actions menées</w:t>
      </w:r>
    </w:p>
    <w:p>
      <w:pPr>
        <w:numPr>
          <w:ilvl w:val="0"/>
          <w:numId w:val="1064"/>
        </w:numPr>
      </w:pPr>
      <w:r>
        <w:t xml:space="preserve">Les résultats obtenus</w:t>
      </w:r>
    </w:p>
    <w:p>
      <w:pPr>
        <w:numPr>
          <w:ilvl w:val="0"/>
          <w:numId w:val="1064"/>
        </w:numPr>
      </w:pPr>
      <w:r>
        <w:t xml:space="preserve">L’état d’avancement des projets</w:t>
      </w:r>
    </w:p>
    <w:p>
      <w:pPr>
        <w:numPr>
          <w:ilvl w:val="0"/>
          <w:numId w:val="1064"/>
        </w:numPr>
      </w:pPr>
      <w:r>
        <w:t xml:space="preserve">La situation financière</w:t>
      </w:r>
    </w:p>
    <w:p>
      <w:pPr>
        <w:numPr>
          <w:ilvl w:val="0"/>
          <w:numId w:val="1064"/>
        </w:numPr>
      </w:pPr>
      <w:r>
        <w:t xml:space="preserve">Les perspectives à court et moyen terme</w:t>
      </w:r>
    </w:p>
    <w:bookmarkEnd w:id="105"/>
    <w:bookmarkStart w:id="106" w:name="démission-et-remplacement"/>
    <w:p>
      <w:pPr>
        <w:pStyle w:val="Heading4"/>
      </w:pPr>
      <w:r>
        <w:t xml:space="preserve">6.4. Démission et remplacement</w:t>
      </w:r>
    </w:p>
    <w:p>
      <w:pPr>
        <w:pStyle w:val="FirstParagraph"/>
      </w:pPr>
      <w:r>
        <w:t xml:space="preserve">En cas de démission d’un membre du Comité, le Président pourvoit provisoirement à son remplacement jusqu’à la prochaine session du Conseil Mondial.</w:t>
      </w:r>
    </w:p>
    <w:p>
      <w:pPr>
        <w:pStyle w:val="BodyText"/>
      </w:pPr>
      <w:r>
        <w:t xml:space="preserve">Si plus de la moitié des membres démissionnent simultanément, une session extraordinaire du Conseil Mondial est convoquée dans les soixante jours pour élire un nouveau Comité.</w:t>
      </w:r>
    </w:p>
    <w:bookmarkEnd w:id="106"/>
    <w:bookmarkEnd w:id="107"/>
    <w:bookmarkStart w:id="112" w:name="article-7-les-antennes-nationales"/>
    <w:p>
      <w:pPr>
        <w:pStyle w:val="Heading3"/>
      </w:pPr>
      <w:r>
        <w:t xml:space="preserve">Article 7 : Les Antennes Nationales</w:t>
      </w:r>
    </w:p>
    <w:bookmarkStart w:id="108" w:name="création-dune-antenne-nationale"/>
    <w:p>
      <w:pPr>
        <w:pStyle w:val="Heading4"/>
      </w:pPr>
      <w:r>
        <w:t xml:space="preserve">7.1. Création d’une Antenne Nationale</w:t>
      </w:r>
    </w:p>
    <w:p>
      <w:pPr>
        <w:pStyle w:val="FirstParagraph"/>
      </w:pPr>
      <w:r>
        <w:t xml:space="preserve">La création d’une Antenne Nationale est soumise aux conditions suivantes :</w:t>
      </w:r>
    </w:p>
    <w:p>
      <w:pPr>
        <w:numPr>
          <w:ilvl w:val="0"/>
          <w:numId w:val="1065"/>
        </w:numPr>
      </w:pPr>
      <w:r>
        <w:t xml:space="preserve">Existence d’au moins cinq Sections Communales actives</w:t>
      </w:r>
    </w:p>
    <w:p>
      <w:pPr>
        <w:numPr>
          <w:ilvl w:val="0"/>
          <w:numId w:val="1065"/>
        </w:numPr>
      </w:pPr>
      <w:r>
        <w:t xml:space="preserve">Minimum de 100 membres actifs à jour de cotisation</w:t>
      </w:r>
    </w:p>
    <w:p>
      <w:pPr>
        <w:numPr>
          <w:ilvl w:val="0"/>
          <w:numId w:val="1065"/>
        </w:numPr>
      </w:pPr>
      <w:r>
        <w:t xml:space="preserve">Constitution d’un comité fondateur de sept membres</w:t>
      </w:r>
    </w:p>
    <w:p>
      <w:pPr>
        <w:numPr>
          <w:ilvl w:val="0"/>
          <w:numId w:val="1065"/>
        </w:numPr>
      </w:pPr>
      <w:r>
        <w:t xml:space="preserve">Présentation d’un plan d’action triennal</w:t>
      </w:r>
    </w:p>
    <w:p>
      <w:pPr>
        <w:numPr>
          <w:ilvl w:val="0"/>
          <w:numId w:val="1065"/>
        </w:numPr>
      </w:pPr>
      <w:r>
        <w:t xml:space="preserve">Approbation par le Comité Exécutif International</w:t>
      </w:r>
    </w:p>
    <w:bookmarkEnd w:id="108"/>
    <w:bookmarkStart w:id="109" w:name="assemblée-générale-nationale"/>
    <w:p>
      <w:pPr>
        <w:pStyle w:val="Heading4"/>
      </w:pPr>
      <w:r>
        <w:t xml:space="preserve">7.2. Assemblée Générale Nationale</w:t>
      </w:r>
    </w:p>
    <w:p>
      <w:pPr>
        <w:pStyle w:val="FirstParagraph"/>
      </w:pPr>
      <w:r>
        <w:t xml:space="preserve">L’Assemblée Générale Nationale réunit tous les deux ans :</w:t>
      </w:r>
    </w:p>
    <w:p>
      <w:pPr>
        <w:numPr>
          <w:ilvl w:val="0"/>
          <w:numId w:val="1066"/>
        </w:numPr>
      </w:pPr>
      <w:r>
        <w:t xml:space="preserve">Les membres du Comité Exécutif National</w:t>
      </w:r>
    </w:p>
    <w:p>
      <w:pPr>
        <w:numPr>
          <w:ilvl w:val="0"/>
          <w:numId w:val="1066"/>
        </w:numPr>
      </w:pPr>
      <w:r>
        <w:t xml:space="preserve">Les Présidents des Sections Communales</w:t>
      </w:r>
    </w:p>
    <w:p>
      <w:pPr>
        <w:numPr>
          <w:ilvl w:val="0"/>
          <w:numId w:val="1066"/>
        </w:numPr>
      </w:pPr>
      <w:r>
        <w:t xml:space="preserve">Deux délégués par Section élus par leur Assemblée Générale</w:t>
      </w:r>
    </w:p>
    <w:p>
      <w:pPr>
        <w:numPr>
          <w:ilvl w:val="0"/>
          <w:numId w:val="1066"/>
        </w:numPr>
      </w:pPr>
      <w:r>
        <w:t xml:space="preserve">Un représentant du Comité Exécutif International</w:t>
      </w:r>
    </w:p>
    <w:p>
      <w:pPr>
        <w:pStyle w:val="FirstParagraph"/>
      </w:pPr>
      <w:r>
        <w:t xml:space="preserve">Elle délibère sur :</w:t>
      </w:r>
    </w:p>
    <w:p>
      <w:pPr>
        <w:numPr>
          <w:ilvl w:val="0"/>
          <w:numId w:val="1067"/>
        </w:numPr>
      </w:pPr>
      <w:r>
        <w:t xml:space="preserve">Le rapport moral et financier</w:t>
      </w:r>
    </w:p>
    <w:p>
      <w:pPr>
        <w:numPr>
          <w:ilvl w:val="0"/>
          <w:numId w:val="1067"/>
        </w:numPr>
      </w:pPr>
      <w:r>
        <w:t xml:space="preserve">Les orientations stratégiques nationales</w:t>
      </w:r>
    </w:p>
    <w:p>
      <w:pPr>
        <w:numPr>
          <w:ilvl w:val="0"/>
          <w:numId w:val="1067"/>
        </w:numPr>
      </w:pPr>
      <w:r>
        <w:t xml:space="preserve">L’élection du Comité Exécutif National</w:t>
      </w:r>
    </w:p>
    <w:p>
      <w:pPr>
        <w:numPr>
          <w:ilvl w:val="0"/>
          <w:numId w:val="1067"/>
        </w:numPr>
      </w:pPr>
      <w:r>
        <w:t xml:space="preserve">Les questions inscrites à l’ordre du jour</w:t>
      </w:r>
    </w:p>
    <w:bookmarkEnd w:id="109"/>
    <w:bookmarkStart w:id="110" w:name="comité-exécutif-national"/>
    <w:p>
      <w:pPr>
        <w:pStyle w:val="Heading4"/>
      </w:pPr>
      <w:r>
        <w:t xml:space="preserve">7.3. Comité Exécutif National</w:t>
      </w:r>
    </w:p>
    <w:p>
      <w:pPr>
        <w:pStyle w:val="FirstParagraph"/>
      </w:pPr>
      <w:r>
        <w:t xml:space="preserve">Le Comité Exécutif National comprend neuf membres élus pour deux ans :</w:t>
      </w:r>
    </w:p>
    <w:p>
      <w:pPr>
        <w:numPr>
          <w:ilvl w:val="0"/>
          <w:numId w:val="1068"/>
        </w:numPr>
      </w:pPr>
      <w:r>
        <w:t xml:space="preserve">Un Président National</w:t>
      </w:r>
    </w:p>
    <w:p>
      <w:pPr>
        <w:numPr>
          <w:ilvl w:val="0"/>
          <w:numId w:val="1068"/>
        </w:numPr>
      </w:pPr>
      <w:r>
        <w:t xml:space="preserve">Deux Vice-Présidents</w:t>
      </w:r>
    </w:p>
    <w:p>
      <w:pPr>
        <w:numPr>
          <w:ilvl w:val="0"/>
          <w:numId w:val="1068"/>
        </w:numPr>
      </w:pPr>
      <w:r>
        <w:t xml:space="preserve">Un Secrétaire Général</w:t>
      </w:r>
    </w:p>
    <w:p>
      <w:pPr>
        <w:numPr>
          <w:ilvl w:val="0"/>
          <w:numId w:val="1068"/>
        </w:numPr>
      </w:pPr>
      <w:r>
        <w:t xml:space="preserve">Un Trésorier National</w:t>
      </w:r>
    </w:p>
    <w:p>
      <w:pPr>
        <w:numPr>
          <w:ilvl w:val="0"/>
          <w:numId w:val="1068"/>
        </w:numPr>
      </w:pPr>
      <w:r>
        <w:t xml:space="preserve">Un Responsable de la Communication</w:t>
      </w:r>
    </w:p>
    <w:p>
      <w:pPr>
        <w:numPr>
          <w:ilvl w:val="0"/>
          <w:numId w:val="1068"/>
        </w:numPr>
      </w:pPr>
      <w:r>
        <w:t xml:space="preserve">Un Chargé des Programmes</w:t>
      </w:r>
    </w:p>
    <w:p>
      <w:pPr>
        <w:numPr>
          <w:ilvl w:val="0"/>
          <w:numId w:val="1068"/>
        </w:numPr>
      </w:pPr>
      <w:r>
        <w:t xml:space="preserve">Un Responsable du Développement</w:t>
      </w:r>
    </w:p>
    <w:p>
      <w:pPr>
        <w:numPr>
          <w:ilvl w:val="0"/>
          <w:numId w:val="1068"/>
        </w:numPr>
      </w:pPr>
      <w:r>
        <w:t xml:space="preserve">Un Chargé des Relations Publiques</w:t>
      </w:r>
    </w:p>
    <w:p>
      <w:pPr>
        <w:pStyle w:val="FirstParagraph"/>
      </w:pPr>
      <w:r>
        <w:t xml:space="preserve">Il se réunit au moins une fois par mois et coordonne l’action des Sections Communales.</w:t>
      </w:r>
    </w:p>
    <w:bookmarkEnd w:id="110"/>
    <w:bookmarkStart w:id="111" w:name="autonomie-et-obligations"/>
    <w:p>
      <w:pPr>
        <w:pStyle w:val="Heading4"/>
      </w:pPr>
      <w:r>
        <w:t xml:space="preserve">7.4. Autonomie et obligations</w:t>
      </w:r>
    </w:p>
    <w:p>
      <w:pPr>
        <w:pStyle w:val="FirstParagraph"/>
      </w:pPr>
      <w:r>
        <w:t xml:space="preserve">Les Antennes Nationales disposent d’une autonomie administrative et financière dans le cadre des Statuts et du présent Règlement.</w:t>
      </w:r>
    </w:p>
    <w:p>
      <w:pPr>
        <w:pStyle w:val="BodyText"/>
      </w:pPr>
      <w:r>
        <w:t xml:space="preserve">Elles sont tenues de :</w:t>
      </w:r>
    </w:p>
    <w:p>
      <w:pPr>
        <w:numPr>
          <w:ilvl w:val="0"/>
          <w:numId w:val="1069"/>
        </w:numPr>
      </w:pPr>
      <w:r>
        <w:t xml:space="preserve">Respecter les orientations stratégiques définies par le Conseil Mondial</w:t>
      </w:r>
    </w:p>
    <w:p>
      <w:pPr>
        <w:numPr>
          <w:ilvl w:val="0"/>
          <w:numId w:val="1069"/>
        </w:numPr>
      </w:pPr>
      <w:r>
        <w:t xml:space="preserve">Verser une contribution annuelle au budget international (15% des cotisations perçues)</w:t>
      </w:r>
    </w:p>
    <w:p>
      <w:pPr>
        <w:numPr>
          <w:ilvl w:val="0"/>
          <w:numId w:val="1069"/>
        </w:numPr>
      </w:pPr>
      <w:r>
        <w:t xml:space="preserve">Soumettre un rapport d’activité semestriel au Comité Exécutif International</w:t>
      </w:r>
    </w:p>
    <w:p>
      <w:pPr>
        <w:numPr>
          <w:ilvl w:val="0"/>
          <w:numId w:val="1069"/>
        </w:numPr>
      </w:pPr>
      <w:r>
        <w:t xml:space="preserve">Participer aux programmes internationaux</w:t>
      </w:r>
    </w:p>
    <w:p>
      <w:pPr>
        <w:numPr>
          <w:ilvl w:val="0"/>
          <w:numId w:val="1069"/>
        </w:numPr>
      </w:pPr>
      <w:r>
        <w:t xml:space="preserve">Utiliser la charte graphique et les outils de communication officiels du RJP</w:t>
      </w:r>
    </w:p>
    <w:bookmarkEnd w:id="111"/>
    <w:bookmarkEnd w:id="112"/>
    <w:bookmarkStart w:id="117" w:name="article-8-les-sections-communales"/>
    <w:p>
      <w:pPr>
        <w:pStyle w:val="Heading3"/>
      </w:pPr>
      <w:r>
        <w:t xml:space="preserve">Article 8 : Les Sections Communales</w:t>
      </w:r>
    </w:p>
    <w:bookmarkStart w:id="113" w:name="création-dune-section-communale"/>
    <w:p>
      <w:pPr>
        <w:pStyle w:val="Heading4"/>
      </w:pPr>
      <w:r>
        <w:t xml:space="preserve">8.1. Création d’une Section Communale</w:t>
      </w:r>
    </w:p>
    <w:p>
      <w:pPr>
        <w:pStyle w:val="FirstParagraph"/>
      </w:pPr>
      <w:r>
        <w:t xml:space="preserve">La création d’une Section Communale requiert :</w:t>
      </w:r>
    </w:p>
    <w:p>
      <w:pPr>
        <w:numPr>
          <w:ilvl w:val="0"/>
          <w:numId w:val="1070"/>
        </w:numPr>
      </w:pPr>
      <w:r>
        <w:t xml:space="preserve">Un minimum de 20 membres fondateurs</w:t>
      </w:r>
    </w:p>
    <w:p>
      <w:pPr>
        <w:numPr>
          <w:ilvl w:val="0"/>
          <w:numId w:val="1070"/>
        </w:numPr>
      </w:pPr>
      <w:r>
        <w:t xml:space="preserve">Un Bureau Exécutif provisoire de cinq membres</w:t>
      </w:r>
    </w:p>
    <w:p>
      <w:pPr>
        <w:numPr>
          <w:ilvl w:val="0"/>
          <w:numId w:val="1070"/>
        </w:numPr>
      </w:pPr>
      <w:r>
        <w:t xml:space="preserve">Un programme d’action annuel</w:t>
      </w:r>
    </w:p>
    <w:p>
      <w:pPr>
        <w:numPr>
          <w:ilvl w:val="0"/>
          <w:numId w:val="1070"/>
        </w:numPr>
      </w:pPr>
      <w:r>
        <w:t xml:space="preserve">L’agrément de l’Antenne Nationale</w:t>
      </w:r>
    </w:p>
    <w:p>
      <w:pPr>
        <w:numPr>
          <w:ilvl w:val="0"/>
          <w:numId w:val="1070"/>
        </w:numPr>
      </w:pPr>
      <w:r>
        <w:t xml:space="preserve">Un procès-verbal de constitution</w:t>
      </w:r>
    </w:p>
    <w:bookmarkEnd w:id="113"/>
    <w:bookmarkStart w:id="114" w:name="assemblée-générale-de-section"/>
    <w:p>
      <w:pPr>
        <w:pStyle w:val="Heading4"/>
      </w:pPr>
      <w:r>
        <w:t xml:space="preserve">8.2. Assemblée Générale de Section</w:t>
      </w:r>
    </w:p>
    <w:p>
      <w:pPr>
        <w:pStyle w:val="FirstParagraph"/>
      </w:pPr>
      <w:r>
        <w:t xml:space="preserve">L’Assemblée Générale de Section se réunit une fois par an et comprend tous les membres actifs à jour de cotisation.</w:t>
      </w:r>
    </w:p>
    <w:p>
      <w:pPr>
        <w:pStyle w:val="BodyText"/>
      </w:pPr>
      <w:r>
        <w:t xml:space="preserve">Elle délibère sur :</w:t>
      </w:r>
    </w:p>
    <w:p>
      <w:pPr>
        <w:numPr>
          <w:ilvl w:val="0"/>
          <w:numId w:val="1071"/>
        </w:numPr>
      </w:pPr>
      <w:r>
        <w:t xml:space="preserve">Le rapport moral et financier</w:t>
      </w:r>
    </w:p>
    <w:p>
      <w:pPr>
        <w:numPr>
          <w:ilvl w:val="0"/>
          <w:numId w:val="1071"/>
        </w:numPr>
      </w:pPr>
      <w:r>
        <w:t xml:space="preserve">Le programme d’activités</w:t>
      </w:r>
    </w:p>
    <w:p>
      <w:pPr>
        <w:numPr>
          <w:ilvl w:val="0"/>
          <w:numId w:val="1071"/>
        </w:numPr>
      </w:pPr>
      <w:r>
        <w:t xml:space="preserve">L’élection du Bureau Exécutif</w:t>
      </w:r>
    </w:p>
    <w:p>
      <w:pPr>
        <w:numPr>
          <w:ilvl w:val="0"/>
          <w:numId w:val="1071"/>
        </w:numPr>
      </w:pPr>
      <w:r>
        <w:t xml:space="preserve">Les questions d’intérêt local</w:t>
      </w:r>
    </w:p>
    <w:p>
      <w:pPr>
        <w:pStyle w:val="FirstParagraph"/>
      </w:pPr>
      <w:r>
        <w:t xml:space="preserve">Le quorum est fixé au quart des membres. Si le quorum n’est pas atteint, une nouvelle Assemblée est convoquée dans les quinze jours et peut délibérer quel que soit le nombre de présents.</w:t>
      </w:r>
    </w:p>
    <w:bookmarkEnd w:id="114"/>
    <w:bookmarkStart w:id="115" w:name="bureau-exécutif-de-section"/>
    <w:p>
      <w:pPr>
        <w:pStyle w:val="Heading4"/>
      </w:pPr>
      <w:r>
        <w:t xml:space="preserve">8.3. Bureau Exécutif de Section</w:t>
      </w:r>
    </w:p>
    <w:p>
      <w:pPr>
        <w:pStyle w:val="FirstParagraph"/>
      </w:pPr>
      <w:r>
        <w:t xml:space="preserve">Le Bureau Exécutif de Section comprend cinq à sept membres élus pour deux ans :</w:t>
      </w:r>
    </w:p>
    <w:p>
      <w:pPr>
        <w:numPr>
          <w:ilvl w:val="0"/>
          <w:numId w:val="1072"/>
        </w:numPr>
      </w:pPr>
      <w:r>
        <w:t xml:space="preserve">Un Président de Section</w:t>
      </w:r>
    </w:p>
    <w:p>
      <w:pPr>
        <w:numPr>
          <w:ilvl w:val="0"/>
          <w:numId w:val="1072"/>
        </w:numPr>
      </w:pPr>
      <w:r>
        <w:t xml:space="preserve">Un Vice-Président</w:t>
      </w:r>
    </w:p>
    <w:p>
      <w:pPr>
        <w:numPr>
          <w:ilvl w:val="0"/>
          <w:numId w:val="1072"/>
        </w:numPr>
      </w:pPr>
      <w:r>
        <w:t xml:space="preserve">Un Secrétaire</w:t>
      </w:r>
    </w:p>
    <w:p>
      <w:pPr>
        <w:numPr>
          <w:ilvl w:val="0"/>
          <w:numId w:val="1072"/>
        </w:numPr>
      </w:pPr>
      <w:r>
        <w:t xml:space="preserve">Un Trésorier</w:t>
      </w:r>
    </w:p>
    <w:p>
      <w:pPr>
        <w:numPr>
          <w:ilvl w:val="0"/>
          <w:numId w:val="1072"/>
        </w:numPr>
      </w:pPr>
      <w:r>
        <w:t xml:space="preserve">Un à trois Chargés de mission</w:t>
      </w:r>
    </w:p>
    <w:p>
      <w:pPr>
        <w:pStyle w:val="FirstParagraph"/>
      </w:pPr>
      <w:r>
        <w:t xml:space="preserve">Il se réunit au moins deux fois par mois et met en œuvre le programme d’activités approuvé par l’Assemblée Générale.</w:t>
      </w:r>
    </w:p>
    <w:bookmarkEnd w:id="115"/>
    <w:bookmarkStart w:id="116" w:name="attributions-et-responsabilités"/>
    <w:p>
      <w:pPr>
        <w:pStyle w:val="Heading4"/>
      </w:pPr>
      <w:r>
        <w:t xml:space="preserve">8.4. Attributions et responsabilités</w:t>
      </w:r>
    </w:p>
    <w:p>
      <w:pPr>
        <w:pStyle w:val="FirstParagraph"/>
      </w:pPr>
      <w:r>
        <w:t xml:space="preserve">La Section Communale est chargée de :</w:t>
      </w:r>
    </w:p>
    <w:p>
      <w:pPr>
        <w:numPr>
          <w:ilvl w:val="0"/>
          <w:numId w:val="1073"/>
        </w:numPr>
      </w:pPr>
      <w:r>
        <w:t xml:space="preserve">Recruter et accueillir les nouveaux membres</w:t>
      </w:r>
    </w:p>
    <w:p>
      <w:pPr>
        <w:numPr>
          <w:ilvl w:val="0"/>
          <w:numId w:val="1073"/>
        </w:numPr>
      </w:pPr>
      <w:r>
        <w:t xml:space="preserve">Organiser les activités locales</w:t>
      </w:r>
    </w:p>
    <w:p>
      <w:pPr>
        <w:numPr>
          <w:ilvl w:val="0"/>
          <w:numId w:val="1073"/>
        </w:numPr>
      </w:pPr>
      <w:r>
        <w:t xml:space="preserve">Collecter les cotisations</w:t>
      </w:r>
    </w:p>
    <w:p>
      <w:pPr>
        <w:numPr>
          <w:ilvl w:val="0"/>
          <w:numId w:val="1073"/>
        </w:numPr>
      </w:pPr>
      <w:r>
        <w:t xml:space="preserve">Représenter l’Association au niveau local</w:t>
      </w:r>
    </w:p>
    <w:p>
      <w:pPr>
        <w:numPr>
          <w:ilvl w:val="0"/>
          <w:numId w:val="1073"/>
        </w:numPr>
      </w:pPr>
      <w:r>
        <w:t xml:space="preserve">Identifier les besoins spécifiques des membres</w:t>
      </w:r>
    </w:p>
    <w:p>
      <w:pPr>
        <w:numPr>
          <w:ilvl w:val="0"/>
          <w:numId w:val="1073"/>
        </w:numPr>
      </w:pPr>
      <w:r>
        <w:t xml:space="preserve">Mettre en œuvre les programmes d’aide et de soutien</w:t>
      </w:r>
    </w:p>
    <w:p>
      <w:pPr>
        <w:numPr>
          <w:ilvl w:val="0"/>
          <w:numId w:val="1073"/>
        </w:numPr>
      </w:pPr>
      <w:r>
        <w:t xml:space="preserve">Participer aux campagnes nationales et internationales</w:t>
      </w:r>
    </w:p>
    <w:bookmarkEnd w:id="116"/>
    <w:bookmarkEnd w:id="117"/>
    <w:bookmarkEnd w:id="118"/>
    <w:bookmarkStart w:id="136" w:name="titre-iii-administration-et-gestion"/>
    <w:p>
      <w:pPr>
        <w:pStyle w:val="Heading2"/>
      </w:pPr>
      <w:r>
        <w:t xml:space="preserve">TITRE III : ADMINISTRATION ET GESTION</w:t>
      </w:r>
    </w:p>
    <w:bookmarkStart w:id="124" w:name="article-9-gestion-financière"/>
    <w:p>
      <w:pPr>
        <w:pStyle w:val="Heading3"/>
      </w:pPr>
      <w:r>
        <w:t xml:space="preserve">Article 9 : Gestion financière</w:t>
      </w:r>
    </w:p>
    <w:bookmarkStart w:id="119" w:name="exercice-comptable"/>
    <w:p>
      <w:pPr>
        <w:pStyle w:val="Heading4"/>
      </w:pPr>
      <w:r>
        <w:t xml:space="preserve">9.1. Exercice comptable</w:t>
      </w:r>
    </w:p>
    <w:p>
      <w:pPr>
        <w:pStyle w:val="FirstParagraph"/>
      </w:pPr>
      <w:r>
        <w:t xml:space="preserve">L’exercice comptable court du 1er janvier au 31 décembre de chaque année.</w:t>
      </w:r>
    </w:p>
    <w:p>
      <w:pPr>
        <w:pStyle w:val="BodyText"/>
      </w:pPr>
      <w:r>
        <w:t xml:space="preserve">Un bilan intermédiaire est établi au 30 juin.</w:t>
      </w:r>
    </w:p>
    <w:bookmarkEnd w:id="119"/>
    <w:bookmarkStart w:id="120" w:name="budget-annuel"/>
    <w:p>
      <w:pPr>
        <w:pStyle w:val="Heading4"/>
      </w:pPr>
      <w:r>
        <w:t xml:space="preserve">9.2. Budget annuel</w:t>
      </w:r>
    </w:p>
    <w:p>
      <w:pPr>
        <w:pStyle w:val="FirstParagraph"/>
      </w:pPr>
      <w:r>
        <w:t xml:space="preserve">Le budget annuel est préparé par le Trésorier International en collaboration avec les Trésoriers Nationaux et soumis à l’approbation du Conseil Mondial.</w:t>
      </w:r>
    </w:p>
    <w:p>
      <w:pPr>
        <w:pStyle w:val="BodyText"/>
      </w:pPr>
      <w:r>
        <w:t xml:space="preserve">Il comprend :</w:t>
      </w:r>
    </w:p>
    <w:p>
      <w:pPr>
        <w:numPr>
          <w:ilvl w:val="0"/>
          <w:numId w:val="1074"/>
        </w:numPr>
      </w:pPr>
      <w:r>
        <w:t xml:space="preserve">Les cotisations des membres</w:t>
      </w:r>
    </w:p>
    <w:p>
      <w:pPr>
        <w:numPr>
          <w:ilvl w:val="0"/>
          <w:numId w:val="1074"/>
        </w:numPr>
      </w:pPr>
      <w:r>
        <w:t xml:space="preserve">Les subventions publiques et privées</w:t>
      </w:r>
    </w:p>
    <w:p>
      <w:pPr>
        <w:numPr>
          <w:ilvl w:val="0"/>
          <w:numId w:val="1074"/>
        </w:numPr>
      </w:pPr>
      <w:r>
        <w:t xml:space="preserve">Les dons et legs</w:t>
      </w:r>
    </w:p>
    <w:p>
      <w:pPr>
        <w:numPr>
          <w:ilvl w:val="0"/>
          <w:numId w:val="1074"/>
        </w:numPr>
      </w:pPr>
      <w:r>
        <w:t xml:space="preserve">Les revenus des activités et prestations</w:t>
      </w:r>
    </w:p>
    <w:p>
      <w:pPr>
        <w:numPr>
          <w:ilvl w:val="0"/>
          <w:numId w:val="1074"/>
        </w:numPr>
      </w:pPr>
      <w:r>
        <w:t xml:space="preserve">Les produits financiers</w:t>
      </w:r>
    </w:p>
    <w:p>
      <w:pPr>
        <w:pStyle w:val="FirstParagraph"/>
      </w:pPr>
      <w:r>
        <w:t xml:space="preserve">Les dépenses sont ventilées par :</w:t>
      </w:r>
    </w:p>
    <w:p>
      <w:pPr>
        <w:numPr>
          <w:ilvl w:val="0"/>
          <w:numId w:val="1075"/>
        </w:numPr>
      </w:pPr>
      <w:r>
        <w:t xml:space="preserve">Programmes d’action</w:t>
      </w:r>
    </w:p>
    <w:p>
      <w:pPr>
        <w:numPr>
          <w:ilvl w:val="0"/>
          <w:numId w:val="1075"/>
        </w:numPr>
      </w:pPr>
      <w:r>
        <w:t xml:space="preserve">Frais de fonctionnement</w:t>
      </w:r>
    </w:p>
    <w:p>
      <w:pPr>
        <w:numPr>
          <w:ilvl w:val="0"/>
          <w:numId w:val="1075"/>
        </w:numPr>
      </w:pPr>
      <w:r>
        <w:t xml:space="preserve">Investissements</w:t>
      </w:r>
    </w:p>
    <w:p>
      <w:pPr>
        <w:numPr>
          <w:ilvl w:val="0"/>
          <w:numId w:val="1075"/>
        </w:numPr>
      </w:pPr>
      <w:r>
        <w:t xml:space="preserve">Provisions pour projets futurs</w:t>
      </w:r>
    </w:p>
    <w:bookmarkEnd w:id="120"/>
    <w:bookmarkStart w:id="121" w:name="contrôle-des-comptes"/>
    <w:p>
      <w:pPr>
        <w:pStyle w:val="Heading4"/>
      </w:pPr>
      <w:r>
        <w:t xml:space="preserve">9.3. Contrôle des comptes</w:t>
      </w:r>
    </w:p>
    <w:p>
      <w:pPr>
        <w:pStyle w:val="FirstParagraph"/>
      </w:pPr>
      <w:r>
        <w:t xml:space="preserve">Les comptes sont vérifiés annuellement par :</w:t>
      </w:r>
    </w:p>
    <w:p>
      <w:pPr>
        <w:numPr>
          <w:ilvl w:val="0"/>
          <w:numId w:val="1076"/>
        </w:numPr>
      </w:pPr>
      <w:r>
        <w:t xml:space="preserve">Un Commissaire aux Comptes externe pour le niveau international</w:t>
      </w:r>
    </w:p>
    <w:p>
      <w:pPr>
        <w:numPr>
          <w:ilvl w:val="0"/>
          <w:numId w:val="1076"/>
        </w:numPr>
      </w:pPr>
      <w:r>
        <w:t xml:space="preserve">Un Comité de Contrôle composé de trois membres élus par le Conseil Mondial</w:t>
      </w:r>
    </w:p>
    <w:p>
      <w:pPr>
        <w:numPr>
          <w:ilvl w:val="0"/>
          <w:numId w:val="1076"/>
        </w:numPr>
      </w:pPr>
      <w:r>
        <w:t xml:space="preserve">Des Auditeurs Internes au niveau des Antennes Nationales</w:t>
      </w:r>
    </w:p>
    <w:bookmarkEnd w:id="121"/>
    <w:bookmarkStart w:id="122" w:name="procédures-dengagement-des-dépenses"/>
    <w:p>
      <w:pPr>
        <w:pStyle w:val="Heading4"/>
      </w:pPr>
      <w:r>
        <w:t xml:space="preserve">9.4. Procédures d’engagement des dépenses</w:t>
      </w:r>
    </w:p>
    <w:p>
      <w:pPr>
        <w:pStyle w:val="FirstParagraph"/>
      </w:pPr>
      <w:r>
        <w:t xml:space="preserve">Tout engagement de dépense doit faire l’objet d’une autorisation préalable :</w:t>
      </w:r>
    </w:p>
    <w:p>
      <w:pPr>
        <w:numPr>
          <w:ilvl w:val="0"/>
          <w:numId w:val="1077"/>
        </w:numPr>
      </w:pPr>
      <w:r>
        <w:t xml:space="preserve">Par le Président de Section pour les montants inférieurs à 500 €</w:t>
      </w:r>
    </w:p>
    <w:p>
      <w:pPr>
        <w:numPr>
          <w:ilvl w:val="0"/>
          <w:numId w:val="1077"/>
        </w:numPr>
      </w:pPr>
      <w:r>
        <w:t xml:space="preserve">Par le Bureau Exécutif de Section pour les montants entre 500 € et 1.500 €</w:t>
      </w:r>
    </w:p>
    <w:p>
      <w:pPr>
        <w:numPr>
          <w:ilvl w:val="0"/>
          <w:numId w:val="1077"/>
        </w:numPr>
      </w:pPr>
      <w:r>
        <w:t xml:space="preserve">Par le Comité Exécutif National pour les montants entre 1.500 € et 5.000 €</w:t>
      </w:r>
    </w:p>
    <w:p>
      <w:pPr>
        <w:numPr>
          <w:ilvl w:val="0"/>
          <w:numId w:val="1077"/>
        </w:numPr>
      </w:pPr>
      <w:r>
        <w:t xml:space="preserve">Par le Comité Exécutif International pour les montants supérieurs à 5.000 €</w:t>
      </w:r>
    </w:p>
    <w:p>
      <w:pPr>
        <w:pStyle w:val="FirstParagraph"/>
      </w:pPr>
      <w:r>
        <w:t xml:space="preserve">Toute dépense doit être justifiée par une facture ou un reçu et enregistrée dans la comptabilité.</w:t>
      </w:r>
    </w:p>
    <w:bookmarkEnd w:id="122"/>
    <w:bookmarkStart w:id="123" w:name="remboursement-des-frais"/>
    <w:p>
      <w:pPr>
        <w:pStyle w:val="Heading4"/>
      </w:pPr>
      <w:r>
        <w:t xml:space="preserve">9.5. Remboursement des frais</w:t>
      </w:r>
    </w:p>
    <w:p>
      <w:pPr>
        <w:pStyle w:val="FirstParagraph"/>
      </w:pPr>
      <w:r>
        <w:t xml:space="preserve">Les frais engagés par les membres dans le cadre de leurs fonctions peuvent être remboursés sur présentation de justificatifs et dans les limites suivantes :</w:t>
      </w:r>
    </w:p>
    <w:p>
      <w:pPr>
        <w:numPr>
          <w:ilvl w:val="0"/>
          <w:numId w:val="1078"/>
        </w:numPr>
      </w:pPr>
      <w:r>
        <w:t xml:space="preserve">Déplacements : tarif de transport public en 2ème classe ou indemnité kilométrique de 0,30 €/km</w:t>
      </w:r>
    </w:p>
    <w:p>
      <w:pPr>
        <w:numPr>
          <w:ilvl w:val="0"/>
          <w:numId w:val="1078"/>
        </w:numPr>
      </w:pPr>
      <w:r>
        <w:t xml:space="preserve">Hébergement : 80 € par nuit maximum</w:t>
      </w:r>
    </w:p>
    <w:p>
      <w:pPr>
        <w:numPr>
          <w:ilvl w:val="0"/>
          <w:numId w:val="1078"/>
        </w:numPr>
      </w:pPr>
      <w:r>
        <w:t xml:space="preserve">Repas : 20 € par repas maximum</w:t>
      </w:r>
    </w:p>
    <w:p>
      <w:pPr>
        <w:numPr>
          <w:ilvl w:val="0"/>
          <w:numId w:val="1078"/>
        </w:numPr>
      </w:pPr>
      <w:r>
        <w:t xml:space="preserve">Communications : sur justificatifs dans la limite de 30 € par mois</w:t>
      </w:r>
    </w:p>
    <w:p>
      <w:pPr>
        <w:numPr>
          <w:ilvl w:val="0"/>
          <w:numId w:val="1078"/>
        </w:numPr>
      </w:pPr>
      <w:r>
        <w:t xml:space="preserve">Fournitures : sur justificatifs dans la limite de 100 € par trimestre</w:t>
      </w:r>
    </w:p>
    <w:p>
      <w:pPr>
        <w:pStyle w:val="FirstParagraph"/>
      </w:pPr>
      <w:r>
        <w:t xml:space="preserve">Les demandes de remboursement doivent être présentées dans les trois mois suivant l’engagement des frais.</w:t>
      </w:r>
    </w:p>
    <w:bookmarkEnd w:id="123"/>
    <w:bookmarkEnd w:id="124"/>
    <w:bookmarkStart w:id="129" w:name="X2d3380ca0d216ff48011f338b30564277c25373"/>
    <w:p>
      <w:pPr>
        <w:pStyle w:val="Heading3"/>
      </w:pPr>
      <w:r>
        <w:t xml:space="preserve">Article 10 : Communication interne et externe</w:t>
      </w:r>
    </w:p>
    <w:bookmarkStart w:id="125" w:name="identité-visuelle"/>
    <w:p>
      <w:pPr>
        <w:pStyle w:val="Heading4"/>
      </w:pPr>
      <w:r>
        <w:t xml:space="preserve">10.1. Identité visuelle</w:t>
      </w:r>
    </w:p>
    <w:p>
      <w:pPr>
        <w:pStyle w:val="FirstParagraph"/>
      </w:pPr>
      <w:r>
        <w:t xml:space="preserve">L’identité visuelle du RJP est définie par une charte graphique qui précise :</w:t>
      </w:r>
    </w:p>
    <w:p>
      <w:pPr>
        <w:numPr>
          <w:ilvl w:val="0"/>
          <w:numId w:val="1079"/>
        </w:numPr>
      </w:pPr>
      <w:r>
        <w:t xml:space="preserve">Le logo et ses déclinaisons</w:t>
      </w:r>
    </w:p>
    <w:p>
      <w:pPr>
        <w:numPr>
          <w:ilvl w:val="0"/>
          <w:numId w:val="1079"/>
        </w:numPr>
      </w:pPr>
      <w:r>
        <w:t xml:space="preserve">Les couleurs officielles</w:t>
      </w:r>
    </w:p>
    <w:p>
      <w:pPr>
        <w:numPr>
          <w:ilvl w:val="0"/>
          <w:numId w:val="1079"/>
        </w:numPr>
      </w:pPr>
      <w:r>
        <w:t xml:space="preserve">La typographie</w:t>
      </w:r>
    </w:p>
    <w:p>
      <w:pPr>
        <w:numPr>
          <w:ilvl w:val="0"/>
          <w:numId w:val="1079"/>
        </w:numPr>
      </w:pPr>
      <w:r>
        <w:t xml:space="preserve">Les modèles de documents</w:t>
      </w:r>
    </w:p>
    <w:p>
      <w:pPr>
        <w:numPr>
          <w:ilvl w:val="0"/>
          <w:numId w:val="1079"/>
        </w:numPr>
      </w:pPr>
      <w:r>
        <w:t xml:space="preserve">Les règles d’utilisation sur différents supports</w:t>
      </w:r>
    </w:p>
    <w:p>
      <w:pPr>
        <w:pStyle w:val="FirstParagraph"/>
      </w:pPr>
      <w:r>
        <w:t xml:space="preserve">Toute communication au nom du RJP doit respecter cette charte graphique.</w:t>
      </w:r>
    </w:p>
    <w:bookmarkEnd w:id="125"/>
    <w:bookmarkStart w:id="126" w:name="publications-officielles"/>
    <w:p>
      <w:pPr>
        <w:pStyle w:val="Heading4"/>
      </w:pPr>
      <w:r>
        <w:t xml:space="preserve">10.2. Publications officielles</w:t>
      </w:r>
    </w:p>
    <w:p>
      <w:pPr>
        <w:pStyle w:val="FirstParagraph"/>
      </w:pPr>
      <w:r>
        <w:t xml:space="preserve">Les publications officielles du RJP comprennent :</w:t>
      </w:r>
    </w:p>
    <w:p>
      <w:pPr>
        <w:numPr>
          <w:ilvl w:val="0"/>
          <w:numId w:val="1080"/>
        </w:numPr>
      </w:pPr>
      <w:r>
        <w:t xml:space="preserve">Le rapport annuel d’activités</w:t>
      </w:r>
    </w:p>
    <w:p>
      <w:pPr>
        <w:numPr>
          <w:ilvl w:val="0"/>
          <w:numId w:val="1080"/>
        </w:numPr>
      </w:pPr>
      <w:r>
        <w:t xml:space="preserve">La lettre trimestrielle “Jumeaux &amp; Plus”</w:t>
      </w:r>
    </w:p>
    <w:p>
      <w:pPr>
        <w:numPr>
          <w:ilvl w:val="0"/>
          <w:numId w:val="1080"/>
        </w:numPr>
      </w:pPr>
      <w:r>
        <w:t xml:space="preserve">Le bulletin mensuel électronique</w:t>
      </w:r>
    </w:p>
    <w:p>
      <w:pPr>
        <w:numPr>
          <w:ilvl w:val="0"/>
          <w:numId w:val="1080"/>
        </w:numPr>
      </w:pPr>
      <w:r>
        <w:t xml:space="preserve">Les guides thématiques</w:t>
      </w:r>
    </w:p>
    <w:p>
      <w:pPr>
        <w:numPr>
          <w:ilvl w:val="0"/>
          <w:numId w:val="1080"/>
        </w:numPr>
      </w:pPr>
      <w:r>
        <w:t xml:space="preserve">Le site internet officiel et les réseaux sociaux</w:t>
      </w:r>
    </w:p>
    <w:p>
      <w:pPr>
        <w:pStyle w:val="FirstParagraph"/>
      </w:pPr>
      <w:r>
        <w:t xml:space="preserve">La responsabilité éditoriale de ces publications incombe au Responsable de la Communication du Comité Exécutif International.</w:t>
      </w:r>
    </w:p>
    <w:bookmarkEnd w:id="126"/>
    <w:bookmarkStart w:id="127" w:name="communication-externe"/>
    <w:p>
      <w:pPr>
        <w:pStyle w:val="Heading4"/>
      </w:pPr>
      <w:r>
        <w:t xml:space="preserve">10.3. Communication externe</w:t>
      </w:r>
    </w:p>
    <w:p>
      <w:pPr>
        <w:pStyle w:val="FirstParagraph"/>
      </w:pPr>
      <w:r>
        <w:t xml:space="preserve">Toute communication externe engageant l’Association doit être préalablement validée :</w:t>
      </w:r>
    </w:p>
    <w:p>
      <w:pPr>
        <w:numPr>
          <w:ilvl w:val="0"/>
          <w:numId w:val="1081"/>
        </w:numPr>
      </w:pPr>
      <w:r>
        <w:t xml:space="preserve">Par le Président de Section pour les communications locales</w:t>
      </w:r>
    </w:p>
    <w:p>
      <w:pPr>
        <w:numPr>
          <w:ilvl w:val="0"/>
          <w:numId w:val="1081"/>
        </w:numPr>
      </w:pPr>
      <w:r>
        <w:t xml:space="preserve">Par le Président National pour les communications nationales</w:t>
      </w:r>
    </w:p>
    <w:p>
      <w:pPr>
        <w:numPr>
          <w:ilvl w:val="0"/>
          <w:numId w:val="1081"/>
        </w:numPr>
      </w:pPr>
      <w:r>
        <w:t xml:space="preserve">Par le Président International pour les communications internationales</w:t>
      </w:r>
    </w:p>
    <w:p>
      <w:pPr>
        <w:pStyle w:val="FirstParagraph"/>
      </w:pPr>
      <w:r>
        <w:t xml:space="preserve">Les relations avec les médias sont coordonnées par le Responsable de la Communication à chaque niveau.</w:t>
      </w:r>
    </w:p>
    <w:bookmarkEnd w:id="127"/>
    <w:bookmarkStart w:id="128" w:name="confidentialité"/>
    <w:p>
      <w:pPr>
        <w:pStyle w:val="Heading4"/>
      </w:pPr>
      <w:r>
        <w:t xml:space="preserve">10.4. Confidentialité</w:t>
      </w:r>
    </w:p>
    <w:p>
      <w:pPr>
        <w:pStyle w:val="FirstParagraph"/>
      </w:pPr>
      <w:r>
        <w:t xml:space="preserve">Les informations suivantes sont considérées comme confidentielles :</w:t>
      </w:r>
    </w:p>
    <w:p>
      <w:pPr>
        <w:numPr>
          <w:ilvl w:val="0"/>
          <w:numId w:val="1082"/>
        </w:numPr>
      </w:pPr>
      <w:r>
        <w:t xml:space="preserve">Les données personnelles des membres</w:t>
      </w:r>
    </w:p>
    <w:p>
      <w:pPr>
        <w:numPr>
          <w:ilvl w:val="0"/>
          <w:numId w:val="1082"/>
        </w:numPr>
      </w:pPr>
      <w:r>
        <w:t xml:space="preserve">Les documents financiers détaillés</w:t>
      </w:r>
    </w:p>
    <w:p>
      <w:pPr>
        <w:numPr>
          <w:ilvl w:val="0"/>
          <w:numId w:val="1082"/>
        </w:numPr>
      </w:pPr>
      <w:r>
        <w:t xml:space="preserve">Les procès-verbaux des délibérations du Comité Exécutif International</w:t>
      </w:r>
    </w:p>
    <w:p>
      <w:pPr>
        <w:numPr>
          <w:ilvl w:val="0"/>
          <w:numId w:val="1082"/>
        </w:numPr>
      </w:pPr>
      <w:r>
        <w:t xml:space="preserve">Les stratégies en cours d’élaboration</w:t>
      </w:r>
    </w:p>
    <w:p>
      <w:pPr>
        <w:numPr>
          <w:ilvl w:val="0"/>
          <w:numId w:val="1082"/>
        </w:numPr>
      </w:pPr>
      <w:r>
        <w:t xml:space="preserve">Les négociations avec les partenaires</w:t>
      </w:r>
    </w:p>
    <w:p>
      <w:pPr>
        <w:pStyle w:val="FirstParagraph"/>
      </w:pPr>
      <w:r>
        <w:t xml:space="preserve">Tout membre ayant accès à ces informations est tenu à une obligation de confidentialité.</w:t>
      </w:r>
    </w:p>
    <w:bookmarkEnd w:id="128"/>
    <w:bookmarkEnd w:id="129"/>
    <w:bookmarkStart w:id="135" w:name="X6a8b03030d498cd5e8192541dbbe292e277355c"/>
    <w:p>
      <w:pPr>
        <w:pStyle w:val="Heading3"/>
      </w:pPr>
      <w:r>
        <w:t xml:space="preserve">Article 11 : Protection des données personnelles</w:t>
      </w:r>
    </w:p>
    <w:bookmarkStart w:id="130" w:name="nature-des-données-collectées"/>
    <w:p>
      <w:pPr>
        <w:pStyle w:val="Heading4"/>
      </w:pPr>
      <w:r>
        <w:t xml:space="preserve">11.1. Nature des données collectées</w:t>
      </w:r>
    </w:p>
    <w:p>
      <w:pPr>
        <w:pStyle w:val="FirstParagraph"/>
      </w:pPr>
      <w:r>
        <w:t xml:space="preserve">L’Association collecte les données suivantes :</w:t>
      </w:r>
    </w:p>
    <w:p>
      <w:pPr>
        <w:numPr>
          <w:ilvl w:val="0"/>
          <w:numId w:val="1083"/>
        </w:numPr>
      </w:pPr>
      <w:r>
        <w:t xml:space="preserve">Identité et coordonnées des membres</w:t>
      </w:r>
    </w:p>
    <w:p>
      <w:pPr>
        <w:numPr>
          <w:ilvl w:val="0"/>
          <w:numId w:val="1083"/>
        </w:numPr>
      </w:pPr>
      <w:r>
        <w:t xml:space="preserve">Informations sur les jumeaux (date de naissance, particularités)</w:t>
      </w:r>
    </w:p>
    <w:p>
      <w:pPr>
        <w:numPr>
          <w:ilvl w:val="0"/>
          <w:numId w:val="1083"/>
        </w:numPr>
      </w:pPr>
      <w:r>
        <w:t xml:space="preserve">Données de paiement</w:t>
      </w:r>
    </w:p>
    <w:p>
      <w:pPr>
        <w:numPr>
          <w:ilvl w:val="0"/>
          <w:numId w:val="1083"/>
        </w:numPr>
      </w:pPr>
      <w:r>
        <w:t xml:space="preserve">Photographies des événements</w:t>
      </w:r>
    </w:p>
    <w:p>
      <w:pPr>
        <w:numPr>
          <w:ilvl w:val="0"/>
          <w:numId w:val="1083"/>
        </w:numPr>
      </w:pPr>
      <w:r>
        <w:t xml:space="preserve">Témoignages et retours d’expérience</w:t>
      </w:r>
    </w:p>
    <w:bookmarkEnd w:id="130"/>
    <w:bookmarkStart w:id="131" w:name="finalités-du-traitement"/>
    <w:p>
      <w:pPr>
        <w:pStyle w:val="Heading4"/>
      </w:pPr>
      <w:r>
        <w:t xml:space="preserve">11.2. Finalités du traitement</w:t>
      </w:r>
    </w:p>
    <w:p>
      <w:pPr>
        <w:pStyle w:val="FirstParagraph"/>
      </w:pPr>
      <w:r>
        <w:t xml:space="preserve">Ces données sont utilisées pour :</w:t>
      </w:r>
    </w:p>
    <w:p>
      <w:pPr>
        <w:numPr>
          <w:ilvl w:val="0"/>
          <w:numId w:val="1084"/>
        </w:numPr>
      </w:pPr>
      <w:r>
        <w:t xml:space="preserve">La gestion administrative des adhésions</w:t>
      </w:r>
    </w:p>
    <w:p>
      <w:pPr>
        <w:numPr>
          <w:ilvl w:val="0"/>
          <w:numId w:val="1084"/>
        </w:numPr>
      </w:pPr>
      <w:r>
        <w:t xml:space="preserve">La communication avec les membres</w:t>
      </w:r>
    </w:p>
    <w:p>
      <w:pPr>
        <w:numPr>
          <w:ilvl w:val="0"/>
          <w:numId w:val="1084"/>
        </w:numPr>
      </w:pPr>
      <w:r>
        <w:t xml:space="preserve">L’organisation des activités</w:t>
      </w:r>
    </w:p>
    <w:p>
      <w:pPr>
        <w:numPr>
          <w:ilvl w:val="0"/>
          <w:numId w:val="1084"/>
        </w:numPr>
      </w:pPr>
      <w:r>
        <w:t xml:space="preserve">L’amélioration des services</w:t>
      </w:r>
    </w:p>
    <w:p>
      <w:pPr>
        <w:numPr>
          <w:ilvl w:val="0"/>
          <w:numId w:val="1084"/>
        </w:numPr>
      </w:pPr>
      <w:r>
        <w:t xml:space="preserve">L’établissement de statistiques anonymisées</w:t>
      </w:r>
    </w:p>
    <w:bookmarkEnd w:id="131"/>
    <w:bookmarkStart w:id="132" w:name="durée-de-conservation"/>
    <w:p>
      <w:pPr>
        <w:pStyle w:val="Heading4"/>
      </w:pPr>
      <w:r>
        <w:t xml:space="preserve">11.3. Durée de conservation</w:t>
      </w:r>
    </w:p>
    <w:p>
      <w:pPr>
        <w:pStyle w:val="FirstParagraph"/>
      </w:pPr>
      <w:r>
        <w:t xml:space="preserve">Les données sont conservées :</w:t>
      </w:r>
    </w:p>
    <w:p>
      <w:pPr>
        <w:numPr>
          <w:ilvl w:val="0"/>
          <w:numId w:val="1085"/>
        </w:numPr>
      </w:pPr>
      <w:r>
        <w:t xml:space="preserve">Pendant la durée de l’adhésion plus trois ans pour les données courantes</w:t>
      </w:r>
    </w:p>
    <w:p>
      <w:pPr>
        <w:numPr>
          <w:ilvl w:val="0"/>
          <w:numId w:val="1085"/>
        </w:numPr>
      </w:pPr>
      <w:r>
        <w:t xml:space="preserve">Dix ans pour les données comptables</w:t>
      </w:r>
    </w:p>
    <w:p>
      <w:pPr>
        <w:numPr>
          <w:ilvl w:val="0"/>
          <w:numId w:val="1085"/>
        </w:numPr>
      </w:pPr>
      <w:r>
        <w:t xml:space="preserve">Durée illimitée pour les archives historiques anonymisées</w:t>
      </w:r>
    </w:p>
    <w:bookmarkEnd w:id="132"/>
    <w:bookmarkStart w:id="133" w:name="droits-des-personnes"/>
    <w:p>
      <w:pPr>
        <w:pStyle w:val="Heading4"/>
      </w:pPr>
      <w:r>
        <w:t xml:space="preserve">11.4. Droits des personnes</w:t>
      </w:r>
    </w:p>
    <w:p>
      <w:pPr>
        <w:pStyle w:val="FirstParagraph"/>
      </w:pPr>
      <w:r>
        <w:t xml:space="preserve">Chaque membre dispose des droits suivants :</w:t>
      </w:r>
    </w:p>
    <w:p>
      <w:pPr>
        <w:numPr>
          <w:ilvl w:val="0"/>
          <w:numId w:val="1086"/>
        </w:numPr>
      </w:pPr>
      <w:r>
        <w:t xml:space="preserve">Droit d’accès à ses données</w:t>
      </w:r>
    </w:p>
    <w:p>
      <w:pPr>
        <w:numPr>
          <w:ilvl w:val="0"/>
          <w:numId w:val="1086"/>
        </w:numPr>
      </w:pPr>
      <w:r>
        <w:t xml:space="preserve">Droit de rectification</w:t>
      </w:r>
    </w:p>
    <w:p>
      <w:pPr>
        <w:numPr>
          <w:ilvl w:val="0"/>
          <w:numId w:val="1086"/>
        </w:numPr>
      </w:pPr>
      <w:r>
        <w:t xml:space="preserve">Droit à l’effacement (sauf obligations légales)</w:t>
      </w:r>
    </w:p>
    <w:p>
      <w:pPr>
        <w:numPr>
          <w:ilvl w:val="0"/>
          <w:numId w:val="1086"/>
        </w:numPr>
      </w:pPr>
      <w:r>
        <w:t xml:space="preserve">Droit à la limitation du traitement</w:t>
      </w:r>
    </w:p>
    <w:p>
      <w:pPr>
        <w:numPr>
          <w:ilvl w:val="0"/>
          <w:numId w:val="1086"/>
        </w:numPr>
      </w:pPr>
      <w:r>
        <w:t xml:space="preserve">Droit d’opposition</w:t>
      </w:r>
    </w:p>
    <w:p>
      <w:pPr>
        <w:numPr>
          <w:ilvl w:val="0"/>
          <w:numId w:val="1086"/>
        </w:numPr>
      </w:pPr>
      <w:r>
        <w:t xml:space="preserve">Droit à la portabilité</w:t>
      </w:r>
    </w:p>
    <w:p>
      <w:pPr>
        <w:pStyle w:val="FirstParagraph"/>
      </w:pPr>
      <w:r>
        <w:t xml:space="preserve">Ces droits peuvent être exercés par courrier ou email adressé au Délégué à la Protection des Données de l’Association.</w:t>
      </w:r>
    </w:p>
    <w:bookmarkEnd w:id="133"/>
    <w:bookmarkStart w:id="134" w:name="mesures-de-sécurité"/>
    <w:p>
      <w:pPr>
        <w:pStyle w:val="Heading4"/>
      </w:pPr>
      <w:r>
        <w:t xml:space="preserve">11.5. Mesures de sécurité</w:t>
      </w:r>
    </w:p>
    <w:p>
      <w:pPr>
        <w:pStyle w:val="FirstParagraph"/>
      </w:pPr>
      <w:r>
        <w:t xml:space="preserve">Les données sont protégées par :</w:t>
      </w:r>
    </w:p>
    <w:p>
      <w:pPr>
        <w:numPr>
          <w:ilvl w:val="0"/>
          <w:numId w:val="1087"/>
        </w:numPr>
      </w:pPr>
      <w:r>
        <w:t xml:space="preserve">Un accès restreint aux personnes habilitées</w:t>
      </w:r>
    </w:p>
    <w:p>
      <w:pPr>
        <w:numPr>
          <w:ilvl w:val="0"/>
          <w:numId w:val="1087"/>
        </w:numPr>
      </w:pPr>
      <w:r>
        <w:t xml:space="preserve">Des mots de passe régulièrement changés</w:t>
      </w:r>
    </w:p>
    <w:p>
      <w:pPr>
        <w:numPr>
          <w:ilvl w:val="0"/>
          <w:numId w:val="1087"/>
        </w:numPr>
      </w:pPr>
      <w:r>
        <w:t xml:space="preserve">Un hébergement sécurisé</w:t>
      </w:r>
    </w:p>
    <w:p>
      <w:pPr>
        <w:numPr>
          <w:ilvl w:val="0"/>
          <w:numId w:val="1087"/>
        </w:numPr>
      </w:pPr>
      <w:r>
        <w:t xml:space="preserve">Un chiffrement des données sensibles</w:t>
      </w:r>
    </w:p>
    <w:p>
      <w:pPr>
        <w:numPr>
          <w:ilvl w:val="0"/>
          <w:numId w:val="1087"/>
        </w:numPr>
      </w:pPr>
      <w:r>
        <w:t xml:space="preserve">Des sauvegardes régulières</w:t>
      </w:r>
    </w:p>
    <w:p>
      <w:pPr>
        <w:pStyle w:val="FirstParagraph"/>
      </w:pPr>
      <w:r>
        <w:t xml:space="preserve">Toute violation de données fait l’objet d’une notification à l’autorité de contrôle compétente.</w:t>
      </w:r>
    </w:p>
    <w:bookmarkEnd w:id="134"/>
    <w:bookmarkEnd w:id="135"/>
    <w:bookmarkEnd w:id="136"/>
    <w:bookmarkStart w:id="152" w:name="titre-iv-programmes-et-activités"/>
    <w:p>
      <w:pPr>
        <w:pStyle w:val="Heading2"/>
      </w:pPr>
      <w:r>
        <w:t xml:space="preserve">TITRE IV : PROGRAMMES ET ACTIVITÉS</w:t>
      </w:r>
    </w:p>
    <w:bookmarkStart w:id="142" w:name="Xa1c65ca61648f63aad4221ca0ad254e4dda6ae1"/>
    <w:p>
      <w:pPr>
        <w:pStyle w:val="Heading3"/>
      </w:pPr>
      <w:r>
        <w:t xml:space="preserve">Article 12 : Programmes d’action prioritaires</w:t>
      </w:r>
    </w:p>
    <w:bookmarkStart w:id="137" w:name="programme-jumeaux-en-santé"/>
    <w:p>
      <w:pPr>
        <w:pStyle w:val="Heading4"/>
      </w:pPr>
      <w:r>
        <w:t xml:space="preserve">12.1. Programme “Jumeaux en Santé”</w:t>
      </w:r>
    </w:p>
    <w:p>
      <w:pPr>
        <w:pStyle w:val="FirstParagraph"/>
      </w:pPr>
      <w:r>
        <w:t xml:space="preserve">Ce programme vise à :</w:t>
      </w:r>
    </w:p>
    <w:p>
      <w:pPr>
        <w:numPr>
          <w:ilvl w:val="0"/>
          <w:numId w:val="1088"/>
        </w:numPr>
      </w:pPr>
      <w:r>
        <w:t xml:space="preserve">Assurer un suivi médical adapté aux jumeaux</w:t>
      </w:r>
    </w:p>
    <w:p>
      <w:pPr>
        <w:numPr>
          <w:ilvl w:val="0"/>
          <w:numId w:val="1088"/>
        </w:numPr>
      </w:pPr>
      <w:r>
        <w:t xml:space="preserve">Former les professionnels de santé aux spécificités des grossesses multiples</w:t>
      </w:r>
    </w:p>
    <w:p>
      <w:pPr>
        <w:numPr>
          <w:ilvl w:val="0"/>
          <w:numId w:val="1088"/>
        </w:numPr>
      </w:pPr>
      <w:r>
        <w:t xml:space="preserve">Créer un réseau de référents médicaux spécialisés</w:t>
      </w:r>
    </w:p>
    <w:p>
      <w:pPr>
        <w:numPr>
          <w:ilvl w:val="0"/>
          <w:numId w:val="1088"/>
        </w:numPr>
      </w:pPr>
      <w:r>
        <w:t xml:space="preserve">Organiser des consultations préventives</w:t>
      </w:r>
    </w:p>
    <w:p>
      <w:pPr>
        <w:numPr>
          <w:ilvl w:val="0"/>
          <w:numId w:val="1088"/>
        </w:numPr>
      </w:pPr>
      <w:r>
        <w:t xml:space="preserve">Développer des recherches sur la santé des jumeaux</w:t>
      </w:r>
    </w:p>
    <w:bookmarkEnd w:id="137"/>
    <w:bookmarkStart w:id="138" w:name="programme-éducation-gémellaire"/>
    <w:p>
      <w:pPr>
        <w:pStyle w:val="Heading4"/>
      </w:pPr>
      <w:r>
        <w:t xml:space="preserve">12.2. Programme “Éducation Gémellaire”</w:t>
      </w:r>
    </w:p>
    <w:p>
      <w:pPr>
        <w:pStyle w:val="FirstParagraph"/>
      </w:pPr>
      <w:r>
        <w:t xml:space="preserve">Ce programme comprend :</w:t>
      </w:r>
    </w:p>
    <w:p>
      <w:pPr>
        <w:numPr>
          <w:ilvl w:val="0"/>
          <w:numId w:val="1089"/>
        </w:numPr>
      </w:pPr>
      <w:r>
        <w:t xml:space="preserve">Des ateliers pour parents de jumeaux</w:t>
      </w:r>
    </w:p>
    <w:p>
      <w:pPr>
        <w:numPr>
          <w:ilvl w:val="0"/>
          <w:numId w:val="1089"/>
        </w:numPr>
      </w:pPr>
      <w:r>
        <w:t xml:space="preserve">Des guides pratiques sur l’éducation des jumeaux</w:t>
      </w:r>
    </w:p>
    <w:p>
      <w:pPr>
        <w:numPr>
          <w:ilvl w:val="0"/>
          <w:numId w:val="1089"/>
        </w:numPr>
      </w:pPr>
      <w:r>
        <w:t xml:space="preserve">Des interventions en milieu scolaire</w:t>
      </w:r>
    </w:p>
    <w:p>
      <w:pPr>
        <w:numPr>
          <w:ilvl w:val="0"/>
          <w:numId w:val="1089"/>
        </w:numPr>
      </w:pPr>
      <w:r>
        <w:t xml:space="preserve">Des sessions de formation pour éducateurs</w:t>
      </w:r>
    </w:p>
    <w:p>
      <w:pPr>
        <w:numPr>
          <w:ilvl w:val="0"/>
          <w:numId w:val="1089"/>
        </w:numPr>
      </w:pPr>
      <w:r>
        <w:t xml:space="preserve">Des conférences thématiques</w:t>
      </w:r>
    </w:p>
    <w:bookmarkEnd w:id="138"/>
    <w:bookmarkStart w:id="139" w:name="programme-aide-durgence"/>
    <w:p>
      <w:pPr>
        <w:pStyle w:val="Heading4"/>
      </w:pPr>
      <w:r>
        <w:t xml:space="preserve">12.3. Programme “Aide d’Urgence”</w:t>
      </w:r>
    </w:p>
    <w:p>
      <w:pPr>
        <w:pStyle w:val="FirstParagraph"/>
      </w:pPr>
      <w:r>
        <w:t xml:space="preserve">Ce programme apporte un soutien aux familles de jumeaux en difficulté :</w:t>
      </w:r>
    </w:p>
    <w:p>
      <w:pPr>
        <w:numPr>
          <w:ilvl w:val="0"/>
          <w:numId w:val="1090"/>
        </w:numPr>
      </w:pPr>
      <w:r>
        <w:t xml:space="preserve">Aide matérielle (équipement, vêtements, etc.)</w:t>
      </w:r>
    </w:p>
    <w:p>
      <w:pPr>
        <w:numPr>
          <w:ilvl w:val="0"/>
          <w:numId w:val="1090"/>
        </w:numPr>
      </w:pPr>
      <w:r>
        <w:t xml:space="preserve">Assistance administrative</w:t>
      </w:r>
    </w:p>
    <w:p>
      <w:pPr>
        <w:numPr>
          <w:ilvl w:val="0"/>
          <w:numId w:val="1090"/>
        </w:numPr>
      </w:pPr>
      <w:r>
        <w:t xml:space="preserve">Soutien psychologique</w:t>
      </w:r>
    </w:p>
    <w:p>
      <w:pPr>
        <w:numPr>
          <w:ilvl w:val="0"/>
          <w:numId w:val="1090"/>
        </w:numPr>
      </w:pPr>
      <w:r>
        <w:t xml:space="preserve">Garde temporaire</w:t>
      </w:r>
    </w:p>
    <w:p>
      <w:pPr>
        <w:numPr>
          <w:ilvl w:val="0"/>
          <w:numId w:val="1090"/>
        </w:numPr>
      </w:pPr>
      <w:r>
        <w:t xml:space="preserve">Aide alimentaire</w:t>
      </w:r>
    </w:p>
    <w:bookmarkEnd w:id="139"/>
    <w:bookmarkStart w:id="140" w:name="programme-jumeaux-société"/>
    <w:p>
      <w:pPr>
        <w:pStyle w:val="Heading4"/>
      </w:pPr>
      <w:r>
        <w:t xml:space="preserve">12.4. Programme “Jumeaux &amp; Société”</w:t>
      </w:r>
    </w:p>
    <w:p>
      <w:pPr>
        <w:pStyle w:val="FirstParagraph"/>
      </w:pPr>
      <w:r>
        <w:t xml:space="preserve">Ce programme vise à :</w:t>
      </w:r>
    </w:p>
    <w:p>
      <w:pPr>
        <w:numPr>
          <w:ilvl w:val="0"/>
          <w:numId w:val="1091"/>
        </w:numPr>
      </w:pPr>
      <w:r>
        <w:t xml:space="preserve">Sensibiliser le public aux réalités de la gémellité</w:t>
      </w:r>
    </w:p>
    <w:p>
      <w:pPr>
        <w:numPr>
          <w:ilvl w:val="0"/>
          <w:numId w:val="1091"/>
        </w:numPr>
      </w:pPr>
      <w:r>
        <w:t xml:space="preserve">Promouvoir les droits spécifiques des jumeaux</w:t>
      </w:r>
    </w:p>
    <w:p>
      <w:pPr>
        <w:numPr>
          <w:ilvl w:val="0"/>
          <w:numId w:val="1091"/>
        </w:numPr>
      </w:pPr>
      <w:r>
        <w:t xml:space="preserve">Représenter les intérêts des familles de jumeaux auprès des pouvoirs publics</w:t>
      </w:r>
    </w:p>
    <w:p>
      <w:pPr>
        <w:numPr>
          <w:ilvl w:val="0"/>
          <w:numId w:val="1091"/>
        </w:numPr>
      </w:pPr>
      <w:r>
        <w:t xml:space="preserve">Lutter contre les préjugés et stéréotypes</w:t>
      </w:r>
    </w:p>
    <w:p>
      <w:pPr>
        <w:numPr>
          <w:ilvl w:val="0"/>
          <w:numId w:val="1091"/>
        </w:numPr>
      </w:pPr>
      <w:r>
        <w:t xml:space="preserve">Valoriser les apports culturels de la gémellité</w:t>
      </w:r>
    </w:p>
    <w:bookmarkEnd w:id="140"/>
    <w:bookmarkStart w:id="141" w:name="programme-recherche-innovation"/>
    <w:p>
      <w:pPr>
        <w:pStyle w:val="Heading4"/>
      </w:pPr>
      <w:r>
        <w:t xml:space="preserve">12.5. Programme “Recherche &amp; Innovation”</w:t>
      </w:r>
    </w:p>
    <w:p>
      <w:pPr>
        <w:pStyle w:val="FirstParagraph"/>
      </w:pPr>
      <w:r>
        <w:t xml:space="preserve">Ce programme soutient :</w:t>
      </w:r>
    </w:p>
    <w:p>
      <w:pPr>
        <w:numPr>
          <w:ilvl w:val="0"/>
          <w:numId w:val="1092"/>
        </w:numPr>
      </w:pPr>
      <w:r>
        <w:t xml:space="preserve">Des projets de recherche scientifique sur la gémellité</w:t>
      </w:r>
    </w:p>
    <w:p>
      <w:pPr>
        <w:numPr>
          <w:ilvl w:val="0"/>
          <w:numId w:val="1092"/>
        </w:numPr>
      </w:pPr>
      <w:r>
        <w:t xml:space="preserve">Le développement d’équipements adaptés aux jumeaux</w:t>
      </w:r>
    </w:p>
    <w:p>
      <w:pPr>
        <w:numPr>
          <w:ilvl w:val="0"/>
          <w:numId w:val="1092"/>
        </w:numPr>
      </w:pPr>
      <w:r>
        <w:t xml:space="preserve">Des innovations pédagogiques</w:t>
      </w:r>
    </w:p>
    <w:p>
      <w:pPr>
        <w:numPr>
          <w:ilvl w:val="0"/>
          <w:numId w:val="1092"/>
        </w:numPr>
      </w:pPr>
      <w:r>
        <w:t xml:space="preserve">La constitution d’une base documentaire internationale</w:t>
      </w:r>
    </w:p>
    <w:p>
      <w:pPr>
        <w:numPr>
          <w:ilvl w:val="0"/>
          <w:numId w:val="1092"/>
        </w:numPr>
      </w:pPr>
      <w:r>
        <w:t xml:space="preserve">Les échanges entre chercheurs et praticiens</w:t>
      </w:r>
    </w:p>
    <w:bookmarkEnd w:id="141"/>
    <w:bookmarkEnd w:id="142"/>
    <w:bookmarkStart w:id="147" w:name="article-13-organisation-des-événements"/>
    <w:p>
      <w:pPr>
        <w:pStyle w:val="Heading3"/>
      </w:pPr>
      <w:r>
        <w:t xml:space="preserve">Article 13 : Organisation des événements</w:t>
      </w:r>
    </w:p>
    <w:bookmarkStart w:id="143" w:name="types-dévénements"/>
    <w:p>
      <w:pPr>
        <w:pStyle w:val="Heading4"/>
      </w:pPr>
      <w:r>
        <w:t xml:space="preserve">13.1. Types d’événements</w:t>
      </w:r>
    </w:p>
    <w:p>
      <w:pPr>
        <w:pStyle w:val="FirstParagraph"/>
      </w:pPr>
      <w:r>
        <w:t xml:space="preserve">L’Association organise régulièrement :</w:t>
      </w:r>
    </w:p>
    <w:p>
      <w:pPr>
        <w:numPr>
          <w:ilvl w:val="0"/>
          <w:numId w:val="1093"/>
        </w:numPr>
      </w:pPr>
      <w:r>
        <w:t xml:space="preserve">La Journée Mondiale des Jumeaux (premier dimanche de mai)</w:t>
      </w:r>
    </w:p>
    <w:p>
      <w:pPr>
        <w:numPr>
          <w:ilvl w:val="0"/>
          <w:numId w:val="1093"/>
        </w:numPr>
      </w:pPr>
      <w:r>
        <w:t xml:space="preserve">Le Congrès International (tous les quatre ans)</w:t>
      </w:r>
    </w:p>
    <w:p>
      <w:pPr>
        <w:numPr>
          <w:ilvl w:val="0"/>
          <w:numId w:val="1093"/>
        </w:numPr>
      </w:pPr>
      <w:r>
        <w:t xml:space="preserve">Les Forums Nationaux (annuels)</w:t>
      </w:r>
    </w:p>
    <w:p>
      <w:pPr>
        <w:numPr>
          <w:ilvl w:val="0"/>
          <w:numId w:val="1093"/>
        </w:numPr>
      </w:pPr>
      <w:r>
        <w:t xml:space="preserve">Les Rencontres Régionales (semestrielles)</w:t>
      </w:r>
    </w:p>
    <w:p>
      <w:pPr>
        <w:numPr>
          <w:ilvl w:val="0"/>
          <w:numId w:val="1093"/>
        </w:numPr>
      </w:pPr>
      <w:r>
        <w:t xml:space="preserve">Les Ateliers Thématiques (mensuels)</w:t>
      </w:r>
    </w:p>
    <w:p>
      <w:pPr>
        <w:numPr>
          <w:ilvl w:val="0"/>
          <w:numId w:val="1093"/>
        </w:numPr>
      </w:pPr>
      <w:r>
        <w:t xml:space="preserve">Les Fêtes des Jumeaux (annuelles par Section)</w:t>
      </w:r>
    </w:p>
    <w:bookmarkEnd w:id="143"/>
    <w:bookmarkStart w:id="144" w:name="procédure-dorganisation"/>
    <w:p>
      <w:pPr>
        <w:pStyle w:val="Heading4"/>
      </w:pPr>
      <w:r>
        <w:t xml:space="preserve">13.2. Procédure d’organisation</w:t>
      </w:r>
    </w:p>
    <w:p>
      <w:pPr>
        <w:pStyle w:val="FirstParagraph"/>
      </w:pPr>
      <w:r>
        <w:t xml:space="preserve">L’organisation d’un événement suit les étapes suivantes :</w:t>
      </w:r>
    </w:p>
    <w:p>
      <w:pPr>
        <w:numPr>
          <w:ilvl w:val="0"/>
          <w:numId w:val="1094"/>
        </w:numPr>
      </w:pPr>
      <w:r>
        <w:t xml:space="preserve">Proposition du projet (objectifs, programme, budget)</w:t>
      </w:r>
    </w:p>
    <w:p>
      <w:pPr>
        <w:numPr>
          <w:ilvl w:val="0"/>
          <w:numId w:val="1094"/>
        </w:numPr>
      </w:pPr>
      <w:r>
        <w:t xml:space="preserve">Validation par l’instance compétente</w:t>
      </w:r>
    </w:p>
    <w:p>
      <w:pPr>
        <w:numPr>
          <w:ilvl w:val="0"/>
          <w:numId w:val="1094"/>
        </w:numPr>
      </w:pPr>
      <w:r>
        <w:t xml:space="preserve">Constitution d’un comité d’organisation</w:t>
      </w:r>
    </w:p>
    <w:p>
      <w:pPr>
        <w:numPr>
          <w:ilvl w:val="0"/>
          <w:numId w:val="1094"/>
        </w:numPr>
      </w:pPr>
      <w:r>
        <w:t xml:space="preserve">Élaboration d’un plan d’action détaillé</w:t>
      </w:r>
    </w:p>
    <w:p>
      <w:pPr>
        <w:numPr>
          <w:ilvl w:val="0"/>
          <w:numId w:val="1094"/>
        </w:numPr>
      </w:pPr>
      <w:r>
        <w:t xml:space="preserve">Communication et invitations</w:t>
      </w:r>
    </w:p>
    <w:p>
      <w:pPr>
        <w:numPr>
          <w:ilvl w:val="0"/>
          <w:numId w:val="1094"/>
        </w:numPr>
      </w:pPr>
      <w:r>
        <w:t xml:space="preserve">Réalisation de l’événement</w:t>
      </w:r>
    </w:p>
    <w:p>
      <w:pPr>
        <w:numPr>
          <w:ilvl w:val="0"/>
          <w:numId w:val="1094"/>
        </w:numPr>
      </w:pPr>
      <w:r>
        <w:t xml:space="preserve">Évaluation et rapport</w:t>
      </w:r>
    </w:p>
    <w:bookmarkEnd w:id="144"/>
    <w:bookmarkStart w:id="145" w:name="sécurité-et-assurances"/>
    <w:p>
      <w:pPr>
        <w:pStyle w:val="Heading4"/>
      </w:pPr>
      <w:r>
        <w:t xml:space="preserve">13.3. Sécurité et assurances</w:t>
      </w:r>
    </w:p>
    <w:p>
      <w:pPr>
        <w:pStyle w:val="FirstParagraph"/>
      </w:pPr>
      <w:r>
        <w:t xml:space="preserve">Tout événement doit faire l’objet :</w:t>
      </w:r>
    </w:p>
    <w:p>
      <w:pPr>
        <w:numPr>
          <w:ilvl w:val="0"/>
          <w:numId w:val="1095"/>
        </w:numPr>
      </w:pPr>
      <w:r>
        <w:t xml:space="preserve">D’une déclaration préalable aux autorités compétentes si nécessaire</w:t>
      </w:r>
    </w:p>
    <w:p>
      <w:pPr>
        <w:numPr>
          <w:ilvl w:val="0"/>
          <w:numId w:val="1095"/>
        </w:numPr>
      </w:pPr>
      <w:r>
        <w:t xml:space="preserve">D’une assurance spécifique couverture responsabilité civile</w:t>
      </w:r>
    </w:p>
    <w:p>
      <w:pPr>
        <w:numPr>
          <w:ilvl w:val="0"/>
          <w:numId w:val="1095"/>
        </w:numPr>
      </w:pPr>
      <w:r>
        <w:t xml:space="preserve">D’un dispositif de sécurité adapté</w:t>
      </w:r>
    </w:p>
    <w:p>
      <w:pPr>
        <w:numPr>
          <w:ilvl w:val="0"/>
          <w:numId w:val="1095"/>
        </w:numPr>
      </w:pPr>
      <w:r>
        <w:t xml:space="preserve">D’un plan d’évacuation d’urgence pour les grands rassemblements</w:t>
      </w:r>
    </w:p>
    <w:p>
      <w:pPr>
        <w:numPr>
          <w:ilvl w:val="0"/>
          <w:numId w:val="1095"/>
        </w:numPr>
      </w:pPr>
      <w:r>
        <w:t xml:space="preserve">D’une information claire des participants sur les consignes de sécurité</w:t>
      </w:r>
    </w:p>
    <w:bookmarkEnd w:id="145"/>
    <w:bookmarkStart w:id="146" w:name="prises-de-parole-officielles"/>
    <w:p>
      <w:pPr>
        <w:pStyle w:val="Heading4"/>
      </w:pPr>
      <w:r>
        <w:t xml:space="preserve">13.4. Prises de parole officielles</w:t>
      </w:r>
    </w:p>
    <w:p>
      <w:pPr>
        <w:pStyle w:val="FirstParagraph"/>
      </w:pPr>
      <w:r>
        <w:t xml:space="preserve">Lors des événements officiels, les prises de parole sont réservées :</w:t>
      </w:r>
    </w:p>
    <w:p>
      <w:pPr>
        <w:numPr>
          <w:ilvl w:val="0"/>
          <w:numId w:val="1096"/>
        </w:numPr>
      </w:pPr>
      <w:r>
        <w:t xml:space="preserve">Aux membres du Comité Exécutif International</w:t>
      </w:r>
    </w:p>
    <w:p>
      <w:pPr>
        <w:numPr>
          <w:ilvl w:val="0"/>
          <w:numId w:val="1096"/>
        </w:numPr>
      </w:pPr>
      <w:r>
        <w:t xml:space="preserve">Aux Présidents Nationaux et de Section</w:t>
      </w:r>
    </w:p>
    <w:p>
      <w:pPr>
        <w:numPr>
          <w:ilvl w:val="0"/>
          <w:numId w:val="1096"/>
        </w:numPr>
      </w:pPr>
      <w:r>
        <w:t xml:space="preserve">Aux intervenants invités</w:t>
      </w:r>
    </w:p>
    <w:p>
      <w:pPr>
        <w:numPr>
          <w:ilvl w:val="0"/>
          <w:numId w:val="1096"/>
        </w:numPr>
      </w:pPr>
      <w:r>
        <w:t xml:space="preserve">Aux personnes expressément autorisées par le Président</w:t>
      </w:r>
    </w:p>
    <w:p>
      <w:pPr>
        <w:pStyle w:val="FirstParagraph"/>
      </w:pPr>
      <w:r>
        <w:t xml:space="preserve">Tout discours engageant l’Association doit être préalablement validé par le responsable de l’événement.</w:t>
      </w:r>
    </w:p>
    <w:bookmarkEnd w:id="146"/>
    <w:bookmarkEnd w:id="147"/>
    <w:bookmarkStart w:id="151" w:name="X6f505dc3e224752aacf3fe56539b05413b32d51"/>
    <w:p>
      <w:pPr>
        <w:pStyle w:val="Heading3"/>
      </w:pPr>
      <w:r>
        <w:t xml:space="preserve">Article 14 : Partenariats et collaborations externes</w:t>
      </w:r>
    </w:p>
    <w:bookmarkStart w:id="148" w:name="types-de-partenariats"/>
    <w:p>
      <w:pPr>
        <w:pStyle w:val="Heading4"/>
      </w:pPr>
      <w:r>
        <w:t xml:space="preserve">14.1. Types de partenariats</w:t>
      </w:r>
    </w:p>
    <w:p>
      <w:pPr>
        <w:pStyle w:val="FirstParagraph"/>
      </w:pPr>
      <w:r>
        <w:t xml:space="preserve">L’Association peut établir différents types de partenariats :</w:t>
      </w:r>
    </w:p>
    <w:p>
      <w:pPr>
        <w:numPr>
          <w:ilvl w:val="0"/>
          <w:numId w:val="1097"/>
        </w:numPr>
      </w:pPr>
      <w:r>
        <w:t xml:space="preserve">Partenariats institutionnels avec des organismes publics</w:t>
      </w:r>
    </w:p>
    <w:p>
      <w:pPr>
        <w:numPr>
          <w:ilvl w:val="0"/>
          <w:numId w:val="1097"/>
        </w:numPr>
      </w:pPr>
      <w:r>
        <w:t xml:space="preserve">Partenariats scientifiques avec des centres de recherche</w:t>
      </w:r>
    </w:p>
    <w:p>
      <w:pPr>
        <w:numPr>
          <w:ilvl w:val="0"/>
          <w:numId w:val="1097"/>
        </w:numPr>
      </w:pPr>
      <w:r>
        <w:t xml:space="preserve">Partenariats opérationnels avec d’autres associations</w:t>
      </w:r>
    </w:p>
    <w:p>
      <w:pPr>
        <w:numPr>
          <w:ilvl w:val="0"/>
          <w:numId w:val="1097"/>
        </w:numPr>
      </w:pPr>
      <w:r>
        <w:t xml:space="preserve">Partenariats financiers avec des mécènes et sponsors</w:t>
      </w:r>
    </w:p>
    <w:p>
      <w:pPr>
        <w:numPr>
          <w:ilvl w:val="0"/>
          <w:numId w:val="1097"/>
        </w:numPr>
      </w:pPr>
      <w:r>
        <w:t xml:space="preserve">Partenariats médias pour la diffusion d’informations</w:t>
      </w:r>
    </w:p>
    <w:bookmarkEnd w:id="148"/>
    <w:bookmarkStart w:id="149" w:name="procédure-de-validation"/>
    <w:p>
      <w:pPr>
        <w:pStyle w:val="Heading4"/>
      </w:pPr>
      <w:r>
        <w:t xml:space="preserve">14.2. Procédure de validation</w:t>
      </w:r>
    </w:p>
    <w:p>
      <w:pPr>
        <w:pStyle w:val="FirstParagraph"/>
      </w:pPr>
      <w:r>
        <w:t xml:space="preserve">Tout projet de partenariat doit suivre la procédure suivante :</w:t>
      </w:r>
    </w:p>
    <w:p>
      <w:pPr>
        <w:numPr>
          <w:ilvl w:val="0"/>
          <w:numId w:val="1098"/>
        </w:numPr>
      </w:pPr>
      <w:r>
        <w:t xml:space="preserve">Présentation d’une note d’opportunité</w:t>
      </w:r>
    </w:p>
    <w:p>
      <w:pPr>
        <w:numPr>
          <w:ilvl w:val="0"/>
          <w:numId w:val="1098"/>
        </w:numPr>
      </w:pPr>
      <w:r>
        <w:t xml:space="preserve">Évaluation par le Comité compétent</w:t>
      </w:r>
    </w:p>
    <w:p>
      <w:pPr>
        <w:numPr>
          <w:ilvl w:val="0"/>
          <w:numId w:val="1098"/>
        </w:numPr>
      </w:pPr>
      <w:r>
        <w:t xml:space="preserve">Négociation des termes de l’accord</w:t>
      </w:r>
    </w:p>
    <w:p>
      <w:pPr>
        <w:numPr>
          <w:ilvl w:val="0"/>
          <w:numId w:val="1098"/>
        </w:numPr>
      </w:pPr>
      <w:r>
        <w:t xml:space="preserve">Rédaction d’une convention écrite</w:t>
      </w:r>
    </w:p>
    <w:p>
      <w:pPr>
        <w:numPr>
          <w:ilvl w:val="0"/>
          <w:numId w:val="1098"/>
        </w:numPr>
      </w:pPr>
      <w:r>
        <w:t xml:space="preserve">Validation par l’instance dirigeante concernée</w:t>
      </w:r>
    </w:p>
    <w:p>
      <w:pPr>
        <w:numPr>
          <w:ilvl w:val="0"/>
          <w:numId w:val="1098"/>
        </w:numPr>
      </w:pPr>
      <w:r>
        <w:t xml:space="preserve">Signature par les représentants habilités</w:t>
      </w:r>
    </w:p>
    <w:p>
      <w:pPr>
        <w:numPr>
          <w:ilvl w:val="0"/>
          <w:numId w:val="1098"/>
        </w:numPr>
      </w:pPr>
      <w:r>
        <w:t xml:space="preserve">Suivi et évaluation périodique</w:t>
      </w:r>
    </w:p>
    <w:bookmarkEnd w:id="149"/>
    <w:bookmarkStart w:id="150" w:name="exclusions-et-incompatibilités"/>
    <w:p>
      <w:pPr>
        <w:pStyle w:val="Heading4"/>
      </w:pPr>
      <w:r>
        <w:t xml:space="preserve">14.3. Exclusions et incompatibilités</w:t>
      </w:r>
    </w:p>
    <w:p>
      <w:pPr>
        <w:pStyle w:val="FirstParagraph"/>
      </w:pPr>
      <w:r>
        <w:t xml:space="preserve">Sont exclus de tout partenariat les organismes :</w:t>
      </w:r>
    </w:p>
    <w:p>
      <w:pPr>
        <w:numPr>
          <w:ilvl w:val="0"/>
          <w:numId w:val="1099"/>
        </w:numPr>
      </w:pPr>
      <w:r>
        <w:t xml:space="preserve">Dont l’activité est contraire aux valeurs de l’Association</w:t>
      </w:r>
    </w:p>
    <w:p>
      <w:pPr>
        <w:numPr>
          <w:ilvl w:val="0"/>
          <w:numId w:val="1099"/>
        </w:numPr>
      </w:pPr>
      <w:r>
        <w:t xml:space="preserve">Impliqués dans des activités préjudiciables à la santé</w:t>
      </w:r>
    </w:p>
    <w:p>
      <w:pPr>
        <w:numPr>
          <w:ilvl w:val="0"/>
          <w:numId w:val="1099"/>
        </w:numPr>
      </w:pPr>
      <w:r>
        <w:t xml:space="preserve">Ayant des pratiques discriminatoires</w:t>
      </w:r>
    </w:p>
    <w:p>
      <w:pPr>
        <w:numPr>
          <w:ilvl w:val="0"/>
          <w:numId w:val="1099"/>
        </w:numPr>
      </w:pPr>
      <w:r>
        <w:t xml:space="preserve">Faisant l’objet de poursuites judiciaires pour fraude</w:t>
      </w:r>
    </w:p>
    <w:p>
      <w:pPr>
        <w:numPr>
          <w:ilvl w:val="0"/>
          <w:numId w:val="1099"/>
        </w:numPr>
      </w:pPr>
      <w:r>
        <w:t xml:space="preserve">Exerçant des pressions incompatibles avec l’indépendance de l’Association</w:t>
      </w:r>
    </w:p>
    <w:bookmarkEnd w:id="150"/>
    <w:bookmarkEnd w:id="151"/>
    <w:bookmarkEnd w:id="152"/>
    <w:bookmarkStart w:id="169" w:name="titre-v-dispositions-diverses"/>
    <w:p>
      <w:pPr>
        <w:pStyle w:val="Heading2"/>
      </w:pPr>
      <w:r>
        <w:t xml:space="preserve">TITRE V : DISPOSITIONS DIVERSES</w:t>
      </w:r>
    </w:p>
    <w:bookmarkStart w:id="156" w:name="X19ca3aab8b6ac32b19efea3303b1f3a6aa91e08"/>
    <w:p>
      <w:pPr>
        <w:pStyle w:val="Heading3"/>
      </w:pPr>
      <w:r>
        <w:t xml:space="preserve">Article 15 : Modification du Règlement Intérieur</w:t>
      </w:r>
    </w:p>
    <w:bookmarkStart w:id="153" w:name="procédure-de-modification"/>
    <w:p>
      <w:pPr>
        <w:pStyle w:val="Heading4"/>
      </w:pPr>
      <w:r>
        <w:t xml:space="preserve">15.1. Procédure de modification</w:t>
      </w:r>
    </w:p>
    <w:p>
      <w:pPr>
        <w:pStyle w:val="FirstParagraph"/>
      </w:pPr>
      <w:r>
        <w:t xml:space="preserve">Le Règlement Intérieur peut être modifié :</w:t>
      </w:r>
    </w:p>
    <w:p>
      <w:pPr>
        <w:numPr>
          <w:ilvl w:val="0"/>
          <w:numId w:val="1100"/>
        </w:numPr>
      </w:pPr>
      <w:r>
        <w:t xml:space="preserve">Sur proposition du Comité Exécutif International</w:t>
      </w:r>
    </w:p>
    <w:p>
      <w:pPr>
        <w:numPr>
          <w:ilvl w:val="0"/>
          <w:numId w:val="1100"/>
        </w:numPr>
      </w:pPr>
      <w:r>
        <w:t xml:space="preserve">Sur proposition écrite d’au moins un tiers des membres du Conseil Mondial</w:t>
      </w:r>
    </w:p>
    <w:p>
      <w:pPr>
        <w:numPr>
          <w:ilvl w:val="0"/>
          <w:numId w:val="1100"/>
        </w:numPr>
      </w:pPr>
      <w:r>
        <w:t xml:space="preserve">Sur proposition de la majorité des Présidents d’Antennes Nationales</w:t>
      </w:r>
    </w:p>
    <w:p>
      <w:pPr>
        <w:pStyle w:val="FirstParagraph"/>
      </w:pPr>
      <w:r>
        <w:t xml:space="preserve">La proposition de modification est soumise au Conseil Mondial qui statue à la majorité des deux tiers des membres présents ou représentés.</w:t>
      </w:r>
    </w:p>
    <w:bookmarkEnd w:id="153"/>
    <w:bookmarkStart w:id="154" w:name="entrée-en-vigueur"/>
    <w:p>
      <w:pPr>
        <w:pStyle w:val="Heading4"/>
      </w:pPr>
      <w:r>
        <w:t xml:space="preserve">15.2. Entrée en vigueur</w:t>
      </w:r>
    </w:p>
    <w:p>
      <w:pPr>
        <w:pStyle w:val="FirstParagraph"/>
      </w:pPr>
      <w:r>
        <w:t xml:space="preserve">Les modifications du Règlement Intérieur entrent en vigueur :</w:t>
      </w:r>
    </w:p>
    <w:p>
      <w:pPr>
        <w:numPr>
          <w:ilvl w:val="0"/>
          <w:numId w:val="1101"/>
        </w:numPr>
      </w:pPr>
      <w:r>
        <w:t xml:space="preserve">Immédiatement pour les dispositions ne modifiant pas les structures existantes</w:t>
      </w:r>
    </w:p>
    <w:p>
      <w:pPr>
        <w:numPr>
          <w:ilvl w:val="0"/>
          <w:numId w:val="1101"/>
        </w:numPr>
      </w:pPr>
      <w:r>
        <w:t xml:space="preserve">Au premier jour du trimestre suivant pour les autres dispositions</w:t>
      </w:r>
    </w:p>
    <w:bookmarkEnd w:id="154"/>
    <w:bookmarkStart w:id="155" w:name="diffusion"/>
    <w:p>
      <w:pPr>
        <w:pStyle w:val="Heading4"/>
      </w:pPr>
      <w:r>
        <w:t xml:space="preserve">15.3. Diffusion</w:t>
      </w:r>
    </w:p>
    <w:p>
      <w:pPr>
        <w:pStyle w:val="FirstParagraph"/>
      </w:pPr>
      <w:r>
        <w:t xml:space="preserve">Toute modification du Règlement Intérieur fait l’objet d’une diffusion à tous les membres par :</w:t>
      </w:r>
    </w:p>
    <w:p>
      <w:pPr>
        <w:numPr>
          <w:ilvl w:val="0"/>
          <w:numId w:val="1102"/>
        </w:numPr>
      </w:pPr>
      <w:r>
        <w:t xml:space="preserve">Publication sur le site internet</w:t>
      </w:r>
    </w:p>
    <w:p>
      <w:pPr>
        <w:numPr>
          <w:ilvl w:val="0"/>
          <w:numId w:val="1102"/>
        </w:numPr>
      </w:pPr>
      <w:r>
        <w:t xml:space="preserve">Envoi aux Antennes Nationales</w:t>
      </w:r>
    </w:p>
    <w:p>
      <w:pPr>
        <w:numPr>
          <w:ilvl w:val="0"/>
          <w:numId w:val="1102"/>
        </w:numPr>
      </w:pPr>
      <w:r>
        <w:t xml:space="preserve">Information dans la lettre trimestrielle</w:t>
      </w:r>
    </w:p>
    <w:p>
      <w:pPr>
        <w:numPr>
          <w:ilvl w:val="0"/>
          <w:numId w:val="1102"/>
        </w:numPr>
      </w:pPr>
      <w:r>
        <w:t xml:space="preserve">Affichage dans les locaux des Sections</w:t>
      </w:r>
    </w:p>
    <w:bookmarkEnd w:id="155"/>
    <w:bookmarkEnd w:id="156"/>
    <w:bookmarkStart w:id="160" w:name="article-16-interprétation-et-litiges"/>
    <w:p>
      <w:pPr>
        <w:pStyle w:val="Heading3"/>
      </w:pPr>
      <w:r>
        <w:t xml:space="preserve">Article 16 : Interprétation et litiges</w:t>
      </w:r>
    </w:p>
    <w:bookmarkStart w:id="157" w:name="comité-dinterprétation"/>
    <w:p>
      <w:pPr>
        <w:pStyle w:val="Heading4"/>
      </w:pPr>
      <w:r>
        <w:t xml:space="preserve">16.1. Comité d’interprétation</w:t>
      </w:r>
    </w:p>
    <w:p>
      <w:pPr>
        <w:pStyle w:val="FirstParagraph"/>
      </w:pPr>
      <w:r>
        <w:t xml:space="preserve">En cas de difficulté d’interprétation du présent Règlement, un Comité d’Interprétation composé de :</w:t>
      </w:r>
    </w:p>
    <w:p>
      <w:pPr>
        <w:numPr>
          <w:ilvl w:val="0"/>
          <w:numId w:val="1103"/>
        </w:numPr>
      </w:pPr>
      <w:r>
        <w:t xml:space="preserve">Le Président International</w:t>
      </w:r>
    </w:p>
    <w:p>
      <w:pPr>
        <w:numPr>
          <w:ilvl w:val="0"/>
          <w:numId w:val="1103"/>
        </w:numPr>
      </w:pPr>
      <w:r>
        <w:t xml:space="preserve">Le Secrétaire Général</w:t>
      </w:r>
    </w:p>
    <w:p>
      <w:pPr>
        <w:numPr>
          <w:ilvl w:val="0"/>
          <w:numId w:val="1103"/>
        </w:numPr>
      </w:pPr>
      <w:r>
        <w:t xml:space="preserve">Un juriste choisi parmi les membres</w:t>
      </w:r>
    </w:p>
    <w:p>
      <w:pPr>
        <w:numPr>
          <w:ilvl w:val="0"/>
          <w:numId w:val="1103"/>
        </w:numPr>
      </w:pPr>
      <w:r>
        <w:t xml:space="preserve">Deux membres du Conseil Mondial élus à cet effet</w:t>
      </w:r>
    </w:p>
    <w:p>
      <w:pPr>
        <w:pStyle w:val="FirstParagraph"/>
      </w:pPr>
      <w:r>
        <w:t xml:space="preserve">statue sur le sens à donner aux dispositions litigieuses.</w:t>
      </w:r>
    </w:p>
    <w:bookmarkEnd w:id="157"/>
    <w:bookmarkStart w:id="158" w:name="procédure-de-conciliation"/>
    <w:p>
      <w:pPr>
        <w:pStyle w:val="Heading4"/>
      </w:pPr>
      <w:r>
        <w:t xml:space="preserve">16.2. Procédure de conciliation</w:t>
      </w:r>
    </w:p>
    <w:p>
      <w:pPr>
        <w:pStyle w:val="FirstParagraph"/>
      </w:pPr>
      <w:r>
        <w:t xml:space="preserve">Tout litige entre membres ou instances de l’Association fait l’objet d’une tentative de conciliation préalable devant un médiateur désigné par le Président de l’instance supérieure.</w:t>
      </w:r>
    </w:p>
    <w:bookmarkEnd w:id="158"/>
    <w:bookmarkStart w:id="159" w:name="arbitrage"/>
    <w:p>
      <w:pPr>
        <w:pStyle w:val="Heading4"/>
      </w:pPr>
      <w:r>
        <w:t xml:space="preserve">16.3. Arbitrage</w:t>
      </w:r>
    </w:p>
    <w:p>
      <w:pPr>
        <w:pStyle w:val="FirstParagraph"/>
      </w:pPr>
      <w:r>
        <w:t xml:space="preserve">En cas d’échec de la conciliation, le litige est soumis à un Conseil d’Arbitrage composé de cinq membres tirés au sort parmi les membres du Conseil Mondial n’appartenant pas aux instances concernées par le litige.</w:t>
      </w:r>
    </w:p>
    <w:p>
      <w:pPr>
        <w:pStyle w:val="BodyText"/>
      </w:pPr>
      <w:r>
        <w:t xml:space="preserve">La décision du Conseil d’Arbitrage est définitive et s’impose à tous les membres.</w:t>
      </w:r>
    </w:p>
    <w:bookmarkEnd w:id="159"/>
    <w:bookmarkEnd w:id="160"/>
    <w:bookmarkStart w:id="164" w:name="article-17-dissolution-et-liquidation"/>
    <w:p>
      <w:pPr>
        <w:pStyle w:val="Heading3"/>
      </w:pPr>
      <w:r>
        <w:t xml:space="preserve">Article 17 : Dissolution et liquidation</w:t>
      </w:r>
    </w:p>
    <w:bookmarkStart w:id="161" w:name="procédure-de-dissolution"/>
    <w:p>
      <w:pPr>
        <w:pStyle w:val="Heading4"/>
      </w:pPr>
      <w:r>
        <w:t xml:space="preserve">17.1. Procédure de dissolution</w:t>
      </w:r>
    </w:p>
    <w:p>
      <w:pPr>
        <w:pStyle w:val="FirstParagraph"/>
      </w:pPr>
      <w:r>
        <w:t xml:space="preserve">En cas de dissolution prononcée conformément aux Statuts, le Conseil Mondial désigne un ou plusieurs liquidateurs chargés des opérations de liquidation.</w:t>
      </w:r>
    </w:p>
    <w:bookmarkEnd w:id="161"/>
    <w:bookmarkStart w:id="162" w:name="dévolution-des-biens"/>
    <w:p>
      <w:pPr>
        <w:pStyle w:val="Heading4"/>
      </w:pPr>
      <w:r>
        <w:t xml:space="preserve">17.2. Dévolution des biens</w:t>
      </w:r>
    </w:p>
    <w:p>
      <w:pPr>
        <w:pStyle w:val="FirstParagraph"/>
      </w:pPr>
      <w:r>
        <w:t xml:space="preserve">L’actif net est attribué à une ou plusieurs associations poursuivant des objectifs similaires, désignées par le Conseil Mondial.</w:t>
      </w:r>
    </w:p>
    <w:p>
      <w:pPr>
        <w:pStyle w:val="BodyText"/>
      </w:pPr>
      <w:r>
        <w:t xml:space="preserve">En aucun cas, les membres de l’Association ne peuvent se voir attribuer une part quelconque des biens de l’Association.</w:t>
      </w:r>
    </w:p>
    <w:bookmarkEnd w:id="162"/>
    <w:bookmarkStart w:id="163" w:name="conservation-des-archives"/>
    <w:p>
      <w:pPr>
        <w:pStyle w:val="Heading4"/>
      </w:pPr>
      <w:r>
        <w:t xml:space="preserve">17.3. Conservation des archives</w:t>
      </w:r>
    </w:p>
    <w:p>
      <w:pPr>
        <w:pStyle w:val="FirstParagraph"/>
      </w:pPr>
      <w:r>
        <w:t xml:space="preserve">Les archives de l’Association sont remises à une institution désignée par le Conseil Mondial qui en assurera la conservation et l’accessibilité.</w:t>
      </w:r>
    </w:p>
    <w:bookmarkEnd w:id="163"/>
    <w:bookmarkEnd w:id="164"/>
    <w:bookmarkStart w:id="168" w:name="article-18-publication-et-opposabilité"/>
    <w:p>
      <w:pPr>
        <w:pStyle w:val="Heading3"/>
      </w:pPr>
      <w:r>
        <w:t xml:space="preserve">Article 18 : Publication et opposabilité</w:t>
      </w:r>
    </w:p>
    <w:bookmarkStart w:id="165" w:name="publication"/>
    <w:p>
      <w:pPr>
        <w:pStyle w:val="Heading4"/>
      </w:pPr>
      <w:r>
        <w:t xml:space="preserve">18.1. Publication</w:t>
      </w:r>
    </w:p>
    <w:p>
      <w:pPr>
        <w:pStyle w:val="FirstParagraph"/>
      </w:pPr>
      <w:r>
        <w:t xml:space="preserve">Le présent Règlement Intérieur est publié :</w:t>
      </w:r>
    </w:p>
    <w:p>
      <w:pPr>
        <w:numPr>
          <w:ilvl w:val="0"/>
          <w:numId w:val="1104"/>
        </w:numPr>
      </w:pPr>
      <w:r>
        <w:t xml:space="preserve">Sur le site internet officiel de l’Association</w:t>
      </w:r>
    </w:p>
    <w:p>
      <w:pPr>
        <w:numPr>
          <w:ilvl w:val="0"/>
          <w:numId w:val="1104"/>
        </w:numPr>
      </w:pPr>
      <w:r>
        <w:t xml:space="preserve">Dans un recueil mis à la disposition des membres au siège de chaque Section</w:t>
      </w:r>
    </w:p>
    <w:p>
      <w:pPr>
        <w:numPr>
          <w:ilvl w:val="0"/>
          <w:numId w:val="1104"/>
        </w:numPr>
      </w:pPr>
      <w:r>
        <w:t xml:space="preserve">Dans une version abrégée remise à chaque nouveau membre</w:t>
      </w:r>
    </w:p>
    <w:bookmarkEnd w:id="165"/>
    <w:bookmarkStart w:id="166" w:name="opposabilité"/>
    <w:p>
      <w:pPr>
        <w:pStyle w:val="Heading4"/>
      </w:pPr>
      <w:r>
        <w:t xml:space="preserve">18.2. Opposabilité</w:t>
      </w:r>
    </w:p>
    <w:p>
      <w:pPr>
        <w:pStyle w:val="FirstParagraph"/>
      </w:pPr>
      <w:r>
        <w:t xml:space="preserve">Le présent Règlement Intérieur est opposable à tous les membres de l’Association.</w:t>
      </w:r>
    </w:p>
    <w:p>
      <w:pPr>
        <w:pStyle w:val="BodyText"/>
      </w:pPr>
      <w:r>
        <w:t xml:space="preserve">L’adhésion à l’Association emporte de plein droit acceptation du Règlement Intérieur.</w:t>
      </w:r>
    </w:p>
    <w:bookmarkEnd w:id="166"/>
    <w:bookmarkStart w:id="167" w:name="preuve-de-la-connaissance"/>
    <w:p>
      <w:pPr>
        <w:pStyle w:val="Heading4"/>
      </w:pPr>
      <w:r>
        <w:t xml:space="preserve">18.3. Preuve de la connaissance</w:t>
      </w:r>
    </w:p>
    <w:p>
      <w:pPr>
        <w:pStyle w:val="FirstParagraph"/>
      </w:pPr>
      <w:r>
        <w:t xml:space="preserve">Nul membre ne peut se prévaloir de l’ignorance du présent Règlement après avoir signé le formulaire d’adhésion qui mentionne explicitement son existence et les moyens d’en prendre connaissance.</w:t>
      </w:r>
    </w:p>
    <w:p>
      <w:pPr>
        <w:pStyle w:val="BodyText"/>
      </w:pPr>
      <w:r>
        <w:t xml:space="preserve">Le présent Règlement Intérieur a été adopté par le Conseil Mondial lors de sa session du [DATE] et entre en vigueur immédiatement.</w:t>
      </w:r>
    </w:p>
    <w:p>
      <w:pPr>
        <w:pStyle w:val="BodyText"/>
      </w:pPr>
      <w:r>
        <w:rPr>
          <w:iCs/>
          <w:i/>
        </w:rPr>
        <w:t xml:space="preserve">Fait à [LIEU], le [DATE]</w:t>
      </w:r>
    </w:p>
    <w:p>
      <w:pPr>
        <w:pStyle w:val="BodyText"/>
      </w:pPr>
      <w:r>
        <w:rPr>
          <w:iCs/>
          <w:i/>
        </w:rPr>
        <w:t xml:space="preserve">Le Président International</w:t>
      </w:r>
      <w:r>
        <w:t xml:space="preserve"> </w:t>
      </w:r>
      <w:r>
        <w:rPr>
          <w:iCs/>
          <w:i/>
        </w:rPr>
        <w:t xml:space="preserve">Le Secrétaire Général</w:t>
      </w:r>
    </w:p>
    <w:bookmarkEnd w:id="167"/>
    <w:bookmarkEnd w:id="168"/>
    <w:bookmarkEnd w:id="169"/>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2026-07-19T02:38:22Z</dcterms:created>
  <dcterms:modified xsi:type="dcterms:W3CDTF">2026-07-19T02:38:22Z</dcterms:modified>
</cp:coreProperties>
</file>

<file path=docProps/custom.xml><?xml version="1.0" encoding="utf-8"?>
<Properties xmlns="http://schemas.openxmlformats.org/officeDocument/2006/custom-properties" xmlns:vt="http://schemas.openxmlformats.org/officeDocument/2006/docPropsVTypes"/>
</file>