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B7A70">
      <w:pPr>
        <w:jc w:val="center"/>
        <w:rPr>
          <w:rFonts w:hint="default" w:ascii="Bell MT" w:hAnsi="Bell MT" w:cs="Bell MT"/>
          <w:sz w:val="52"/>
          <w:szCs w:val="52"/>
        </w:rPr>
      </w:pPr>
    </w:p>
    <w:p w14:paraId="287548A8">
      <w:pPr>
        <w:jc w:val="center"/>
        <w:rPr>
          <w:rFonts w:hint="default" w:ascii="Bell MT" w:hAnsi="Bell MT" w:cs="Bell MT"/>
          <w:sz w:val="52"/>
          <w:szCs w:val="52"/>
        </w:rPr>
      </w:pPr>
      <w:r>
        <w:rPr>
          <w:rFonts w:hint="default" w:ascii="Bell MT" w:hAnsi="Bell MT" w:cs="Bell MT"/>
          <w:sz w:val="52"/>
          <w:szCs w:val="52"/>
        </w:rPr>
        <w:t>Molecular Docking Report</w:t>
      </w:r>
    </w:p>
    <w:p w14:paraId="123D8A7D">
      <w:pPr>
        <w:jc w:val="center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In-Silico Analysis of Gefitinib Binding with EGFR</w:t>
      </w:r>
    </w:p>
    <w:p w14:paraId="44647A39">
      <w:pPr>
        <w:jc w:val="center"/>
        <w:rPr>
          <w:rFonts w:hint="default" w:ascii="Bell MT" w:hAnsi="Bell MT" w:cs="Bell MT"/>
          <w:sz w:val="28"/>
          <w:szCs w:val="28"/>
        </w:rPr>
      </w:pPr>
    </w:p>
    <w:p w14:paraId="5A24AB72">
      <w:pPr>
        <w:jc w:val="center"/>
        <w:rPr>
          <w:rFonts w:hint="default" w:ascii="Bell MT" w:hAnsi="Bell MT" w:cs="Bell MT"/>
          <w:sz w:val="28"/>
          <w:szCs w:val="28"/>
        </w:rPr>
      </w:pPr>
    </w:p>
    <w:p w14:paraId="27B60B2B">
      <w:pPr>
        <w:jc w:val="center"/>
        <w:rPr>
          <w:rFonts w:hint="default" w:ascii="Bell MT" w:hAnsi="Bell MT" w:cs="Bell MT"/>
          <w:sz w:val="28"/>
          <w:szCs w:val="28"/>
        </w:rPr>
      </w:pPr>
    </w:p>
    <w:p w14:paraId="2C3437BC">
      <w:pPr>
        <w:jc w:val="center"/>
        <w:rPr>
          <w:rFonts w:hint="default" w:ascii="Bell MT" w:hAnsi="Bell MT" w:cs="Bell MT"/>
          <w:sz w:val="28"/>
          <w:szCs w:val="28"/>
        </w:rPr>
      </w:pPr>
    </w:p>
    <w:p w14:paraId="49780AE1">
      <w:pPr>
        <w:jc w:val="center"/>
        <w:rPr>
          <w:rFonts w:hint="default" w:ascii="Bell MT" w:hAnsi="Bell MT" w:cs="Bell MT"/>
          <w:sz w:val="28"/>
          <w:szCs w:val="28"/>
        </w:rPr>
      </w:pPr>
    </w:p>
    <w:p w14:paraId="47F2EFB7">
      <w:pPr>
        <w:rPr>
          <w:rFonts w:hint="default" w:ascii="Bell MT" w:hAnsi="Bell MT" w:cs="Bell MT"/>
          <w:sz w:val="36"/>
          <w:szCs w:val="36"/>
        </w:rPr>
      </w:pPr>
      <w:r>
        <w:rPr>
          <w:rFonts w:hint="default" w:ascii="Bell MT" w:hAnsi="Bell MT" w:cs="Bell MT"/>
          <w:sz w:val="36"/>
          <w:szCs w:val="36"/>
        </w:rPr>
        <w:t xml:space="preserve"> 1. Introduction</w:t>
      </w:r>
    </w:p>
    <w:p w14:paraId="7B6E52A5">
      <w:pPr>
        <w:rPr>
          <w:rFonts w:hint="default"/>
        </w:rPr>
      </w:pPr>
    </w:p>
    <w:p w14:paraId="1E66C053">
      <w:pPr>
        <w:ind w:left="556" w:leftChars="278" w:firstLine="560" w:firstLineChars="2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 xml:space="preserve">Epidermal Growth Factor Receptor (EGFR) is a transmembrane receptor tyrosine kinase that plays a crucial role in cell proliferation, differentiation, and survival. Mutations and </w:t>
      </w:r>
      <w:r>
        <w:rPr>
          <w:rFonts w:hint="default" w:ascii="Bell MT" w:hAnsi="Bell MT" w:cs="Bell MT"/>
          <w:sz w:val="28"/>
          <w:szCs w:val="28"/>
          <w:lang w:val="en-IN"/>
        </w:rPr>
        <w:t>over expression</w:t>
      </w:r>
      <w:r>
        <w:rPr>
          <w:rFonts w:hint="default" w:ascii="Bell MT" w:hAnsi="Bell MT" w:cs="Bell MT"/>
          <w:sz w:val="28"/>
          <w:szCs w:val="28"/>
        </w:rPr>
        <w:t xml:space="preserve"> of EGFR are commonly associated with various cancers, particularly non-small cell lung cancer (NSCLC).</w:t>
      </w:r>
    </w:p>
    <w:p w14:paraId="44610A5F">
      <w:pPr>
        <w:rPr>
          <w:rFonts w:hint="default" w:ascii="Bell MT" w:hAnsi="Bell MT" w:cs="Bell MT"/>
          <w:sz w:val="28"/>
          <w:szCs w:val="28"/>
        </w:rPr>
      </w:pPr>
    </w:p>
    <w:p w14:paraId="2B8C6C23">
      <w:pPr>
        <w:ind w:left="278" w:leftChars="139"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Gefitinib is a first-generation EGFR tyrosine kinase inhibitor (TKI) that selectively inhibits ATP binding to the intracellular kinase domain of EGFR, thereby blocking downstream signaling pathways responsible for tumor growth.</w:t>
      </w:r>
    </w:p>
    <w:p w14:paraId="55B8F095">
      <w:pPr>
        <w:rPr>
          <w:rFonts w:hint="default" w:ascii="Bell MT" w:hAnsi="Bell MT" w:cs="Bell MT"/>
          <w:sz w:val="28"/>
          <w:szCs w:val="28"/>
        </w:rPr>
      </w:pPr>
    </w:p>
    <w:p w14:paraId="5FB0E9AA">
      <w:pPr>
        <w:ind w:left="278" w:leftChars="139" w:firstLine="140" w:firstLineChars="5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The present study aims to analyze the molecular interaction between Gefitinib and EGFR using in-silico molecular docking techniques to understand binding affinity and interaction stability.</w:t>
      </w:r>
    </w:p>
    <w:p w14:paraId="5B1B13D7">
      <w:pPr>
        <w:rPr>
          <w:rFonts w:hint="default"/>
        </w:rPr>
      </w:pPr>
    </w:p>
    <w:p w14:paraId="0DC1A0C7">
      <w:pPr>
        <w:rPr>
          <w:rFonts w:hint="default" w:ascii="Bell MT" w:hAnsi="Bell MT" w:cs="Bell MT"/>
          <w:sz w:val="36"/>
          <w:szCs w:val="36"/>
        </w:rPr>
      </w:pPr>
      <w:r>
        <w:rPr>
          <w:rFonts w:hint="default" w:ascii="Bell MT" w:hAnsi="Bell MT" w:cs="Bell MT"/>
          <w:sz w:val="36"/>
          <w:szCs w:val="36"/>
        </w:rPr>
        <w:t xml:space="preserve"> 2. Docking Methodology</w:t>
      </w:r>
    </w:p>
    <w:p w14:paraId="36F5E94C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32"/>
          <w:szCs w:val="32"/>
        </w:rPr>
        <w:t>Protein Preparatio</w:t>
      </w:r>
      <w:r>
        <w:rPr>
          <w:rFonts w:hint="default" w:ascii="Bell MT" w:hAnsi="Bell MT" w:cs="Bell MT"/>
          <w:sz w:val="28"/>
          <w:szCs w:val="28"/>
        </w:rPr>
        <w:t>n</w:t>
      </w:r>
    </w:p>
    <w:p w14:paraId="04A6BA02">
      <w:pPr>
        <w:numPr>
          <w:numId w:val="0"/>
        </w:numPr>
        <w:ind w:leftChars="0"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Target Protein: EGFR Tyrosine Kinase Domain</w:t>
      </w:r>
    </w:p>
    <w:p w14:paraId="3C88CDCB">
      <w:pPr>
        <w:numPr>
          <w:numId w:val="0"/>
        </w:numPr>
        <w:ind w:leftChars="0"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Structure obtained from Protein Data Bank (PDB)</w:t>
      </w:r>
    </w:p>
    <w:p w14:paraId="53BEC6DC">
      <w:pPr>
        <w:numPr>
          <w:numId w:val="0"/>
        </w:numPr>
        <w:ind w:leftChars="0"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Water molecules removed</w:t>
      </w:r>
    </w:p>
    <w:p w14:paraId="39C74A17">
      <w:pPr>
        <w:numPr>
          <w:numId w:val="0"/>
        </w:numPr>
        <w:ind w:leftChars="0"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Hydrogen atoms added</w:t>
      </w:r>
    </w:p>
    <w:p w14:paraId="07043755">
      <w:pPr>
        <w:numPr>
          <w:numId w:val="0"/>
        </w:num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Protein cleaned and prepared for docking</w:t>
      </w:r>
    </w:p>
    <w:p w14:paraId="1826D547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 xml:space="preserve"> Ligand Preparation</w:t>
      </w:r>
    </w:p>
    <w:p w14:paraId="00C7F7BA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Ligand: Gefitinib</w:t>
      </w:r>
    </w:p>
    <w:p w14:paraId="73AD805A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Structure obtained from PubChem database</w:t>
      </w:r>
    </w:p>
    <w:p w14:paraId="296152EE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Energy minimized before docking</w:t>
      </w:r>
    </w:p>
    <w:p w14:paraId="1EE77792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Docking Tool</w:t>
      </w:r>
    </w:p>
    <w:p w14:paraId="4D40F38F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Docking performed using CB-Dock2</w:t>
      </w:r>
    </w:p>
    <w:p w14:paraId="3EACB73E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Blind docking approach used</w:t>
      </w:r>
    </w:p>
    <w:p w14:paraId="539205ED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Binding cavity automatically detected</w:t>
      </w:r>
    </w:p>
    <w:p w14:paraId="2127A71E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Best binding pose selected based on lowest binding energy score</w:t>
      </w:r>
    </w:p>
    <w:p w14:paraId="6C411650">
      <w:pPr>
        <w:numPr>
          <w:ilvl w:val="0"/>
          <w:numId w:val="1"/>
        </w:numPr>
        <w:ind w:left="420" w:leftChars="0" w:hanging="420" w:firstLineChars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 xml:space="preserve"> Visualization &amp; Interaction Analysis</w:t>
      </w:r>
    </w:p>
    <w:p w14:paraId="58B31870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Docked complex analyzed using PyMOL</w:t>
      </w:r>
    </w:p>
    <w:p w14:paraId="1960735E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Hydrogen bonds and hydrophobic interactions identified</w:t>
      </w:r>
    </w:p>
    <w:p w14:paraId="757F33B8">
      <w:pPr>
        <w:ind w:firstLine="280" w:firstLineChars="10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Key interacting residues highlighted</w:t>
      </w:r>
    </w:p>
    <w:p w14:paraId="2B147336">
      <w:pPr>
        <w:ind w:firstLine="280" w:firstLineChars="100"/>
        <w:rPr>
          <w:rFonts w:hint="default" w:ascii="Bell MT" w:hAnsi="Bell MT" w:cs="Bell MT"/>
          <w:sz w:val="28"/>
          <w:szCs w:val="28"/>
        </w:rPr>
      </w:pPr>
    </w:p>
    <w:p w14:paraId="5A996E85">
      <w:pPr>
        <w:ind w:firstLine="280" w:firstLineChars="100"/>
        <w:rPr>
          <w:rFonts w:hint="default" w:ascii="Bell MT" w:hAnsi="Bell MT" w:cs="Bell MT"/>
          <w:sz w:val="28"/>
          <w:szCs w:val="28"/>
        </w:rPr>
      </w:pPr>
    </w:p>
    <w:p w14:paraId="18B912B0">
      <w:pPr>
        <w:ind w:firstLine="280" w:firstLineChars="100"/>
        <w:rPr>
          <w:rFonts w:hint="default" w:ascii="Bell MT" w:hAnsi="Bell MT" w:cs="Bell MT"/>
          <w:sz w:val="28"/>
          <w:szCs w:val="28"/>
        </w:rPr>
      </w:pPr>
    </w:p>
    <w:p w14:paraId="4F5424B3">
      <w:pPr>
        <w:ind w:firstLine="280" w:firstLineChars="100"/>
        <w:rPr>
          <w:rFonts w:hint="default" w:ascii="Bell MT" w:hAnsi="Bell MT" w:cs="Bell MT"/>
          <w:sz w:val="28"/>
          <w:szCs w:val="28"/>
        </w:rPr>
      </w:pPr>
    </w:p>
    <w:p w14:paraId="3F49B7ED">
      <w:pPr>
        <w:ind w:firstLine="280" w:firstLineChars="100"/>
        <w:rPr>
          <w:rFonts w:hint="default" w:ascii="Bell MT" w:hAnsi="Bell MT" w:cs="Bell MT"/>
          <w:sz w:val="28"/>
          <w:szCs w:val="28"/>
        </w:rPr>
      </w:pPr>
    </w:p>
    <w:p w14:paraId="27582854">
      <w:pPr>
        <w:rPr>
          <w:rFonts w:hint="default" w:ascii="Bell MT" w:hAnsi="Bell MT" w:cs="Bell MT"/>
          <w:sz w:val="36"/>
          <w:szCs w:val="36"/>
        </w:rPr>
      </w:pPr>
      <w:r>
        <w:rPr>
          <w:rFonts w:hint="default" w:ascii="Bell MT" w:hAnsi="Bell MT" w:cs="Bell MT"/>
          <w:sz w:val="36"/>
          <w:szCs w:val="36"/>
        </w:rPr>
        <w:t xml:space="preserve"> 3. Docking Results</w:t>
      </w:r>
    </w:p>
    <w:p w14:paraId="13FB9374">
      <w:pPr>
        <w:rPr>
          <w:rFonts w:hint="default" w:ascii="Bell MT" w:hAnsi="Bell MT" w:cs="Bell MT"/>
          <w:sz w:val="28"/>
          <w:szCs w:val="28"/>
        </w:rPr>
      </w:pPr>
    </w:p>
    <w:p w14:paraId="54CB8FF4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The docking analysis revealed that Gefitinib b</w:t>
      </w:r>
      <w:r>
        <w:rPr>
          <w:rFonts w:hint="default" w:ascii="Bell MT" w:hAnsi="Bell MT" w:cs="Bell MT"/>
          <w:sz w:val="28"/>
          <w:szCs w:val="28"/>
          <w:lang w:val="en-IN"/>
        </w:rPr>
        <w:t xml:space="preserve">onds </w:t>
      </w:r>
      <w:r>
        <w:rPr>
          <w:rFonts w:hint="default" w:ascii="Bell MT" w:hAnsi="Bell MT" w:cs="Bell MT"/>
          <w:sz w:val="28"/>
          <w:szCs w:val="28"/>
        </w:rPr>
        <w:t>in the ATP-binding pocket of EGFR.</w:t>
      </w:r>
    </w:p>
    <w:p w14:paraId="4EBD55B7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Binding Site: ATP-binding pocket</w:t>
      </w:r>
    </w:p>
    <w:p w14:paraId="24E965DA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Interaction Type: Hydrogen bond + π-π stacking + hydrophobic interactions</w:t>
      </w:r>
    </w:p>
    <w:p w14:paraId="298BB955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Binding Pose: Stable and well-oriented inside active site</w:t>
      </w:r>
    </w:p>
    <w:p w14:paraId="5355AAF8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The ligand showed favorable orientation with key catalytic residues, supporting its inhibitory role.</w:t>
      </w:r>
    </w:p>
    <w:p w14:paraId="5279E3F6">
      <w:pPr>
        <w:rPr>
          <w:rFonts w:hint="default"/>
        </w:rPr>
      </w:pPr>
    </w:p>
    <w:p w14:paraId="39FA8AA4">
      <w:pPr>
        <w:rPr>
          <w:rFonts w:hint="default"/>
        </w:rPr>
      </w:pPr>
    </w:p>
    <w:p w14:paraId="1D3188FD">
      <w:pPr>
        <w:rPr>
          <w:rFonts w:hint="default"/>
          <w:lang w:val="en-IN"/>
        </w:rPr>
      </w:pPr>
    </w:p>
    <w:p w14:paraId="6DEA1B37">
      <w:pPr>
        <w:rPr>
          <w:rFonts w:hint="default"/>
        </w:rPr>
      </w:pPr>
    </w:p>
    <w:p w14:paraId="3D7EDAAA">
      <w:pPr>
        <w:rPr>
          <w:rFonts w:hint="default"/>
        </w:rPr>
      </w:pPr>
    </w:p>
    <w:p w14:paraId="199B775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774565" cy="4294505"/>
            <wp:effectExtent l="0" t="0" r="0" b="0"/>
            <wp:docPr id="6" name="Picture 6" descr="EGFR getfitinib.p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GFR getfitinib.pdb"/>
                    <pic:cNvPicPr>
                      <a:picLocks noChangeAspect="1"/>
                    </pic:cNvPicPr>
                  </pic:nvPicPr>
                  <pic:blipFill>
                    <a:blip r:embed="rId4"/>
                    <a:srcRect l="-14582" r="606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0CE4">
      <w:pPr>
        <w:rPr>
          <w:rFonts w:hint="default"/>
          <w:lang w:val="en-IN"/>
        </w:rPr>
      </w:pPr>
    </w:p>
    <w:p w14:paraId="1FFA15BB">
      <w:pPr>
        <w:ind w:firstLine="700" w:firstLineChars="350"/>
        <w:rPr>
          <w:rFonts w:hint="default" w:ascii="Bell MT" w:hAnsi="Bell MT" w:cs="Bell MT"/>
          <w:lang w:val="en-IN"/>
        </w:rPr>
      </w:pPr>
      <w:r>
        <w:rPr>
          <w:rFonts w:hint="default" w:ascii="Bell MT" w:hAnsi="Bell MT" w:cs="Bell MT"/>
          <w:lang w:val="en-IN"/>
        </w:rPr>
        <w:t xml:space="preserve">Surface representation of EGFR with Gefitinib bond in the ATP-binding  pockets </w:t>
      </w:r>
    </w:p>
    <w:p w14:paraId="2D157969">
      <w:pPr>
        <w:rPr>
          <w:rFonts w:hint="default"/>
          <w:lang w:val="en-IN"/>
        </w:rPr>
      </w:pPr>
    </w:p>
    <w:p w14:paraId="6E144004">
      <w:pPr>
        <w:rPr>
          <w:rFonts w:hint="default"/>
          <w:lang w:val="en-IN"/>
        </w:rPr>
      </w:pPr>
    </w:p>
    <w:p w14:paraId="3F14EFEC">
      <w:pPr>
        <w:rPr>
          <w:rFonts w:hint="default"/>
          <w:lang w:val="en-IN"/>
        </w:rPr>
      </w:pPr>
    </w:p>
    <w:p w14:paraId="3AE1654F">
      <w:pPr>
        <w:rPr>
          <w:rFonts w:hint="default" w:ascii="Bell MT" w:hAnsi="Bell MT" w:cs="Bell MT"/>
          <w:sz w:val="28"/>
          <w:szCs w:val="28"/>
          <w:lang w:val="en-IN"/>
        </w:rPr>
      </w:pPr>
      <w:r>
        <w:rPr>
          <w:rFonts w:hint="default" w:ascii="Bell MT" w:hAnsi="Bell MT" w:cs="Bell MT"/>
          <w:sz w:val="28"/>
          <w:szCs w:val="28"/>
          <w:lang w:val="en-IN"/>
        </w:rPr>
        <w:t>The docking analysis revealed that Gefitinib binds within the ATP-binding pockets of EGFR with stable orientation.</w:t>
      </w:r>
    </w:p>
    <w:p w14:paraId="4625B19C">
      <w:pPr>
        <w:rPr>
          <w:rFonts w:hint="default"/>
          <w:lang w:val="en-IN"/>
        </w:rPr>
      </w:pPr>
    </w:p>
    <w:p w14:paraId="15FE487D">
      <w:pPr>
        <w:rPr>
          <w:rFonts w:hint="default"/>
          <w:lang w:val="en-IN"/>
        </w:rPr>
      </w:pPr>
    </w:p>
    <w:p w14:paraId="6C74E333">
      <w:pPr>
        <w:rPr>
          <w:rFonts w:hint="default"/>
          <w:lang w:val="en-IN"/>
        </w:rPr>
      </w:pPr>
    </w:p>
    <w:p w14:paraId="4D34A6AD">
      <w:pPr>
        <w:rPr>
          <w:rFonts w:hint="default"/>
          <w:lang w:val="en-IN"/>
        </w:rPr>
      </w:pPr>
    </w:p>
    <w:p w14:paraId="7C179950">
      <w:pPr>
        <w:rPr>
          <w:rFonts w:hint="default" w:ascii="Bell MT" w:hAnsi="Bell MT" w:cs="Bell MT"/>
          <w:sz w:val="36"/>
          <w:szCs w:val="36"/>
        </w:rPr>
      </w:pPr>
      <w:r>
        <w:rPr>
          <w:rFonts w:hint="default" w:ascii="Bell MT" w:hAnsi="Bell MT" w:cs="Bell MT"/>
          <w:sz w:val="36"/>
          <w:szCs w:val="36"/>
        </w:rPr>
        <w:t xml:space="preserve"> 4. Interaction Analysis</w:t>
      </w:r>
    </w:p>
    <w:p w14:paraId="3D7778BB">
      <w:pPr>
        <w:rPr>
          <w:rFonts w:hint="default"/>
        </w:rPr>
      </w:pPr>
    </w:p>
    <w:p w14:paraId="7AEDD0C7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Detailed interaction analysis identified the following critical residues:</w:t>
      </w:r>
    </w:p>
    <w:p w14:paraId="11AF7D17">
      <w:pPr>
        <w:rPr>
          <w:rFonts w:hint="default" w:ascii="Bell MT" w:hAnsi="Bell MT" w:cs="Bell MT"/>
          <w:sz w:val="28"/>
          <w:szCs w:val="28"/>
        </w:rPr>
      </w:pPr>
    </w:p>
    <w:p w14:paraId="20239B43">
      <w:pPr>
        <w:rPr>
          <w:rFonts w:hint="default" w:ascii="Bell MT" w:hAnsi="Bell MT" w:cs="Bell MT"/>
          <w:sz w:val="28"/>
          <w:szCs w:val="28"/>
        </w:rPr>
      </w:pPr>
    </w:p>
    <w:p w14:paraId="724E1467">
      <w:pPr>
        <w:rPr>
          <w:rFonts w:hint="default" w:ascii="Bell MT" w:hAnsi="Bell MT" w:cs="Bell MT"/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9"/>
        <w:gridCol w:w="3280"/>
        <w:gridCol w:w="3280"/>
      </w:tblGrid>
      <w:tr w14:paraId="29D9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3" w:hRule="atLeast"/>
        </w:trPr>
        <w:tc>
          <w:tcPr>
            <w:tcW w:w="3279" w:type="dxa"/>
          </w:tcPr>
          <w:p w14:paraId="6EBA5B55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Residue</w:t>
            </w:r>
          </w:p>
        </w:tc>
        <w:tc>
          <w:tcPr>
            <w:tcW w:w="3280" w:type="dxa"/>
          </w:tcPr>
          <w:p w14:paraId="38D1BD22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 xml:space="preserve">Interaction Type </w:t>
            </w:r>
          </w:p>
        </w:tc>
        <w:tc>
          <w:tcPr>
            <w:tcW w:w="3280" w:type="dxa"/>
          </w:tcPr>
          <w:p w14:paraId="562A40A9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Significance</w:t>
            </w:r>
          </w:p>
        </w:tc>
      </w:tr>
      <w:tr w14:paraId="3C59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5" w:hRule="atLeast"/>
        </w:trPr>
        <w:tc>
          <w:tcPr>
            <w:tcW w:w="3279" w:type="dxa"/>
          </w:tcPr>
          <w:p w14:paraId="03529F7F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MET793</w:t>
            </w:r>
          </w:p>
        </w:tc>
        <w:tc>
          <w:tcPr>
            <w:tcW w:w="3280" w:type="dxa"/>
          </w:tcPr>
          <w:p w14:paraId="5FD2CA0F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Hydrogen bond</w:t>
            </w:r>
          </w:p>
        </w:tc>
        <w:tc>
          <w:tcPr>
            <w:tcW w:w="3280" w:type="dxa"/>
          </w:tcPr>
          <w:p w14:paraId="74B4380D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Stabilizes ligand binding within ATP</w:t>
            </w:r>
          </w:p>
        </w:tc>
      </w:tr>
      <w:tr w14:paraId="4083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5" w:hRule="atLeast"/>
        </w:trPr>
        <w:tc>
          <w:tcPr>
            <w:tcW w:w="3279" w:type="dxa"/>
          </w:tcPr>
          <w:p w14:paraId="4B5BA9EA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PHE795</w:t>
            </w:r>
          </w:p>
        </w:tc>
        <w:tc>
          <w:tcPr>
            <w:tcW w:w="3280" w:type="dxa"/>
          </w:tcPr>
          <w:p w14:paraId="07E582BC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Bell MT" w:hAnsi="Bell MT" w:eastAsia="SimSun" w:cs="Bell MT"/>
                <w:sz w:val="28"/>
                <w:szCs w:val="28"/>
              </w:rPr>
              <w:t>π–π stacking interaction</w:t>
            </w:r>
          </w:p>
        </w:tc>
        <w:tc>
          <w:tcPr>
            <w:tcW w:w="3280" w:type="dxa"/>
          </w:tcPr>
          <w:p w14:paraId="0FF8B8A3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Aromatic interaction enhances stability</w:t>
            </w:r>
          </w:p>
        </w:tc>
      </w:tr>
      <w:tr w14:paraId="12FA3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5" w:hRule="atLeast"/>
        </w:trPr>
        <w:tc>
          <w:tcPr>
            <w:tcW w:w="3279" w:type="dxa"/>
          </w:tcPr>
          <w:p w14:paraId="06486CEA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LEU718</w:t>
            </w:r>
          </w:p>
        </w:tc>
        <w:tc>
          <w:tcPr>
            <w:tcW w:w="3280" w:type="dxa"/>
          </w:tcPr>
          <w:p w14:paraId="1C1A6812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Hydrophobic interaction</w:t>
            </w:r>
          </w:p>
        </w:tc>
        <w:tc>
          <w:tcPr>
            <w:tcW w:w="3280" w:type="dxa"/>
          </w:tcPr>
          <w:p w14:paraId="3741E3AC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Contributes to non-polar stabilization</w:t>
            </w:r>
            <w:bookmarkStart w:id="0" w:name="_GoBack"/>
            <w:bookmarkEnd w:id="0"/>
          </w:p>
        </w:tc>
      </w:tr>
      <w:tr w14:paraId="4AFB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6" w:hRule="atLeast"/>
        </w:trPr>
        <w:tc>
          <w:tcPr>
            <w:tcW w:w="3279" w:type="dxa"/>
          </w:tcPr>
          <w:p w14:paraId="3EF0CBEC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VAL726</w:t>
            </w:r>
          </w:p>
        </w:tc>
        <w:tc>
          <w:tcPr>
            <w:tcW w:w="3280" w:type="dxa"/>
          </w:tcPr>
          <w:p w14:paraId="39B7981F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 xml:space="preserve">Hydrophobic interaction </w:t>
            </w:r>
          </w:p>
        </w:tc>
        <w:tc>
          <w:tcPr>
            <w:tcW w:w="3280" w:type="dxa"/>
          </w:tcPr>
          <w:p w14:paraId="30ACBAB5">
            <w:pP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Bell MT" w:hAnsi="Bell MT" w:cs="Bell MT"/>
                <w:sz w:val="28"/>
                <w:szCs w:val="28"/>
                <w:vertAlign w:val="baseline"/>
                <w:lang w:val="en-IN"/>
              </w:rPr>
              <w:t>Supports ligand anchoring in pocket</w:t>
            </w:r>
          </w:p>
        </w:tc>
      </w:tr>
    </w:tbl>
    <w:p w14:paraId="2DEB8B08">
      <w:pPr>
        <w:rPr>
          <w:rFonts w:hint="default" w:ascii="Bell MT" w:hAnsi="Bell MT" w:cs="Bell MT"/>
          <w:sz w:val="28"/>
          <w:szCs w:val="28"/>
          <w:lang w:val="en-IN"/>
        </w:rPr>
      </w:pPr>
    </w:p>
    <w:p w14:paraId="05BD4831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🔹 Key Observations:</w:t>
      </w:r>
    </w:p>
    <w:p w14:paraId="462B5C3C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A strong hydrogen bond was observed with MET793, a critical residue in EGFR kinase activity.</w:t>
      </w:r>
    </w:p>
    <w:p w14:paraId="65FEADB8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PHE795 formed π–π stacking interaction with the aromatic ring of Gefitinib.</w:t>
      </w:r>
    </w:p>
    <w:p w14:paraId="01BE31B0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LEU718 and VAL726 contributed to hydrophobic stabilization of the complex.</w:t>
      </w:r>
    </w:p>
    <w:p w14:paraId="6D04765B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The interactions collectively indicate stable ligand binding within the active site.</w:t>
      </w:r>
    </w:p>
    <w:p w14:paraId="59184ACD">
      <w:pPr>
        <w:rPr>
          <w:rFonts w:hint="default"/>
        </w:rPr>
      </w:pPr>
    </w:p>
    <w:p w14:paraId="55FA51BD">
      <w:pPr>
        <w:rPr>
          <w:rFonts w:hint="default"/>
        </w:rPr>
      </w:pPr>
      <w:r>
        <w:rPr>
          <w:rFonts w:hint="default"/>
          <w:lang w:val="en-IN"/>
        </w:rPr>
        <w:drawing>
          <wp:inline distT="0" distB="0" distL="114300" distR="114300">
            <wp:extent cx="4139565" cy="3459480"/>
            <wp:effectExtent l="0" t="0" r="5715" b="0"/>
            <wp:docPr id="3" name="Picture 3" descr="Fig_Interaction-Gefitnib_EG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_Interaction-Gefitnib_EGF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2A80">
      <w:pPr>
        <w:rPr>
          <w:rFonts w:hint="default"/>
        </w:rPr>
      </w:pPr>
    </w:p>
    <w:p w14:paraId="784AEBDF">
      <w:pPr>
        <w:rPr>
          <w:rFonts w:hint="default"/>
        </w:rPr>
      </w:pPr>
    </w:p>
    <w:p w14:paraId="78CD8B86">
      <w:pPr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Interaction analysis showing hydrogen bond with MET793, π–π interaction with PHE795, and hydrophobic interactions with LEU718 and VAL726.</w:t>
      </w:r>
    </w:p>
    <w:p w14:paraId="5C45B773">
      <w:pPr>
        <w:rPr>
          <w:rFonts w:hint="default"/>
        </w:rPr>
      </w:pPr>
    </w:p>
    <w:p w14:paraId="5AAB30F8">
      <w:pPr>
        <w:rPr>
          <w:rFonts w:hint="default"/>
        </w:rPr>
      </w:pPr>
    </w:p>
    <w:p w14:paraId="5B17B373">
      <w:pPr>
        <w:rPr>
          <w:rFonts w:hint="default"/>
        </w:rPr>
      </w:pPr>
    </w:p>
    <w:p w14:paraId="465BCBB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794885" cy="3470275"/>
            <wp:effectExtent l="0" t="0" r="5715" b="4445"/>
            <wp:docPr id="7" name="Picture 7" descr="amino acid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mino acid pl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0D47">
      <w:pPr>
        <w:rPr>
          <w:rFonts w:hint="default"/>
        </w:rPr>
      </w:pPr>
    </w:p>
    <w:p w14:paraId="26856BBE">
      <w:pPr>
        <w:rPr>
          <w:rFonts w:hint="default" w:ascii="Bell MT" w:hAnsi="Bell MT" w:cs="Bell MT"/>
        </w:rPr>
      </w:pPr>
      <w:r>
        <w:rPr>
          <w:rFonts w:hint="default" w:ascii="Bell MT" w:hAnsi="Bell MT" w:cs="Bell MT"/>
        </w:rPr>
        <w:t>Amino acid interaction profile of Gefitinib within EGFR binding pocket.</w:t>
      </w:r>
    </w:p>
    <w:p w14:paraId="2C16CD7F">
      <w:pPr>
        <w:rPr>
          <w:rFonts w:hint="default"/>
        </w:rPr>
      </w:pPr>
    </w:p>
    <w:p w14:paraId="28574A17">
      <w:pPr>
        <w:rPr>
          <w:rFonts w:hint="default"/>
        </w:rPr>
      </w:pPr>
    </w:p>
    <w:p w14:paraId="69007123">
      <w:pPr>
        <w:rPr>
          <w:rFonts w:hint="default" w:ascii="Bell MT" w:hAnsi="Bell MT" w:cs="Bell MT"/>
          <w:sz w:val="36"/>
          <w:szCs w:val="36"/>
        </w:rPr>
      </w:pPr>
      <w:r>
        <w:rPr>
          <w:rFonts w:hint="default" w:ascii="Bell MT" w:hAnsi="Bell MT" w:cs="Bell MT"/>
          <w:sz w:val="36"/>
          <w:szCs w:val="36"/>
        </w:rPr>
        <w:t>5. Biological Significance</w:t>
      </w:r>
    </w:p>
    <w:p w14:paraId="5056F7CA">
      <w:pPr>
        <w:rPr>
          <w:rFonts w:hint="default"/>
        </w:rPr>
      </w:pPr>
    </w:p>
    <w:p w14:paraId="381D8842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The interaction of Gefitinib with MET793 is particularly important because this residue plays a vital role in ATP binding and kinase activation.</w:t>
      </w:r>
    </w:p>
    <w:p w14:paraId="3F87E8CB">
      <w:pPr>
        <w:rPr>
          <w:rFonts w:hint="default" w:ascii="Bell MT" w:hAnsi="Bell MT" w:cs="Bell MT"/>
          <w:sz w:val="28"/>
          <w:szCs w:val="28"/>
        </w:rPr>
      </w:pPr>
    </w:p>
    <w:p w14:paraId="7ED42C6F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By occupying the ATP-binding pocket:</w:t>
      </w:r>
    </w:p>
    <w:p w14:paraId="3AEE01DC">
      <w:pPr>
        <w:rPr>
          <w:rFonts w:hint="default" w:ascii="Bell MT" w:hAnsi="Bell MT" w:cs="Bell MT"/>
          <w:sz w:val="28"/>
          <w:szCs w:val="28"/>
          <w:lang w:val="en-IN"/>
        </w:rPr>
      </w:pPr>
      <w:r>
        <w:rPr>
          <w:rFonts w:hint="default" w:ascii="Bell MT" w:hAnsi="Bell MT" w:cs="Bell MT"/>
          <w:sz w:val="28"/>
          <w:szCs w:val="28"/>
        </w:rPr>
        <w:t xml:space="preserve">Gefitinib prevents </w:t>
      </w:r>
      <w:r>
        <w:rPr>
          <w:rFonts w:hint="default" w:ascii="Bell MT" w:hAnsi="Bell MT" w:cs="Bell MT"/>
          <w:sz w:val="28"/>
          <w:szCs w:val="28"/>
          <w:lang w:val="en-IN"/>
        </w:rPr>
        <w:t>phosphorylation.</w:t>
      </w:r>
    </w:p>
    <w:p w14:paraId="62B37652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Blocks downstream signaling pathways</w:t>
      </w:r>
    </w:p>
    <w:p w14:paraId="1160C36E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Inhibits tumor cell proliferation</w:t>
      </w:r>
    </w:p>
    <w:p w14:paraId="5F0BBE3A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The presence of hydrogen bonding and hydrophobic interactions suggests strong binding affinity and supports the drug's mechanism as an EGFR tyrosine kinase inhibitor.</w:t>
      </w:r>
    </w:p>
    <w:p w14:paraId="052CFAC2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This in-silico analysis aligns with experimental findings reported in literature regarding Gefitinib’s inhibitory mechanism.</w:t>
      </w:r>
    </w:p>
    <w:p w14:paraId="08272A0B">
      <w:pPr>
        <w:rPr>
          <w:rFonts w:hint="default" w:ascii="Bell MT" w:hAnsi="Bell MT" w:cs="Bell MT"/>
          <w:sz w:val="28"/>
          <w:szCs w:val="28"/>
        </w:rPr>
      </w:pPr>
    </w:p>
    <w:p w14:paraId="5BF1A14F">
      <w:pPr>
        <w:rPr>
          <w:rFonts w:hint="default" w:ascii="Bell MT" w:hAnsi="Bell MT" w:cs="Bell MT"/>
          <w:sz w:val="28"/>
          <w:szCs w:val="28"/>
        </w:rPr>
      </w:pPr>
    </w:p>
    <w:p w14:paraId="3F7C8CEF">
      <w:pPr>
        <w:rPr>
          <w:rFonts w:hint="default" w:ascii="Bell MT" w:hAnsi="Bell MT" w:cs="Bell MT"/>
          <w:sz w:val="28"/>
          <w:szCs w:val="28"/>
        </w:rPr>
      </w:pPr>
    </w:p>
    <w:p w14:paraId="5FC3FDD6">
      <w:pPr>
        <w:rPr>
          <w:rFonts w:hint="default" w:ascii="Bell MT" w:hAnsi="Bell MT" w:cs="Bell MT"/>
          <w:sz w:val="28"/>
          <w:szCs w:val="28"/>
        </w:rPr>
      </w:pPr>
    </w:p>
    <w:p w14:paraId="5106F4BA">
      <w:pPr>
        <w:rPr>
          <w:rFonts w:hint="default" w:ascii="Bell MT" w:hAnsi="Bell MT" w:cs="Bell MT"/>
          <w:sz w:val="28"/>
          <w:szCs w:val="28"/>
        </w:rPr>
      </w:pPr>
    </w:p>
    <w:p w14:paraId="7E5E3347">
      <w:pPr>
        <w:rPr>
          <w:rFonts w:hint="default" w:ascii="Bell MT" w:hAnsi="Bell MT" w:cs="Bell MT"/>
          <w:sz w:val="28"/>
          <w:szCs w:val="28"/>
        </w:rPr>
      </w:pPr>
    </w:p>
    <w:p w14:paraId="57AFB2F2">
      <w:pPr>
        <w:rPr>
          <w:rFonts w:hint="default" w:ascii="Bell MT" w:hAnsi="Bell MT" w:cs="Bell MT"/>
          <w:sz w:val="28"/>
          <w:szCs w:val="28"/>
        </w:rPr>
      </w:pPr>
    </w:p>
    <w:p w14:paraId="76021B1E">
      <w:pPr>
        <w:rPr>
          <w:rFonts w:hint="default" w:ascii="Bell MT" w:hAnsi="Bell MT"/>
          <w:sz w:val="36"/>
          <w:szCs w:val="36"/>
        </w:rPr>
      </w:pPr>
      <w:r>
        <w:rPr>
          <w:rFonts w:hint="default" w:ascii="Bell MT" w:hAnsi="Bell MT"/>
          <w:sz w:val="36"/>
          <w:szCs w:val="36"/>
        </w:rPr>
        <w:t>6. References</w:t>
      </w:r>
    </w:p>
    <w:p w14:paraId="0626CD67">
      <w:pPr>
        <w:rPr>
          <w:rFonts w:hint="default" w:ascii="Bell MT" w:hAnsi="Bell MT"/>
          <w:sz w:val="28"/>
          <w:szCs w:val="28"/>
        </w:rPr>
      </w:pPr>
    </w:p>
    <w:p w14:paraId="78E47566">
      <w:pPr>
        <w:rPr>
          <w:rFonts w:hint="default" w:ascii="Bell MT" w:hAnsi="Bell MT"/>
          <w:sz w:val="28"/>
          <w:szCs w:val="28"/>
        </w:rPr>
      </w:pPr>
      <w:r>
        <w:rPr>
          <w:rFonts w:hint="default" w:ascii="Bell MT" w:hAnsi="Bell MT"/>
          <w:sz w:val="28"/>
          <w:szCs w:val="28"/>
        </w:rPr>
        <w:t>Yun CH, et al. (2007). The T790M mutation in EGFR kinase causes drug resistance. PNAS.</w:t>
      </w:r>
    </w:p>
    <w:p w14:paraId="0277C1A7">
      <w:pPr>
        <w:rPr>
          <w:rFonts w:hint="default" w:ascii="Bell MT" w:hAnsi="Bell MT"/>
          <w:sz w:val="28"/>
          <w:szCs w:val="28"/>
        </w:rPr>
      </w:pPr>
    </w:p>
    <w:p w14:paraId="6DD2AD86">
      <w:pPr>
        <w:rPr>
          <w:rFonts w:hint="default" w:ascii="Bell MT" w:hAnsi="Bell MT"/>
          <w:sz w:val="28"/>
          <w:szCs w:val="28"/>
        </w:rPr>
      </w:pPr>
      <w:r>
        <w:rPr>
          <w:rFonts w:hint="default" w:ascii="Bell MT" w:hAnsi="Bell MT"/>
          <w:sz w:val="28"/>
          <w:szCs w:val="28"/>
        </w:rPr>
        <w:t>Lynch TJ, et al. (2004). Activating mutations in EGFR underlying responsiveness to Gefitinib. NEJM.</w:t>
      </w:r>
    </w:p>
    <w:p w14:paraId="0E6154D2">
      <w:pPr>
        <w:rPr>
          <w:rFonts w:hint="default" w:ascii="Bell MT" w:hAnsi="Bell MT"/>
          <w:sz w:val="28"/>
          <w:szCs w:val="28"/>
        </w:rPr>
      </w:pPr>
    </w:p>
    <w:p w14:paraId="4A4EDC14">
      <w:pPr>
        <w:rPr>
          <w:rFonts w:hint="default" w:ascii="Bell MT" w:hAnsi="Bell MT"/>
          <w:sz w:val="28"/>
          <w:szCs w:val="28"/>
        </w:rPr>
      </w:pPr>
      <w:r>
        <w:rPr>
          <w:rFonts w:hint="default" w:ascii="Bell MT" w:hAnsi="Bell MT"/>
          <w:sz w:val="28"/>
          <w:szCs w:val="28"/>
        </w:rPr>
        <w:t>CB-Dock2: Improved protein–ligand blind docking server.</w:t>
      </w:r>
    </w:p>
    <w:p w14:paraId="1D4EDB72">
      <w:pPr>
        <w:rPr>
          <w:rFonts w:hint="default" w:ascii="Bell MT" w:hAnsi="Bell MT"/>
          <w:sz w:val="28"/>
          <w:szCs w:val="28"/>
        </w:rPr>
      </w:pPr>
    </w:p>
    <w:p w14:paraId="7456A7FF">
      <w:pPr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/>
          <w:sz w:val="28"/>
          <w:szCs w:val="28"/>
        </w:rPr>
        <w:t>DeLano WL. (2002). PyMOL Molecular Graphics System.</w:t>
      </w:r>
    </w:p>
    <w:sectPr>
      <w:pgSz w:w="11906" w:h="16838"/>
      <w:pgMar w:top="720" w:right="720" w:bottom="720" w:left="663" w:header="720" w:footer="720" w:gutter="0"/>
      <w:paperSrc/>
      <w:pgBorders>
        <w:top w:val="thinThickSmallGap" w:color="auto" w:sz="12" w:space="1"/>
        <w:left w:val="thinThickSmallGap" w:color="auto" w:sz="12" w:space="4"/>
        <w:bottom w:val="thinThickSmallGap" w:color="auto" w:sz="12" w:space="1"/>
        <w:right w:val="thinThickSmallGap" w:color="auto" w:sz="12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FB160E"/>
    <w:multiLevelType w:val="singleLevel"/>
    <w:tmpl w:val="C3FB160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CB4B1D"/>
    <w:rsid w:val="17CB4B1D"/>
    <w:rsid w:val="49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2026-02-11T17:23:00Z</dcterms:created>
  <dc:creator>Aqsa Kamil</dc:creator>
  <cp:lastModifiedBy>Aqsa Kamil</cp:lastModifiedBy>
  <dcterms:modified xsi:type="dcterms:W3CDTF">2026-02-11T18:50:08Z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7561F67816EC4D8AB6330D0564889D6B_11</vt:lpwstr>
  </property>
</Properties>
</file>