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spacing w:lineRule="auto" w:line="276"/>
        <w:rPr>
          <w:rFonts w:ascii="Arial" w:hAnsi="Arial" w:eastAsia="Arial" w:cs="Arial"/>
          <w:color w:val="000000"/>
          <w:sz w:val="22"/>
          <w:szCs w:val="22"/>
        </w:rPr>
      </w:pPr>
      <w:r>
        <w:rPr>
          <w:rFonts w:eastAsia="Arial" w:cs="Arial" w:ascii="Arial" w:hAnsi="Arial"/>
          <w:color w:val="000000"/>
          <w:sz w:val="22"/>
          <w:szCs w:val="22"/>
        </w:rPr>
      </w:r>
    </w:p>
    <w:tbl>
      <w:tblPr>
        <w:tblStyle w:val="a7"/>
        <w:tblW w:w="10060"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3256"/>
        <w:gridCol w:w="6803"/>
      </w:tblGrid>
      <w:tr>
        <w:trPr/>
        <w:tc>
          <w:tcPr>
            <w:tcW w:w="10059" w:type="dxa"/>
            <w:gridSpan w:val="2"/>
            <w:tcBorders>
              <w:top w:val="single" w:sz="4" w:space="0" w:color="000000"/>
              <w:left w:val="single" w:sz="4" w:space="0" w:color="000000"/>
              <w:bottom w:val="single" w:sz="4" w:space="0" w:color="000000"/>
              <w:right w:val="single" w:sz="4" w:space="0" w:color="000000"/>
            </w:tcBorders>
          </w:tcPr>
          <w:p>
            <w:pPr>
              <w:pStyle w:val="Normal"/>
              <w:jc w:val="center"/>
              <w:rPr>
                <w:b/>
              </w:rPr>
            </w:pPr>
            <w:r>
              <w:rPr>
                <w:b/>
              </w:rPr>
              <w:t>CV</w:t>
            </w:r>
          </w:p>
        </w:tc>
      </w:tr>
      <w:tr>
        <w:trPr/>
        <w:tc>
          <w:tcPr>
            <w:tcW w:w="10059" w:type="dxa"/>
            <w:gridSpan w:val="2"/>
            <w:tcBorders>
              <w:top w:val="single" w:sz="4" w:space="0" w:color="000000"/>
              <w:left w:val="single" w:sz="4" w:space="0" w:color="000000"/>
              <w:bottom w:val="single" w:sz="4" w:space="0" w:color="000000"/>
              <w:right w:val="single" w:sz="4" w:space="0" w:color="000000"/>
            </w:tcBorders>
          </w:tcPr>
          <w:p>
            <w:pPr>
              <w:pStyle w:val="Normal"/>
              <w:ind w:right="455"/>
              <w:rPr>
                <w:b/>
              </w:rPr>
            </w:pPr>
            <w:r>
              <w:rPr>
                <w:b/>
              </w:rPr>
              <w:t xml:space="preserve">Name: AZANOV Andrei </w:t>
            </w:r>
          </w:p>
        </w:tc>
      </w:tr>
      <w:tr>
        <w:trPr/>
        <w:tc>
          <w:tcPr>
            <w:tcW w:w="10059" w:type="dxa"/>
            <w:gridSpan w:val="2"/>
            <w:tcBorders>
              <w:top w:val="single" w:sz="4" w:space="0" w:color="000000"/>
              <w:left w:val="single" w:sz="4" w:space="0" w:color="000000"/>
              <w:bottom w:val="single" w:sz="4" w:space="0" w:color="000000"/>
              <w:right w:val="single" w:sz="4" w:space="0" w:color="000000"/>
            </w:tcBorders>
          </w:tcPr>
          <w:p>
            <w:pPr>
              <w:pStyle w:val="Normal"/>
              <w:rPr>
                <w:b/>
              </w:rPr>
            </w:pPr>
            <w:r>
              <w:rPr>
                <w:b/>
              </w:rPr>
              <w:t>Contacts:</w:t>
            </w:r>
          </w:p>
        </w:tc>
      </w:tr>
      <w:tr>
        <w:trPr>
          <w:trHeight w:val="995" w:hRule="atLeast"/>
        </w:trPr>
        <w:tc>
          <w:tcPr>
            <w:tcW w:w="10059" w:type="dxa"/>
            <w:gridSpan w:val="2"/>
            <w:tcBorders>
              <w:top w:val="single" w:sz="4" w:space="0" w:color="000000"/>
              <w:left w:val="single" w:sz="4" w:space="0" w:color="000000"/>
              <w:bottom w:val="single" w:sz="4" w:space="0" w:color="000000"/>
              <w:right w:val="single" w:sz="4" w:space="0" w:color="000000"/>
            </w:tcBorders>
          </w:tcPr>
          <w:p>
            <w:pPr>
              <w:pStyle w:val="Normal"/>
              <w:rPr/>
            </w:pPr>
            <w:r>
              <w:rPr/>
              <w:t>Batumi, Georgia</w:t>
            </w:r>
          </w:p>
          <w:p>
            <w:pPr>
              <w:pStyle w:val="Normal"/>
              <w:rPr/>
            </w:pPr>
            <w:r>
              <w:rPr/>
              <w:t>Phone +995555114958</w:t>
            </w:r>
          </w:p>
          <w:p>
            <w:pPr>
              <w:pStyle w:val="Normal"/>
              <w:rPr/>
            </w:pPr>
            <w:r>
              <w:rPr/>
              <w:t>E-mail: a</w:t>
            </w:r>
            <w:bookmarkStart w:id="0" w:name="_GoBack"/>
            <w:bookmarkEnd w:id="0"/>
            <w:r>
              <w:rPr/>
              <w:t>ndrei.azanov.work@gmail.com</w:t>
            </w:r>
          </w:p>
        </w:tc>
      </w:tr>
      <w:tr>
        <w:trPr/>
        <w:tc>
          <w:tcPr>
            <w:tcW w:w="10059" w:type="dxa"/>
            <w:gridSpan w:val="2"/>
            <w:tcBorders>
              <w:top w:val="single" w:sz="4" w:space="0" w:color="000000"/>
              <w:left w:val="single" w:sz="4" w:space="0" w:color="000000"/>
              <w:bottom w:val="single" w:sz="4" w:space="0" w:color="000000"/>
              <w:right w:val="single" w:sz="4" w:space="0" w:color="000000"/>
            </w:tcBorders>
          </w:tcPr>
          <w:p>
            <w:pPr>
              <w:pStyle w:val="Normal"/>
              <w:rPr>
                <w:b/>
              </w:rPr>
            </w:pPr>
            <w:r>
              <w:rPr>
                <w:b/>
              </w:rPr>
              <w:t>Personal data</w:t>
            </w:r>
          </w:p>
        </w:tc>
      </w:tr>
      <w:tr>
        <w:trPr/>
        <w:tc>
          <w:tcPr>
            <w:tcW w:w="3256" w:type="dxa"/>
            <w:tcBorders>
              <w:top w:val="single" w:sz="4" w:space="0" w:color="000000"/>
              <w:left w:val="single" w:sz="4" w:space="0" w:color="000000"/>
              <w:bottom w:val="single" w:sz="4" w:space="0" w:color="000000"/>
              <w:right w:val="single" w:sz="4" w:space="0" w:color="000000"/>
            </w:tcBorders>
          </w:tcPr>
          <w:p>
            <w:pPr>
              <w:pStyle w:val="Normal"/>
              <w:rPr/>
            </w:pPr>
            <w:r>
              <w:rPr/>
              <w:t>Age</w:t>
            </w:r>
          </w:p>
        </w:tc>
        <w:tc>
          <w:tcPr>
            <w:tcW w:w="6803" w:type="dxa"/>
            <w:tcBorders>
              <w:top w:val="single" w:sz="4" w:space="0" w:color="000000"/>
              <w:left w:val="single" w:sz="4" w:space="0" w:color="000000"/>
              <w:bottom w:val="single" w:sz="4" w:space="0" w:color="000000"/>
              <w:right w:val="single" w:sz="4" w:space="0" w:color="000000"/>
            </w:tcBorders>
          </w:tcPr>
          <w:p>
            <w:pPr>
              <w:pStyle w:val="Normal"/>
              <w:rPr/>
            </w:pPr>
            <w:r>
              <w:rPr/>
              <w:t>3</w:t>
            </w:r>
            <w:r>
              <w:rPr/>
              <w:t>2</w:t>
            </w:r>
          </w:p>
        </w:tc>
      </w:tr>
      <w:tr>
        <w:trPr/>
        <w:tc>
          <w:tcPr>
            <w:tcW w:w="3256" w:type="dxa"/>
            <w:tcBorders>
              <w:top w:val="single" w:sz="4" w:space="0" w:color="000000"/>
              <w:left w:val="single" w:sz="4" w:space="0" w:color="000000"/>
              <w:bottom w:val="single" w:sz="4" w:space="0" w:color="000000"/>
              <w:right w:val="single" w:sz="4" w:space="0" w:color="000000"/>
            </w:tcBorders>
          </w:tcPr>
          <w:p>
            <w:pPr>
              <w:pStyle w:val="Normal"/>
              <w:rPr>
                <w:b/>
              </w:rPr>
            </w:pPr>
            <w:r>
              <w:rPr>
                <w:b/>
              </w:rPr>
              <w:t>Salary</w:t>
            </w:r>
          </w:p>
        </w:tc>
        <w:tc>
          <w:tcPr>
            <w:tcW w:w="6803" w:type="dxa"/>
            <w:tcBorders>
              <w:top w:val="single" w:sz="4" w:space="0" w:color="000000"/>
              <w:left w:val="single" w:sz="4" w:space="0" w:color="000000"/>
              <w:bottom w:val="single" w:sz="4" w:space="0" w:color="000000"/>
              <w:right w:val="single" w:sz="4" w:space="0" w:color="000000"/>
            </w:tcBorders>
          </w:tcPr>
          <w:p>
            <w:pPr>
              <w:pStyle w:val="Normal"/>
              <w:rPr/>
            </w:pPr>
            <w:r>
              <w:rPr/>
              <w:t xml:space="preserve">By agreement </w:t>
            </w:r>
          </w:p>
        </w:tc>
      </w:tr>
      <w:tr>
        <w:trPr/>
        <w:tc>
          <w:tcPr>
            <w:tcW w:w="3256" w:type="dxa"/>
            <w:tcBorders>
              <w:top w:val="single" w:sz="4" w:space="0" w:color="000000"/>
              <w:left w:val="single" w:sz="4" w:space="0" w:color="000000"/>
              <w:bottom w:val="single" w:sz="4" w:space="0" w:color="000000"/>
              <w:right w:val="single" w:sz="4" w:space="0" w:color="000000"/>
            </w:tcBorders>
          </w:tcPr>
          <w:p>
            <w:pPr>
              <w:pStyle w:val="Normal"/>
              <w:rPr>
                <w:b/>
              </w:rPr>
            </w:pPr>
            <w:r>
              <w:rPr>
                <w:b/>
              </w:rPr>
              <w:t>Summary</w:t>
            </w:r>
          </w:p>
        </w:tc>
        <w:tc>
          <w:tcPr>
            <w:tcW w:w="6803" w:type="dxa"/>
            <w:tcBorders>
              <w:top w:val="single" w:sz="4" w:space="0" w:color="000000"/>
              <w:left w:val="single" w:sz="4" w:space="0" w:color="000000"/>
              <w:bottom w:val="single" w:sz="4" w:space="0" w:color="000000"/>
              <w:right w:val="single" w:sz="4" w:space="0" w:color="000000"/>
            </w:tcBorders>
          </w:tcPr>
          <w:p>
            <w:pPr>
              <w:pStyle w:val="Normal"/>
              <w:rPr/>
            </w:pPr>
            <w:r>
              <w:rPr/>
              <w:t>Qualified Chemical Engineer possessing chemical research and development mastery. Expert in control standards and procedures development, plant equipment design and chemical production techniques. Creative thinker with exceptional problem-solving approaches.</w:t>
            </w:r>
          </w:p>
        </w:tc>
      </w:tr>
      <w:tr>
        <w:trPr/>
        <w:tc>
          <w:tcPr>
            <w:tcW w:w="10059" w:type="dxa"/>
            <w:gridSpan w:val="2"/>
            <w:tcBorders>
              <w:top w:val="single" w:sz="4" w:space="0" w:color="000000"/>
              <w:left w:val="single" w:sz="4" w:space="0" w:color="000000"/>
              <w:bottom w:val="single" w:sz="4" w:space="0" w:color="000000"/>
              <w:right w:val="single" w:sz="4" w:space="0" w:color="000000"/>
            </w:tcBorders>
          </w:tcPr>
          <w:p>
            <w:pPr>
              <w:pStyle w:val="Normal"/>
              <w:rPr>
                <w:b/>
              </w:rPr>
            </w:pPr>
            <w:r>
              <w:rPr>
                <w:b/>
              </w:rPr>
              <w:t>Education</w:t>
            </w:r>
          </w:p>
        </w:tc>
      </w:tr>
      <w:tr>
        <w:trPr/>
        <w:tc>
          <w:tcPr>
            <w:tcW w:w="3256" w:type="dxa"/>
            <w:tcBorders>
              <w:top w:val="single" w:sz="4" w:space="0" w:color="000000"/>
              <w:left w:val="single" w:sz="4" w:space="0" w:color="000000"/>
              <w:bottom w:val="single" w:sz="4" w:space="0" w:color="000000"/>
              <w:right w:val="single" w:sz="4" w:space="0" w:color="000000"/>
            </w:tcBorders>
          </w:tcPr>
          <w:p>
            <w:pPr>
              <w:pStyle w:val="Normal"/>
              <w:rPr/>
            </w:pPr>
            <w:r>
              <w:rPr/>
              <w:t>Master’s degree</w:t>
            </w:r>
          </w:p>
        </w:tc>
        <w:tc>
          <w:tcPr>
            <w:tcW w:w="6803" w:type="dxa"/>
            <w:tcBorders>
              <w:top w:val="single" w:sz="4" w:space="0" w:color="000000"/>
              <w:left w:val="single" w:sz="4" w:space="0" w:color="000000"/>
              <w:bottom w:val="single" w:sz="4" w:space="0" w:color="000000"/>
              <w:right w:val="single" w:sz="4" w:space="0" w:color="000000"/>
            </w:tcBorders>
          </w:tcPr>
          <w:p>
            <w:pPr>
              <w:pStyle w:val="Normal"/>
              <w:rPr/>
            </w:pPr>
            <w:r>
              <w:rPr/>
              <w:t>Moscow State University of Fine Chemical Technologies named after M.V. Lomonosov</w:t>
            </w:r>
          </w:p>
          <w:p>
            <w:pPr>
              <w:pStyle w:val="Normal"/>
              <w:rPr/>
            </w:pPr>
            <w:r>
              <w:rPr/>
              <w:t>Specialty: Chemical Technologies</w:t>
            </w:r>
          </w:p>
        </w:tc>
      </w:tr>
      <w:tr>
        <w:trPr/>
        <w:tc>
          <w:tcPr>
            <w:tcW w:w="3256" w:type="dxa"/>
            <w:tcBorders>
              <w:top w:val="single" w:sz="4" w:space="0" w:color="000000"/>
              <w:left w:val="single" w:sz="4" w:space="0" w:color="000000"/>
              <w:bottom w:val="single" w:sz="4" w:space="0" w:color="000000"/>
              <w:right w:val="single" w:sz="4" w:space="0" w:color="000000"/>
            </w:tcBorders>
          </w:tcPr>
          <w:p>
            <w:pPr>
              <w:pStyle w:val="Normal"/>
              <w:rPr/>
            </w:pPr>
            <w:r>
              <w:rPr/>
              <w:t>Bachelor's degree</w:t>
            </w:r>
          </w:p>
        </w:tc>
        <w:tc>
          <w:tcPr>
            <w:tcW w:w="6803" w:type="dxa"/>
            <w:tcBorders>
              <w:top w:val="single" w:sz="4" w:space="0" w:color="000000"/>
              <w:left w:val="single" w:sz="4" w:space="0" w:color="000000"/>
              <w:bottom w:val="single" w:sz="4" w:space="0" w:color="000000"/>
              <w:right w:val="single" w:sz="4" w:space="0" w:color="000000"/>
            </w:tcBorders>
          </w:tcPr>
          <w:p>
            <w:pPr>
              <w:pStyle w:val="Normal"/>
              <w:rPr/>
            </w:pPr>
            <w:r>
              <w:rPr/>
              <w:t>Moscow State University of Fine Chemical Technologies named after M.V. Lomonosov</w:t>
            </w:r>
          </w:p>
          <w:p>
            <w:pPr>
              <w:pStyle w:val="Normal"/>
              <w:rPr/>
            </w:pPr>
            <w:r>
              <w:rPr/>
              <w:t>Specialty: Chemical Technology and Biotechnology</w:t>
            </w:r>
          </w:p>
        </w:tc>
      </w:tr>
      <w:tr>
        <w:trPr/>
        <w:tc>
          <w:tcPr>
            <w:tcW w:w="10059" w:type="dxa"/>
            <w:gridSpan w:val="2"/>
            <w:tcBorders>
              <w:top w:val="single" w:sz="4" w:space="0" w:color="000000"/>
              <w:left w:val="single" w:sz="4" w:space="0" w:color="000000"/>
              <w:bottom w:val="single" w:sz="4" w:space="0" w:color="000000"/>
              <w:right w:val="single" w:sz="4" w:space="0" w:color="000000"/>
            </w:tcBorders>
          </w:tcPr>
          <w:p>
            <w:pPr>
              <w:pStyle w:val="Normal"/>
              <w:rPr>
                <w:b/>
              </w:rPr>
            </w:pPr>
            <w:r>
              <w:rPr>
                <w:b/>
              </w:rPr>
              <w:t xml:space="preserve">Work experience </w:t>
            </w:r>
          </w:p>
        </w:tc>
      </w:tr>
      <w:tr>
        <w:trPr/>
        <w:tc>
          <w:tcPr>
            <w:tcW w:w="3256" w:type="dxa"/>
            <w:tcBorders>
              <w:top w:val="single" w:sz="4" w:space="0" w:color="000000"/>
              <w:left w:val="single" w:sz="4" w:space="0" w:color="000000"/>
              <w:bottom w:val="single" w:sz="4" w:space="0" w:color="000000"/>
              <w:right w:val="single" w:sz="4" w:space="0" w:color="000000"/>
            </w:tcBorders>
          </w:tcPr>
          <w:p>
            <w:pPr>
              <w:pStyle w:val="Normal"/>
              <w:rPr/>
            </w:pPr>
            <w:r>
              <w:rPr/>
              <w:t>May 2017 – Jun 2022</w:t>
            </w:r>
          </w:p>
        </w:tc>
        <w:tc>
          <w:tcPr>
            <w:tcW w:w="6803" w:type="dxa"/>
            <w:tcBorders>
              <w:top w:val="single" w:sz="4" w:space="0" w:color="000000"/>
              <w:left w:val="single" w:sz="4" w:space="0" w:color="000000"/>
              <w:bottom w:val="single" w:sz="4" w:space="0" w:color="000000"/>
              <w:right w:val="single" w:sz="4" w:space="0" w:color="000000"/>
            </w:tcBorders>
          </w:tcPr>
          <w:p>
            <w:pPr>
              <w:pStyle w:val="Normal"/>
              <w:rPr/>
            </w:pPr>
            <w:r>
              <w:rPr/>
              <w:t xml:space="preserve">Chemical Engineer of Water Treatment at </w:t>
            </w:r>
          </w:p>
          <w:p>
            <w:pPr>
              <w:pStyle w:val="Normal"/>
              <w:rPr/>
            </w:pPr>
            <w:r>
              <w:rPr/>
              <w:t>M. P. Chumakov Institute of Poliomyelitis and Viral Encephalitis, Russian Academy of Medical Sciences.</w:t>
            </w:r>
          </w:p>
          <w:p>
            <w:pPr>
              <w:pStyle w:val="Normal"/>
              <w:rPr/>
            </w:pPr>
            <w:r>
              <w:rPr/>
              <w:t>Organization of internal workflow, paperwork, staff scheduling</w:t>
            </w:r>
          </w:p>
          <w:p>
            <w:pPr>
              <w:pStyle w:val="Normal"/>
              <w:rPr/>
            </w:pPr>
            <w:r>
              <w:rPr/>
              <w:t>Performed process engineering calculations and developed technical reports to support business objectives.</w:t>
            </w:r>
          </w:p>
          <w:p>
            <w:pPr>
              <w:pStyle w:val="Normal"/>
              <w:rPr/>
            </w:pPr>
            <w:r>
              <w:rPr/>
              <w:t>Observed current production processes and conducted research to recommend ways to increase efficiency and quality.</w:t>
            </w:r>
          </w:p>
          <w:p>
            <w:pPr>
              <w:pStyle w:val="Normal"/>
              <w:rPr/>
            </w:pPr>
            <w:r>
              <w:rPr/>
              <w:t>Kept detailed knowledge of mechanical elements and operation of equipment.</w:t>
            </w:r>
          </w:p>
          <w:p>
            <w:pPr>
              <w:pStyle w:val="Normal"/>
              <w:rPr/>
            </w:pPr>
            <w:r>
              <w:rPr/>
              <w:t>Control of uninterrupted WFI (Water for Injection) supply, continuous circulation, PW (Purified Water) for the pharmaceutical production, making prompt decisions based on troubleshooting, and providing the recommendations for equipment maintenance.</w:t>
            </w:r>
          </w:p>
          <w:p>
            <w:pPr>
              <w:pStyle w:val="Normal"/>
              <w:rPr/>
            </w:pPr>
            <w:r>
              <w:rPr/>
              <w:t>Communicated with suppliers and contractors to specify existing equipment and consult on new and improved processes. Installation control, corrective actions (CAPA), equipment risk assessment, validation and equipment qualification (PQ, IQ, OQ).</w:t>
            </w:r>
          </w:p>
          <w:p>
            <w:pPr>
              <w:pStyle w:val="Normal"/>
              <w:rPr/>
            </w:pPr>
            <w:r>
              <w:rPr/>
              <w:t>Development of technology systems of water treatment (AvtoCad, NanoCad), creating technical documentation using source specifications and technical tasks.</w:t>
            </w:r>
          </w:p>
          <w:p>
            <w:pPr>
              <w:pStyle w:val="Normal"/>
              <w:rPr/>
            </w:pPr>
            <w:r>
              <w:rPr/>
              <w:t>Preparation, storage, and distribution of water for injection (WFI).</w:t>
            </w:r>
          </w:p>
          <w:p>
            <w:pPr>
              <w:pStyle w:val="Normal"/>
              <w:rPr/>
            </w:pPr>
            <w:r>
              <w:rPr/>
              <w:t>Purified water preparation (PW).</w:t>
            </w:r>
          </w:p>
          <w:p>
            <w:pPr>
              <w:pStyle w:val="Normal"/>
              <w:rPr/>
            </w:pPr>
            <w:r>
              <w:rPr/>
              <w:t>Preparation and distribution of clean sterile (pharmaceutical) steam.</w:t>
            </w:r>
          </w:p>
          <w:p>
            <w:pPr>
              <w:pStyle w:val="Normal"/>
              <w:rPr/>
            </w:pPr>
            <w:r>
              <w:rPr/>
              <w:t>Desalting (softening) ion exchange processes.</w:t>
            </w:r>
          </w:p>
          <w:p>
            <w:pPr>
              <w:pStyle w:val="Normal"/>
              <w:rPr/>
            </w:pPr>
            <w:r>
              <w:rPr/>
              <w:t>Reverse osmosis, water demineralization.</w:t>
            </w:r>
          </w:p>
          <w:p>
            <w:pPr>
              <w:pStyle w:val="Normal"/>
              <w:rPr/>
            </w:pPr>
            <w:r>
              <w:rPr/>
              <w:t>Multistage column distillation.</w:t>
            </w:r>
          </w:p>
          <w:p>
            <w:pPr>
              <w:pStyle w:val="Normal"/>
              <w:rPr/>
            </w:pPr>
            <w:r>
              <w:rPr/>
              <w:t>Sanitization (pure steam or chemical treatment) of the injection water distribution system.</w:t>
            </w:r>
          </w:p>
          <w:p>
            <w:pPr>
              <w:pStyle w:val="Normal"/>
              <w:rPr/>
            </w:pPr>
            <w:r>
              <w:rPr/>
              <w:t>Calculation and amount regulation of H and Na - cation exchange cycles for regeneration.</w:t>
            </w:r>
          </w:p>
          <w:p>
            <w:pPr>
              <w:pStyle w:val="Normal"/>
              <w:rPr/>
            </w:pPr>
            <w:r>
              <w:rPr/>
              <w:t>Development of standard operating procedures (SOP), ISO, СанПиН, СМК, regulations, technical specifications, compliance with requirements of ISO, GMP, ISPE.</w:t>
            </w:r>
          </w:p>
          <w:p>
            <w:pPr>
              <w:pStyle w:val="Normal"/>
              <w:rPr/>
            </w:pPr>
            <w:r>
              <w:rPr/>
              <w:t>Performing statistical calculations, analysis of accumulated data for any parameters depending on the initial data, graphical representation, and justification of changes.</w:t>
            </w:r>
          </w:p>
        </w:tc>
      </w:tr>
      <w:tr>
        <w:trPr/>
        <w:tc>
          <w:tcPr>
            <w:tcW w:w="3256" w:type="dxa"/>
            <w:tcBorders>
              <w:top w:val="single" w:sz="4" w:space="0" w:color="000000"/>
              <w:left w:val="single" w:sz="4" w:space="0" w:color="000000"/>
              <w:bottom w:val="single" w:sz="4" w:space="0" w:color="000000"/>
              <w:right w:val="single" w:sz="4" w:space="0" w:color="000000"/>
            </w:tcBorders>
          </w:tcPr>
          <w:p>
            <w:pPr>
              <w:pStyle w:val="Normal"/>
              <w:rPr/>
            </w:pPr>
            <w:r>
              <w:rPr/>
              <w:t>Apr 2014 – Mar 2016</w:t>
            </w:r>
          </w:p>
        </w:tc>
        <w:tc>
          <w:tcPr>
            <w:tcW w:w="6803" w:type="dxa"/>
            <w:tcBorders>
              <w:top w:val="single" w:sz="4" w:space="0" w:color="000000"/>
              <w:left w:val="single" w:sz="4" w:space="0" w:color="000000"/>
              <w:bottom w:val="single" w:sz="4" w:space="0" w:color="000000"/>
              <w:right w:val="single" w:sz="4" w:space="0" w:color="000000"/>
            </w:tcBorders>
          </w:tcPr>
          <w:p>
            <w:pPr>
              <w:pStyle w:val="Normal"/>
              <w:rPr/>
            </w:pPr>
            <w:r>
              <w:rPr/>
              <w:t>Plant Operator at M. P. Chumakov Institute of Poliomyelitis and Viral Encephalitis, Russian Academy of Medical Sciences.</w:t>
            </w:r>
          </w:p>
          <w:p>
            <w:pPr>
              <w:pStyle w:val="Normal"/>
              <w:rPr/>
            </w:pPr>
            <w:r>
              <w:rPr/>
              <w:t>Working with industrial Lyophilization Plants such as:</w:t>
            </w:r>
          </w:p>
          <w:p>
            <w:pPr>
              <w:pStyle w:val="Normal"/>
              <w:rPr/>
            </w:pPr>
            <w:r>
              <w:rPr/>
              <w:t>Working with maintaining facilities, compressors.</w:t>
            </w:r>
          </w:p>
          <w:p>
            <w:pPr>
              <w:pStyle w:val="Normal"/>
              <w:rPr/>
            </w:pPr>
            <w:r>
              <w:rPr/>
              <w:t>Calculation of Eutectic Point.</w:t>
            </w:r>
          </w:p>
          <w:p>
            <w:pPr>
              <w:pStyle w:val="Normal"/>
              <w:rPr/>
            </w:pPr>
            <w:r>
              <w:rPr/>
              <w:t>Understanding of freezing rate effect.</w:t>
            </w:r>
          </w:p>
          <w:p>
            <w:pPr>
              <w:pStyle w:val="Normal"/>
              <w:rPr/>
            </w:pPr>
            <w:r>
              <w:rPr/>
              <w:t>Decision making of product preservation, changing drying procces specifications.</w:t>
            </w:r>
          </w:p>
        </w:tc>
      </w:tr>
      <w:tr>
        <w:trPr/>
        <w:tc>
          <w:tcPr>
            <w:tcW w:w="3256" w:type="dxa"/>
            <w:tcBorders>
              <w:top w:val="single" w:sz="4" w:space="0" w:color="000000"/>
              <w:left w:val="single" w:sz="4" w:space="0" w:color="000000"/>
              <w:bottom w:val="single" w:sz="4" w:space="0" w:color="000000"/>
              <w:right w:val="single" w:sz="4" w:space="0" w:color="000000"/>
            </w:tcBorders>
          </w:tcPr>
          <w:p>
            <w:pPr>
              <w:pStyle w:val="Normal"/>
              <w:rPr/>
            </w:pPr>
            <w:r>
              <w:rPr/>
              <w:t>Apr 2013 – Feb 2014</w:t>
            </w:r>
          </w:p>
        </w:tc>
        <w:tc>
          <w:tcPr>
            <w:tcW w:w="6803" w:type="dxa"/>
            <w:tcBorders>
              <w:top w:val="single" w:sz="4" w:space="0" w:color="000000"/>
              <w:left w:val="single" w:sz="4" w:space="0" w:color="000000"/>
              <w:bottom w:val="single" w:sz="4" w:space="0" w:color="000000"/>
              <w:right w:val="single" w:sz="4" w:space="0" w:color="000000"/>
            </w:tcBorders>
          </w:tcPr>
          <w:p>
            <w:pPr>
              <w:pStyle w:val="Normal"/>
              <w:rPr/>
            </w:pPr>
            <w:r>
              <w:rPr/>
              <w:t>Test Engineer at Physical-Mechanical Laboratory of Polyplastic</w:t>
            </w:r>
          </w:p>
          <w:p>
            <w:pPr>
              <w:pStyle w:val="Normal"/>
              <w:rPr/>
            </w:pPr>
            <w:r>
              <w:rPr/>
              <w:t>сredit consumer cooperative (selling financial products by phone calls)</w:t>
            </w:r>
          </w:p>
          <w:p>
            <w:pPr>
              <w:pStyle w:val="Normal"/>
              <w:rPr/>
            </w:pPr>
            <w:r>
              <w:rPr/>
              <w:t>Charpy and Izod impact toughness tests (notched and unnotched, GOST, ISO, ASTM specimens).</w:t>
            </w:r>
          </w:p>
          <w:p>
            <w:pPr>
              <w:pStyle w:val="Normal"/>
              <w:rPr/>
            </w:pPr>
            <w:r>
              <w:rPr/>
              <w:t>Texting flexural modulus.</w:t>
            </w:r>
          </w:p>
          <w:p>
            <w:pPr>
              <w:pStyle w:val="Normal"/>
              <w:rPr/>
            </w:pPr>
            <w:r>
              <w:rPr/>
              <w:t>Testing of modulus of elasticity to the breakpoint.</w:t>
            </w:r>
          </w:p>
          <w:p>
            <w:pPr>
              <w:pStyle w:val="Normal"/>
              <w:rPr/>
            </w:pPr>
            <w:r>
              <w:rPr/>
              <w:t>Working with tensile testing machine.</w:t>
            </w:r>
          </w:p>
          <w:p>
            <w:pPr>
              <w:pStyle w:val="Normal"/>
              <w:rPr/>
            </w:pPr>
            <w:r>
              <w:rPr/>
              <w:t>Performing drop weight tests.</w:t>
            </w:r>
          </w:p>
          <w:p>
            <w:pPr>
              <w:pStyle w:val="Normal"/>
              <w:rPr/>
            </w:pPr>
            <w:r>
              <w:rPr/>
              <w:t>Performing Brinell hardness test.</w:t>
            </w:r>
          </w:p>
          <w:p>
            <w:pPr>
              <w:pStyle w:val="Normal"/>
              <w:rPr/>
            </w:pPr>
            <w:r>
              <w:rPr/>
              <w:t>Statistical calculations based on the results.</w:t>
            </w:r>
          </w:p>
          <w:p>
            <w:pPr>
              <w:pStyle w:val="Normal"/>
              <w:rPr/>
            </w:pPr>
            <w:r>
              <w:rPr/>
              <w:t>Destroying die-cast specimens.</w:t>
            </w:r>
          </w:p>
        </w:tc>
      </w:tr>
      <w:tr>
        <w:trPr/>
        <w:tc>
          <w:tcPr>
            <w:tcW w:w="3256" w:type="dxa"/>
            <w:tcBorders>
              <w:top w:val="single" w:sz="4" w:space="0" w:color="000000"/>
              <w:left w:val="single" w:sz="4" w:space="0" w:color="000000"/>
              <w:bottom w:val="single" w:sz="4" w:space="0" w:color="000000"/>
              <w:right w:val="single" w:sz="4" w:space="0" w:color="000000"/>
            </w:tcBorders>
          </w:tcPr>
          <w:p>
            <w:pPr>
              <w:pStyle w:val="Normal"/>
              <w:rPr>
                <w:b/>
              </w:rPr>
            </w:pPr>
            <w:r>
              <w:rPr>
                <w:b/>
              </w:rPr>
              <w:t>Hard skills</w:t>
            </w:r>
          </w:p>
        </w:tc>
        <w:tc>
          <w:tcPr>
            <w:tcW w:w="6803" w:type="dxa"/>
            <w:tcBorders>
              <w:top w:val="single" w:sz="4" w:space="0" w:color="000000"/>
              <w:left w:val="single" w:sz="4" w:space="0" w:color="000000"/>
              <w:bottom w:val="single" w:sz="4" w:space="0" w:color="000000"/>
              <w:right w:val="single" w:sz="4" w:space="0" w:color="000000"/>
            </w:tcBorders>
          </w:tcPr>
          <w:p>
            <w:pPr>
              <w:pStyle w:val="Normal"/>
              <w:rPr/>
            </w:pPr>
            <w:r>
              <w:rPr/>
              <w:t>Chemical processes</w:t>
            </w:r>
          </w:p>
          <w:p>
            <w:pPr>
              <w:pStyle w:val="Normal"/>
              <w:rPr/>
            </w:pPr>
            <w:r>
              <w:rPr/>
              <w:t>Process simulation</w:t>
            </w:r>
          </w:p>
          <w:p>
            <w:pPr>
              <w:pStyle w:val="Normal"/>
              <w:rPr/>
            </w:pPr>
            <w:r>
              <w:rPr/>
              <w:t>Quality control</w:t>
            </w:r>
          </w:p>
          <w:p>
            <w:pPr>
              <w:pStyle w:val="Normal"/>
              <w:rPr/>
            </w:pPr>
            <w:r>
              <w:rPr/>
              <w:t>Materials science</w:t>
            </w:r>
          </w:p>
          <w:p>
            <w:pPr>
              <w:pStyle w:val="Normal"/>
              <w:rPr/>
            </w:pPr>
            <w:r>
              <w:rPr/>
              <w:t>Process and plant design</w:t>
            </w:r>
          </w:p>
          <w:p>
            <w:pPr>
              <w:pStyle w:val="Normal"/>
              <w:rPr/>
            </w:pPr>
            <w:r>
              <w:rPr/>
              <w:t>Analytical equipment</w:t>
            </w:r>
          </w:p>
          <w:p>
            <w:pPr>
              <w:pStyle w:val="Normal"/>
              <w:rPr/>
            </w:pPr>
            <w:r>
              <w:rPr/>
              <w:t>Safety management and control</w:t>
            </w:r>
          </w:p>
          <w:p>
            <w:pPr>
              <w:pStyle w:val="Normal"/>
              <w:rPr/>
            </w:pPr>
            <w:r>
              <w:rPr/>
              <w:t>Document control</w:t>
            </w:r>
          </w:p>
          <w:p>
            <w:pPr>
              <w:pStyle w:val="Normal"/>
              <w:rPr/>
            </w:pPr>
            <w:r>
              <w:rPr/>
              <w:t>Chemical processing</w:t>
            </w:r>
          </w:p>
          <w:p>
            <w:pPr>
              <w:pStyle w:val="Normal"/>
              <w:rPr/>
            </w:pPr>
            <w:r>
              <w:rPr/>
              <w:t>AutoCAD</w:t>
            </w:r>
          </w:p>
          <w:p>
            <w:pPr>
              <w:pStyle w:val="Normal"/>
              <w:rPr/>
            </w:pPr>
            <w:r>
              <w:rPr/>
              <w:t>Chemical analysis</w:t>
            </w:r>
          </w:p>
          <w:p>
            <w:pPr>
              <w:pStyle w:val="Normal"/>
              <w:rPr/>
            </w:pPr>
            <w:r>
              <w:rPr/>
              <w:t>Treatment evaluations</w:t>
            </w:r>
          </w:p>
          <w:p>
            <w:pPr>
              <w:pStyle w:val="Normal"/>
              <w:rPr/>
            </w:pPr>
            <w:r>
              <w:rPr/>
              <w:t>Technical risk assessments</w:t>
            </w:r>
          </w:p>
          <w:p>
            <w:pPr>
              <w:pStyle w:val="Normal"/>
              <w:rPr/>
            </w:pPr>
            <w:r>
              <w:rPr/>
              <w:t>Python3</w:t>
            </w:r>
          </w:p>
          <w:p>
            <w:pPr>
              <w:pStyle w:val="Normal"/>
              <w:rPr/>
            </w:pPr>
            <w:r>
              <w:rPr/>
              <w:t>HTML</w:t>
            </w:r>
          </w:p>
          <w:p>
            <w:pPr>
              <w:pStyle w:val="Normal"/>
              <w:rPr/>
            </w:pPr>
            <w:r>
              <w:rPr/>
              <w:t>CSS</w:t>
            </w:r>
          </w:p>
          <w:p>
            <w:pPr>
              <w:pStyle w:val="Normal"/>
              <w:rPr/>
            </w:pPr>
            <w:r>
              <w:rPr/>
              <w:t>JS</w:t>
            </w:r>
          </w:p>
          <w:p>
            <w:pPr>
              <w:pStyle w:val="Normal"/>
              <w:rPr/>
            </w:pPr>
            <w:r>
              <w:rPr/>
              <w:t>GOlang</w:t>
            </w:r>
          </w:p>
          <w:p>
            <w:pPr>
              <w:pStyle w:val="Normal"/>
              <w:rPr/>
            </w:pPr>
            <w:r>
              <w:rPr/>
              <w:t>GNU Linux</w:t>
            </w:r>
          </w:p>
          <w:p>
            <w:pPr>
              <w:pStyle w:val="Normal"/>
              <w:rPr/>
            </w:pPr>
            <w:r>
              <w:rPr/>
              <w:t>FastAPI, Django</w:t>
            </w:r>
          </w:p>
          <w:p>
            <w:pPr>
              <w:pStyle w:val="Normal"/>
              <w:rPr/>
            </w:pPr>
            <w:r>
              <w:rPr/>
              <w:t>SQL</w:t>
            </w:r>
          </w:p>
        </w:tc>
      </w:tr>
      <w:tr>
        <w:trPr/>
        <w:tc>
          <w:tcPr>
            <w:tcW w:w="3256" w:type="dxa"/>
            <w:tcBorders>
              <w:top w:val="single" w:sz="4" w:space="0" w:color="000000"/>
              <w:left w:val="single" w:sz="4" w:space="0" w:color="000000"/>
              <w:bottom w:val="single" w:sz="4" w:space="0" w:color="000000"/>
              <w:right w:val="single" w:sz="4" w:space="0" w:color="000000"/>
            </w:tcBorders>
          </w:tcPr>
          <w:p>
            <w:pPr>
              <w:pStyle w:val="Normal"/>
              <w:rPr>
                <w:b/>
              </w:rPr>
            </w:pPr>
            <w:r>
              <w:rPr>
                <w:b/>
              </w:rPr>
              <w:t>Language</w:t>
            </w:r>
          </w:p>
        </w:tc>
        <w:tc>
          <w:tcPr>
            <w:tcW w:w="6803" w:type="dxa"/>
            <w:tcBorders>
              <w:top w:val="single" w:sz="4" w:space="0" w:color="000000"/>
              <w:left w:val="single" w:sz="4" w:space="0" w:color="000000"/>
              <w:bottom w:val="single" w:sz="4" w:space="0" w:color="000000"/>
              <w:right w:val="single" w:sz="4" w:space="0" w:color="000000"/>
            </w:tcBorders>
          </w:tcPr>
          <w:p>
            <w:pPr>
              <w:pStyle w:val="Normal"/>
              <w:rPr/>
            </w:pPr>
            <w:r>
              <w:rPr/>
              <w:t>Russian – native;</w:t>
            </w:r>
          </w:p>
          <w:p>
            <w:pPr>
              <w:pStyle w:val="Normal"/>
              <w:rPr/>
            </w:pPr>
            <w:r>
              <w:rPr/>
              <w:t>English – B1;</w:t>
            </w:r>
          </w:p>
          <w:p>
            <w:pPr>
              <w:pStyle w:val="Normal"/>
              <w:rPr/>
            </w:pPr>
            <w:r>
              <w:rPr/>
              <w:t>Georgian – A1;</w:t>
            </w:r>
          </w:p>
          <w:p>
            <w:pPr>
              <w:pStyle w:val="Normal"/>
              <w:rPr/>
            </w:pPr>
            <w:r>
              <w:rPr/>
              <w:t>Hebrew – A1.</w:t>
            </w:r>
          </w:p>
        </w:tc>
      </w:tr>
    </w:tbl>
    <w:p>
      <w:pPr>
        <w:pStyle w:val="Normal"/>
        <w:rPr/>
      </w:pPr>
      <w:r>
        <w:rPr/>
      </w:r>
    </w:p>
    <w:sectPr>
      <w:type w:val="nextPage"/>
      <w:pgSz w:w="11906" w:h="16838"/>
      <w:pgMar w:left="1701" w:right="1134" w:gutter="0" w:header="0" w:top="1134" w:footer="0" w:bottom="1134"/>
      <w:pgNumType w:start="1" w:fmt="decimal"/>
      <w:formProt w:val="false"/>
      <w:textDirection w:val="lrTb"/>
      <w:docGrid w:type="default" w:linePitch="100"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Liberation Sans">
    <w:altName w:val="Arial"/>
    <w:charset w:val="cc"/>
    <w:family w:val="swiss"/>
    <w:pitch w:val="variable"/>
  </w:font>
  <w:font w:name="Georgia">
    <w:charset w:val="cc"/>
    <w:family w:val="roman"/>
    <w:pitch w:val="variable"/>
  </w:font>
  <w:font w:name="Arial">
    <w:charset w:val="cc"/>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8"/>
        <w:szCs w:val="28"/>
        <w:lang w:val="en-US"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8"/>
      <w:szCs w:val="28"/>
      <w:lang w:val="en-US" w:eastAsia="ru-RU"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pBdr/>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hmfecYrAOBVeIhDpXKdlQ5q+5obg==">AMUW2mV/t1haRQFOe00jUxdMwbHjpWfQSRXxu3mKWIcLI/6QKo9vlrOmhW5k9zM0W6XznzFYNSSSSTo4CBZd5jd2HWh/oaD6TQEjuVd66+kbBqkTEnkcQAg=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LibreOffice/24.2.0.3$Windows_X86_64 LibreOffice_project/da48488a73ddd66ea24cf16bbc4f7b9c08e9bea1</Application>
  <AppVersion>15.0000</AppVersion>
  <Pages>3</Pages>
  <Words>499</Words>
  <Characters>3485</Characters>
  <CharactersWithSpaces>3909</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2023-04-08T19:54:00Z</dcterms:created>
  <dc:creator>Пользователь</dc:creator>
  <dc:description/>
  <dc:language>en-US</dc:language>
  <cp:lastModifiedBy/>
  <cp:lastPrinted>2023-04-08T19:54:00Z</cp:lastPrinted>
  <dcterms:modified xsi:type="dcterms:W3CDTF">2024-03-22T20:46:58Z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