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jc w:val="center"/>
      </w:pPr>
      <w:r>
        <w:rPr>
          <w:rFonts w:ascii="Arial" w:cs="Arial" w:eastAsia="Arial" w:hAnsi="Arial"/>
          <w:b/>
          <w:bCs/>
          <w:color w:val="1B4F72"/>
          <w:sz w:val="52"/>
          <w:szCs w:val="52"/>
        </w:rPr>
        <w:t xml:space="preserve">Insurance Claim Risk Analytics</w:t>
      </w:r>
    </w:p>
    <w:p>
      <w:pPr>
        <w:spacing w:before="200" w:after="160"/>
        <w:jc w:val="center"/>
      </w:pPr>
      <w:r>
        <w:rPr>
          <w:rFonts w:ascii="Arial" w:cs="Arial" w:eastAsia="Arial" w:hAnsi="Arial"/>
          <w:color w:val="2E86AB"/>
          <w:sz w:val="28"/>
          <w:szCs w:val="28"/>
        </w:rPr>
        <w:t xml:space="preserve">Project 9 – End-to-End Data Engineering Project</w:t>
      </w:r>
    </w:p>
    <w:p>
      <w:pPr>
        <w:pBdr>
          <w:bottom w:val="single" w:color="1B4F72" w:sz="6" w:space="1"/>
        </w:pBdr>
        <w:spacing w:before="80" w:after="80"/>
      </w:pPr>
    </w:p>
    <w:p>
      <w:pPr>
        <w:spacing w:before="200"/>
        <w:jc w:val="center"/>
      </w:pPr>
      <w:r>
        <w:rPr>
          <w:rFonts w:ascii="Arial" w:cs="Arial" w:eastAsia="Arial" w:hAnsi="Arial"/>
          <w:b/>
          <w:bCs/>
          <w:color w:val="2C3E50"/>
          <w:sz w:val="24"/>
          <w:szCs w:val="24"/>
        </w:rPr>
        <w:t xml:space="preserve">Wipro DAI-DATA Group 1 Training</w:t>
      </w:r>
    </w:p>
    <w:p>
      <w:pPr>
        <w:spacing w:before="80" w:after="80"/>
        <w:jc w:val="center"/>
      </w:pPr>
      <w:r>
        <w:rPr>
          <w:rFonts w:ascii="Arial" w:cs="Arial" w:eastAsia="Arial" w:hAnsi="Arial"/>
          <w:color w:val="7F8C8D"/>
          <w:sz w:val="22"/>
          <w:szCs w:val="22"/>
        </w:rPr>
        <w:t xml:space="preserve">ITER SOA | February 2026</w:t>
      </w:r>
    </w:p>
    <w:p>
      <w:pPr>
        <w:spacing w:before="400"/>
        <w:jc w:val="cente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Technology Stack</w:t>
            </w:r>
          </w:p>
        </w:tc>
        <w:tc>
          <w:tcPr>
            <w:tcW w:type="dxa" w:w="468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Module Coverage</w:t>
            </w:r>
          </w:p>
        </w:tc>
      </w:tr>
      <w:tr>
        <w:tc>
          <w:tcPr>
            <w:tcW w:type="dxa" w:w="4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Python ETL Pipeline</w:t>
            </w:r>
          </w:p>
        </w:tc>
        <w:tc>
          <w:tcPr>
            <w:tcW w:type="dxa" w:w="4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Module 3 – Python L2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Apache Spark (Batch + Stream)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 4 – Spark L2</w:t>
            </w:r>
          </w:p>
        </w:tc>
      </w:tr>
      <w:tr>
        <w:tc>
          <w:tcPr>
            <w:tcW w:type="dxa" w:w="4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PostgreSQL Star Schema</w:t>
            </w:r>
          </w:p>
        </w:tc>
        <w:tc>
          <w:tcPr>
            <w:tcW w:type="dxa" w:w="4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Module 2 – SQL L2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Snowflake Cloud DWH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 6 – Snowflake</w:t>
            </w:r>
          </w:p>
        </w:tc>
      </w:tr>
      <w:tr>
        <w:tc>
          <w:tcPr>
            <w:tcW w:type="dxa" w:w="4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Data Visualization Dashboard</w:t>
            </w:r>
          </w:p>
        </w:tc>
        <w:tc>
          <w:tcPr>
            <w:tcW w:type="dxa" w:w="4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Module 5 – Storytelling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RBAC + Data Masking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 6 – Security</w:t>
            </w:r>
          </w:p>
        </w:tc>
      </w:tr>
    </w:tbl>
    <w:p>
      <w:r>
        <w:br w:type="page"/>
      </w:r>
    </w:p>
    <w:p>
      <w:pPr>
        <w:pStyle w:val="Heading1"/>
        <w:spacing w:before="300" w:after="160"/>
      </w:pPr>
      <w:r>
        <w:rPr>
          <w:rFonts w:ascii="Arial" w:cs="Arial" w:eastAsia="Arial" w:hAnsi="Arial"/>
          <w:b/>
          <w:bCs/>
          <w:color w:val="1B4F72"/>
          <w:sz w:val="32"/>
          <w:szCs w:val="32"/>
        </w:rPr>
        <w:t xml:space="preserve">1. Executive Summary</w:t>
      </w:r>
    </w:p>
    <w:p>
      <w:pPr>
        <w:spacing w:before="60" w:after="60"/>
      </w:pPr>
      <w:r>
        <w:rPr>
          <w:rFonts w:ascii="Arial" w:cs="Arial" w:eastAsia="Arial" w:hAnsi="Arial"/>
          <w:sz w:val="22"/>
          <w:szCs w:val="22"/>
        </w:rPr>
        <w:t xml:space="preserve">This project delivers a complete, production-grade data engineering solution for Insurance Claim Risk Analytics. The system ingests, transforms, and analyzes insurance claim data across 1,000 customers, 1,500 policies, and 3,000 claims, providing actionable insights on fraud risk, claim patterns, and operational performance.</w:t>
      </w:r>
    </w:p>
    <w:p>
      <w:pPr>
        <w:spacing w:before="60" w:after="60"/>
      </w:pPr>
      <w:r>
        <w:rPr>
          <w:rFonts w:ascii="Arial" w:cs="Arial" w:eastAsia="Arial" w:hAnsi="Arial"/>
          <w:sz w:val="22"/>
          <w:szCs w:val="22"/>
        </w:rPr>
        <w:t xml:space="preserve">The solution spans the entire modern data stack: from Python-based ETL pipelines and Apache Spark distributed processing, through a well-designed Star Schema data warehouse, to Snowflake's cloud-native advanced features, concluding with an interactive visualization dashboard.</w:t>
      </w:r>
    </w:p>
    <w:p>
      <w:pPr>
        <w:pStyle w:val="Heading2"/>
        <w:spacing w:before="220" w:after="120"/>
      </w:pPr>
      <w:r>
        <w:rPr>
          <w:rFonts w:ascii="Arial" w:cs="Arial" w:eastAsia="Arial" w:hAnsi="Arial"/>
          <w:b/>
          <w:bCs/>
          <w:color w:val="2E86AB"/>
          <w:sz w:val="26"/>
          <w:szCs w:val="26"/>
        </w:rPr>
        <w:t xml:space="preserve">Key Results</w:t>
      </w:r>
    </w:p>
    <w:p>
      <w:pPr>
        <w:pStyle w:val="ListParagraph"/>
        <w:numPr>
          <w:ilvl w:val="0"/>
          <w:numId w:val="2"/>
        </w:numPr>
        <w:spacing w:before="40" w:after="40"/>
      </w:pPr>
      <w:r>
        <w:rPr>
          <w:rFonts w:ascii="Arial" w:cs="Arial" w:eastAsia="Arial" w:hAnsi="Arial"/>
          <w:sz w:val="22"/>
          <w:szCs w:val="22"/>
        </w:rPr>
        <w:t xml:space="preserve">3,000+ claims processed through automated ETL pipeline (100% DQ pass rate)</w:t>
      </w:r>
    </w:p>
    <w:p>
      <w:pPr>
        <w:pStyle w:val="ListParagraph"/>
        <w:numPr>
          <w:ilvl w:val="0"/>
          <w:numId w:val="2"/>
        </w:numPr>
        <w:spacing w:before="40" w:after="40"/>
      </w:pPr>
      <w:r>
        <w:rPr>
          <w:rFonts w:ascii="Arial" w:cs="Arial" w:eastAsia="Arial" w:hAnsi="Arial"/>
          <w:sz w:val="22"/>
          <w:szCs w:val="22"/>
        </w:rPr>
        <w:t xml:space="preserve">12% fraud detection rate identified through composite risk scoring</w:t>
      </w:r>
    </w:p>
    <w:p>
      <w:pPr>
        <w:pStyle w:val="ListParagraph"/>
        <w:numPr>
          <w:ilvl w:val="0"/>
          <w:numId w:val="2"/>
        </w:numPr>
        <w:spacing w:before="40" w:after="40"/>
      </w:pPr>
      <w:r>
        <w:rPr>
          <w:rFonts w:ascii="Arial" w:cs="Arial" w:eastAsia="Arial" w:hAnsi="Arial"/>
          <w:sz w:val="22"/>
          <w:szCs w:val="22"/>
        </w:rPr>
        <w:t xml:space="preserve">8-layer end-to-end architecture: Sources → Ingestion → Staging → Processing → DWH → Snowflake → Security → Visualization</w:t>
      </w:r>
    </w:p>
    <w:p>
      <w:pPr>
        <w:pStyle w:val="ListParagraph"/>
        <w:numPr>
          <w:ilvl w:val="0"/>
          <w:numId w:val="2"/>
        </w:numPr>
        <w:spacing w:before="40" w:after="40"/>
      </w:pPr>
      <w:r>
        <w:rPr>
          <w:rFonts w:ascii="Arial" w:cs="Arial" w:eastAsia="Arial" w:hAnsi="Arial"/>
          <w:sz w:val="22"/>
          <w:szCs w:val="22"/>
        </w:rPr>
        <w:t xml:space="preserve">Real-time fraud alert streaming via Apache Spark Structured Streaming</w:t>
      </w:r>
    </w:p>
    <w:p>
      <w:pPr>
        <w:pStyle w:val="ListParagraph"/>
        <w:numPr>
          <w:ilvl w:val="0"/>
          <w:numId w:val="2"/>
        </w:numPr>
        <w:spacing w:before="40" w:after="40"/>
      </w:pPr>
      <w:r>
        <w:rPr>
          <w:rFonts w:ascii="Arial" w:cs="Arial" w:eastAsia="Arial" w:hAnsi="Arial"/>
          <w:sz w:val="22"/>
          <w:szCs w:val="22"/>
        </w:rPr>
        <w:t xml:space="preserve">Row-level security + dynamic data masking implemented in Snowflake</w:t>
      </w:r>
    </w:p>
    <w:p>
      <w:r>
        <w:br w:type="page"/>
      </w:r>
    </w:p>
    <w:p>
      <w:pPr>
        <w:pStyle w:val="Heading1"/>
        <w:spacing w:before="300" w:after="160"/>
      </w:pPr>
      <w:r>
        <w:rPr>
          <w:rFonts w:ascii="Arial" w:cs="Arial" w:eastAsia="Arial" w:hAnsi="Arial"/>
          <w:b/>
          <w:bCs/>
          <w:color w:val="1B4F72"/>
          <w:sz w:val="32"/>
          <w:szCs w:val="32"/>
        </w:rPr>
        <w:t xml:space="preserve">2. System Architecture</w:t>
      </w:r>
    </w:p>
    <w:p>
      <w:pPr>
        <w:spacing w:before="60" w:after="60"/>
      </w:pPr>
      <w:r>
        <w:rPr>
          <w:rFonts w:ascii="Arial" w:cs="Arial" w:eastAsia="Arial" w:hAnsi="Arial"/>
          <w:sz w:val="22"/>
          <w:szCs w:val="22"/>
        </w:rPr>
        <w:t xml:space="preserve">The solution follows a modern Medallion Architecture (Bronze → Silver → Gold) mapped to the following layers:</w:t>
      </w:r>
    </w:p>
    <w:p>
      <w:pPr>
        <w:pStyle w:val="Heading2"/>
        <w:spacing w:before="220" w:after="120"/>
      </w:pPr>
      <w:r>
        <w:rPr>
          <w:rFonts w:ascii="Arial" w:cs="Arial" w:eastAsia="Arial" w:hAnsi="Arial"/>
          <w:b/>
          <w:bCs/>
          <w:color w:val="2E86AB"/>
          <w:sz w:val="26"/>
          <w:szCs w:val="26"/>
        </w:rPr>
        <w:t xml:space="preserve">2.1 Architecture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20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w:t>
            </w:r>
          </w:p>
        </w:tc>
        <w:tc>
          <w:tcPr>
            <w:tcW w:type="dxa" w:w="556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 – Sources</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CRM / Claims DB / Kafka</w:t>
            </w:r>
          </w:p>
        </w:tc>
        <w:tc>
          <w:tcPr>
            <w:tcW w:type="dxa" w:w="5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Raw data: customer profiles, policy records, real-time claim events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 Ingestion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ETL + Snowpipe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Extraction with retry/logging decorators; Snowpipe for event-driven loads</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3 – Staging</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PostgreSQL / Snowflake</w:t>
            </w:r>
          </w:p>
        </w:tc>
        <w:tc>
          <w:tcPr>
            <w:tcW w:type="dxa" w:w="5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Raw zone with load timestamps and source system tagging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 Processing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Apache Spark</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Batch analytics + Structured Streaming for fraud alerts</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5 – DWH</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Star Schema</w:t>
            </w:r>
          </w:p>
        </w:tc>
        <w:tc>
          <w:tcPr>
            <w:tcW w:type="dxa" w:w="5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dim_date, dim_customers (SCD2), dim_agents, fact_claims (partitioned)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 Snowflake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 DWH</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Clustering, Time Travel, VARIANT, Snowpipe, Materialized Views</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7 – Security</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RBAC + Masking + RLS</w:t>
            </w:r>
          </w:p>
        </w:tc>
        <w:tc>
          <w:tcPr>
            <w:tcW w:type="dxa" w:w="5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4-tier role hierarchy, dynamic data masking, row-level security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 – Serving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 + BI</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Matplotlib dashboard + Power BI / Tableau integration</w:t>
            </w:r>
          </w:p>
        </w:tc>
      </w:tr>
    </w:tbl>
    <w:p>
      <w:r>
        <w:br w:type="page"/>
      </w:r>
    </w:p>
    <w:p>
      <w:pPr>
        <w:pStyle w:val="Heading1"/>
        <w:spacing w:before="300" w:after="160"/>
      </w:pPr>
      <w:r>
        <w:rPr>
          <w:rFonts w:ascii="Arial" w:cs="Arial" w:eastAsia="Arial" w:hAnsi="Arial"/>
          <w:b/>
          <w:bCs/>
          <w:color w:val="1B4F72"/>
          <w:sz w:val="32"/>
          <w:szCs w:val="32"/>
        </w:rPr>
        <w:t xml:space="preserve">3. Data Warehouse Design (Star Schema)</w:t>
      </w:r>
    </w:p>
    <w:p>
      <w:pPr>
        <w:pStyle w:val="Heading2"/>
        <w:spacing w:before="220" w:after="120"/>
      </w:pPr>
      <w:r>
        <w:rPr>
          <w:rFonts w:ascii="Arial" w:cs="Arial" w:eastAsia="Arial" w:hAnsi="Arial"/>
          <w:b/>
          <w:bCs/>
          <w:color w:val="2E86AB"/>
          <w:sz w:val="26"/>
          <w:szCs w:val="26"/>
        </w:rPr>
        <w:t xml:space="preserve">3.1 Schema Overview</w:t>
      </w:r>
    </w:p>
    <w:p>
      <w:pPr>
        <w:spacing w:before="60" w:after="60"/>
      </w:pPr>
      <w:r>
        <w:rPr>
          <w:rFonts w:ascii="Arial" w:cs="Arial" w:eastAsia="Arial" w:hAnsi="Arial"/>
          <w:sz w:val="22"/>
          <w:szCs w:val="22"/>
        </w:rPr>
        <w:t xml:space="preserve">The data warehouse implements a Star Schema with two fact tables and four shared dimension tables. The schema supports OLAP queries for multi-dimensional analysis across time, geography, product, and customer segments.</w:t>
      </w:r>
    </w:p>
    <w:p>
      <w:pPr>
        <w:spacing w:before="160" w:after="80"/>
      </w:pPr>
      <w:r>
        <w:rPr>
          <w:rFonts w:ascii="Arial" w:cs="Arial" w:eastAsia="Arial" w:hAnsi="Arial"/>
          <w:b/>
          <w:bCs/>
          <w:color w:val="27AE60"/>
          <w:sz w:val="22"/>
          <w:szCs w:val="22"/>
        </w:rPr>
        <w:t xml:space="preserve">Dimension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Table</w:t>
            </w:r>
          </w:p>
        </w:tc>
        <w:tc>
          <w:tcPr>
            <w:tcW w:type="dxa" w:w="18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516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Attributes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dim_date</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Conformed</w:t>
            </w:r>
          </w:p>
        </w:tc>
        <w:tc>
          <w:tcPr>
            <w:tcW w:type="dxa" w:w="5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date_key, year, quarter, month, is_weekend, is_holiday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dim_customers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SCD Type 2</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customer_key, age_band, income_band, credit_band, eff_start/end_date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dim_policy_type</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Static</w:t>
            </w:r>
          </w:p>
        </w:tc>
        <w:tc>
          <w:tcPr>
            <w:tcW w:type="dxa" w:w="5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policy_type_key, category, base_premium_rate, risk_level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dim_agents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Slowly Changing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agent_key, region, experience_band, performance_band</w:t>
            </w:r>
          </w:p>
        </w:tc>
      </w:tr>
    </w:tbl>
    <w:p>
      <w:pPr>
        <w:spacing w:before="120" w:after="60"/>
      </w:pPr>
    </w:p>
    <w:p>
      <w:pPr>
        <w:spacing w:before="160" w:after="80"/>
      </w:pPr>
      <w:r>
        <w:rPr>
          <w:rFonts w:ascii="Arial" w:cs="Arial" w:eastAsia="Arial" w:hAnsi="Arial"/>
          <w:b/>
          <w:bCs/>
          <w:color w:val="27AE60"/>
          <w:sz w:val="22"/>
          <w:szCs w:val="22"/>
        </w:rPr>
        <w:t xml:space="preserve">Fact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Table</w:t>
            </w:r>
          </w:p>
        </w:tc>
        <w:tc>
          <w:tcPr>
            <w:tcW w:type="dxa" w:w="18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Grain</w:t>
            </w:r>
          </w:p>
        </w:tc>
        <w:tc>
          <w:tcPr>
            <w:tcW w:type="dxa" w:w="516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Measures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fact_claims</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One per claim</w:t>
            </w:r>
          </w:p>
        </w:tc>
        <w:tc>
          <w:tcPr>
            <w:tcW w:type="dxa" w:w="5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claimed_amount, approved_amount, fraud_score, payout_ratio, processing_days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fact_policies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 per policy</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premium_amount, coverage_amount, risk_score, policy_duration_days</w:t>
            </w:r>
          </w:p>
        </w:tc>
      </w:tr>
    </w:tbl>
    <w:p>
      <w:pPr>
        <w:pStyle w:val="Heading2"/>
        <w:spacing w:before="220" w:after="120"/>
      </w:pPr>
      <w:r>
        <w:rPr>
          <w:rFonts w:ascii="Arial" w:cs="Arial" w:eastAsia="Arial" w:hAnsi="Arial"/>
          <w:b/>
          <w:bCs/>
          <w:color w:val="2E86AB"/>
          <w:sz w:val="26"/>
          <w:szCs w:val="26"/>
        </w:rPr>
        <w:t xml:space="preserve">3.2 Performance Optimization</w:t>
      </w:r>
    </w:p>
    <w:p>
      <w:pPr>
        <w:pStyle w:val="ListParagraph"/>
        <w:numPr>
          <w:ilvl w:val="0"/>
          <w:numId w:val="2"/>
        </w:numPr>
        <w:spacing w:before="40" w:after="40"/>
      </w:pPr>
      <w:r>
        <w:rPr>
          <w:rFonts w:ascii="Arial" w:cs="Arial" w:eastAsia="Arial" w:hAnsi="Arial"/>
          <w:sz w:val="22"/>
          <w:szCs w:val="22"/>
        </w:rPr>
        <w:t xml:space="preserve">PARTITIONING: Both fact tables partitioned by year (5 partitions: 2020–2024)</w:t>
      </w:r>
    </w:p>
    <w:p>
      <w:pPr>
        <w:pStyle w:val="ListParagraph"/>
        <w:numPr>
          <w:ilvl w:val="0"/>
          <w:numId w:val="2"/>
        </w:numPr>
        <w:spacing w:before="40" w:after="40"/>
      </w:pPr>
      <w:r>
        <w:rPr>
          <w:rFonts w:ascii="Arial" w:cs="Arial" w:eastAsia="Arial" w:hAnsi="Arial"/>
          <w:sz w:val="22"/>
          <w:szCs w:val="22"/>
        </w:rPr>
        <w:t xml:space="preserve">INDEXING: Partial index on fraud_flag=TRUE for fraud query acceleration</w:t>
      </w:r>
    </w:p>
    <w:p>
      <w:pPr>
        <w:pStyle w:val="ListParagraph"/>
        <w:numPr>
          <w:ilvl w:val="0"/>
          <w:numId w:val="2"/>
        </w:numPr>
        <w:spacing w:before="40" w:after="40"/>
      </w:pPr>
      <w:r>
        <w:rPr>
          <w:rFonts w:ascii="Arial" w:cs="Arial" w:eastAsia="Arial" w:hAnsi="Arial"/>
          <w:sz w:val="22"/>
          <w:szCs w:val="22"/>
        </w:rPr>
        <w:t xml:space="preserve">INDEXING: Composite index on (claim_date_key, claim_status) for trend queries</w:t>
      </w:r>
    </w:p>
    <w:p>
      <w:pPr>
        <w:pStyle w:val="ListParagraph"/>
        <w:numPr>
          <w:ilvl w:val="0"/>
          <w:numId w:val="2"/>
        </w:numPr>
        <w:spacing w:before="40" w:after="40"/>
      </w:pPr>
      <w:r>
        <w:rPr>
          <w:rFonts w:ascii="Arial" w:cs="Arial" w:eastAsia="Arial" w:hAnsi="Arial"/>
          <w:sz w:val="22"/>
          <w:szCs w:val="22"/>
        </w:rPr>
        <w:t xml:space="preserve">MATERIALIZED VIEW: mv_claim_summary pre-aggregates by year/quarter/policy/region</w:t>
      </w:r>
    </w:p>
    <w:p>
      <w:pPr>
        <w:pStyle w:val="ListParagraph"/>
        <w:numPr>
          <w:ilvl w:val="0"/>
          <w:numId w:val="2"/>
        </w:numPr>
        <w:spacing w:before="40" w:after="40"/>
      </w:pPr>
      <w:r>
        <w:rPr>
          <w:rFonts w:ascii="Arial" w:cs="Arial" w:eastAsia="Arial" w:hAnsi="Arial"/>
          <w:sz w:val="22"/>
          <w:szCs w:val="22"/>
        </w:rPr>
        <w:t xml:space="preserve">CLUSTERING KEY: Snowflake fact table clustered by (CLAIM_DATE_KEY, CLAIM_TYPE)</w:t>
      </w:r>
    </w:p>
    <w:p>
      <w:r>
        <w:br w:type="page"/>
      </w:r>
    </w:p>
    <w:p>
      <w:pPr>
        <w:pStyle w:val="Heading1"/>
        <w:spacing w:before="300" w:after="160"/>
      </w:pPr>
      <w:r>
        <w:rPr>
          <w:rFonts w:ascii="Arial" w:cs="Arial" w:eastAsia="Arial" w:hAnsi="Arial"/>
          <w:b/>
          <w:bCs/>
          <w:color w:val="1B4F72"/>
          <w:sz w:val="32"/>
          <w:szCs w:val="32"/>
        </w:rPr>
        <w:t xml:space="preserve">4. Python ETL/ELT Pipeline</w:t>
      </w:r>
    </w:p>
    <w:p>
      <w:pPr>
        <w:pStyle w:val="Heading2"/>
        <w:spacing w:before="220" w:after="120"/>
      </w:pPr>
      <w:r>
        <w:rPr>
          <w:rFonts w:ascii="Arial" w:cs="Arial" w:eastAsia="Arial" w:hAnsi="Arial"/>
          <w:b/>
          <w:bCs/>
          <w:color w:val="2E86AB"/>
          <w:sz w:val="26"/>
          <w:szCs w:val="26"/>
        </w:rPr>
        <w:t xml:space="preserve">4.1 Pipeline Architecture</w:t>
      </w:r>
    </w:p>
    <w:p>
      <w:pPr>
        <w:spacing w:before="60" w:after="60"/>
      </w:pPr>
      <w:r>
        <w:rPr>
          <w:rFonts w:ascii="Arial" w:cs="Arial" w:eastAsia="Arial" w:hAnsi="Arial"/>
          <w:sz w:val="22"/>
          <w:szCs w:val="22"/>
        </w:rPr>
        <w:t xml:space="preserve">The ETL pipeline follows a modular OOP design with four specialized classes communicating through a central orchestrator. Key design patterns: Decorator pattern for cross-cutting concerns (logging, retry, audit); Strategy pattern for data quality checks; Factory pattern for data source abstraction.</w:t>
      </w:r>
    </w:p>
    <w:p>
      <w:pPr>
        <w:spacing w:before="160" w:after="80"/>
      </w:pPr>
      <w:r>
        <w:rPr>
          <w:rFonts w:ascii="Arial" w:cs="Arial" w:eastAsia="Arial" w:hAnsi="Arial"/>
          <w:b/>
          <w:bCs/>
          <w:color w:val="27AE60"/>
          <w:sz w:val="22"/>
          <w:szCs w:val="22"/>
        </w:rPr>
        <w:t xml:space="preserve">Core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Class</w:t>
            </w:r>
          </w:p>
        </w:tc>
        <w:tc>
          <w:tcPr>
            <w:tcW w:type="dxa" w:w="716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Responsibility</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DataExtractor</w:t>
            </w:r>
          </w:p>
        </w:tc>
        <w:tc>
          <w:tcPr>
            <w:tcW w:type="dxa" w:w="7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Reads CSV/JSON from source with retry (3 attempts, 2s delay) and audit logging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DataTransformer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Derives age_band, income_band, credit_band; computes payout_ratio, risk_score; SCD Type 2 fields</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DataQualityChecker</w:t>
            </w:r>
          </w:p>
        </w:tc>
        <w:tc>
          <w:tcPr>
            <w:tcW w:type="dxa" w:w="7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Validates: null rate (&lt;5% threshold), duplicate keys, fraud_score range [0,1], negative amounts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DataLoader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Writes to target (CSV/PostgreSQL/Snowflake); supports batch load of multiple tables</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InsuranceETLPipeline</w:t>
            </w:r>
          </w:p>
        </w:tc>
        <w:tc>
          <w:tcPr>
            <w:tcW w:type="dxa" w:w="7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Orchestrates end-to-end flow; writes JSON run_log with stats and error details</w:t>
            </w:r>
          </w:p>
        </w:tc>
      </w:tr>
    </w:tbl>
    <w:p>
      <w:pPr>
        <w:pStyle w:val="Heading2"/>
        <w:spacing w:before="220" w:after="120"/>
      </w:pPr>
      <w:r>
        <w:rPr>
          <w:rFonts w:ascii="Arial" w:cs="Arial" w:eastAsia="Arial" w:hAnsi="Arial"/>
          <w:b/>
          <w:bCs/>
          <w:color w:val="2E86AB"/>
          <w:sz w:val="26"/>
          <w:szCs w:val="26"/>
        </w:rPr>
        <w:t xml:space="preserve">4.2 Key Python Features (Module 3)</w:t>
      </w:r>
    </w:p>
    <w:p>
      <w:pPr>
        <w:pStyle w:val="ListParagraph"/>
        <w:numPr>
          <w:ilvl w:val="0"/>
          <w:numId w:val="2"/>
        </w:numPr>
        <w:spacing w:before="40" w:after="40"/>
      </w:pPr>
      <w:r>
        <w:rPr>
          <w:rFonts w:ascii="Arial" w:cs="Arial" w:eastAsia="Arial" w:hAnsi="Arial"/>
          <w:sz w:val="22"/>
          <w:szCs w:val="22"/>
        </w:rPr>
        <w:t xml:space="preserve">Decorators: @timer, @retry, @audit_log applied to all ETL methods</w:t>
      </w:r>
    </w:p>
    <w:p>
      <w:pPr>
        <w:pStyle w:val="ListParagraph"/>
        <w:numPr>
          <w:ilvl w:val="0"/>
          <w:numId w:val="2"/>
        </w:numPr>
        <w:spacing w:before="40" w:after="40"/>
      </w:pPr>
      <w:r>
        <w:rPr>
          <w:rFonts w:ascii="Arial" w:cs="Arial" w:eastAsia="Arial" w:hAnsi="Arial"/>
          <w:sz w:val="22"/>
          <w:szCs w:val="22"/>
        </w:rPr>
        <w:t xml:space="preserve">Custom Exceptions: ETLException hierarchy (ExtractionError, TransformationError, ValidationError, LoadError)</w:t>
      </w:r>
    </w:p>
    <w:p>
      <w:pPr>
        <w:pStyle w:val="ListParagraph"/>
        <w:numPr>
          <w:ilvl w:val="0"/>
          <w:numId w:val="2"/>
        </w:numPr>
        <w:spacing w:before="40" w:after="40"/>
      </w:pPr>
      <w:r>
        <w:rPr>
          <w:rFonts w:ascii="Arial" w:cs="Arial" w:eastAsia="Arial" w:hAnsi="Arial"/>
          <w:sz w:val="22"/>
          <w:szCs w:val="22"/>
        </w:rPr>
        <w:t xml:space="preserve">Lambda functions: Used in DataQualityChecker for inline aggregation rules</w:t>
      </w:r>
    </w:p>
    <w:p>
      <w:pPr>
        <w:pStyle w:val="ListParagraph"/>
        <w:numPr>
          <w:ilvl w:val="0"/>
          <w:numId w:val="2"/>
        </w:numPr>
        <w:spacing w:before="40" w:after="40"/>
      </w:pPr>
      <w:r>
        <w:rPr>
          <w:rFonts w:ascii="Arial" w:cs="Arial" w:eastAsia="Arial" w:hAnsi="Arial"/>
          <w:sz w:val="22"/>
          <w:szCs w:val="22"/>
        </w:rPr>
        <w:t xml:space="preserve">Generators and list comprehensions: Data quality report generation</w:t>
      </w:r>
    </w:p>
    <w:p>
      <w:pPr>
        <w:pStyle w:val="ListParagraph"/>
        <w:numPr>
          <w:ilvl w:val="0"/>
          <w:numId w:val="2"/>
        </w:numPr>
        <w:spacing w:before="40" w:after="40"/>
      </w:pPr>
      <w:r>
        <w:rPr>
          <w:rFonts w:ascii="Arial" w:cs="Arial" w:eastAsia="Arial" w:hAnsi="Arial"/>
          <w:sz w:val="22"/>
          <w:szCs w:val="22"/>
        </w:rPr>
        <w:t xml:space="preserve">argparse CLI: --source-dir, --output-dir, --log-level flags</w:t>
      </w:r>
    </w:p>
    <w:p>
      <w:pPr>
        <w:pStyle w:val="ListParagraph"/>
        <w:numPr>
          <w:ilvl w:val="0"/>
          <w:numId w:val="2"/>
        </w:numPr>
        <w:spacing w:before="40" w:after="40"/>
      </w:pPr>
      <w:r>
        <w:rPr>
          <w:rFonts w:ascii="Arial" w:cs="Arial" w:eastAsia="Arial" w:hAnsi="Arial"/>
          <w:sz w:val="22"/>
          <w:szCs w:val="22"/>
        </w:rPr>
        <w:t xml:space="preserve">File handling: CSV/JSON/Parquet read/write with compression support</w:t>
      </w:r>
    </w:p>
    <w:p>
      <w:pPr>
        <w:pStyle w:val="ListParagraph"/>
        <w:numPr>
          <w:ilvl w:val="0"/>
          <w:numId w:val="2"/>
        </w:numPr>
        <w:spacing w:before="40" w:after="40"/>
      </w:pPr>
      <w:r>
        <w:rPr>
          <w:rFonts w:ascii="Arial" w:cs="Arial" w:eastAsia="Arial" w:hAnsi="Arial"/>
          <w:sz w:val="22"/>
          <w:szCs w:val="22"/>
        </w:rPr>
        <w:t xml:space="preserve">Pandas/NumPy: Vectorized transforms for age/income/credit banding</w:t>
      </w:r>
    </w:p>
    <w:p>
      <w:pPr>
        <w:spacing w:before="60" w:after="60"/>
      </w:pPr>
      <w:r>
        <w:rPr>
          <w:rFonts w:ascii="Arial" w:cs="Arial" w:eastAsia="Arial" w:hAnsi="Arial"/>
          <w:sz w:val="22"/>
          <w:szCs w:val="22"/>
        </w:rPr>
        <w:t xml:space="preserve">Pipeline runtime (3,000 claims, 1,500 policies, 1,000 customers): 0.2 seconds.</w:t>
      </w:r>
    </w:p>
    <w:p>
      <w:r>
        <w:br w:type="page"/>
      </w:r>
    </w:p>
    <w:p>
      <w:pPr>
        <w:pStyle w:val="Heading1"/>
        <w:spacing w:before="300" w:after="160"/>
      </w:pPr>
      <w:r>
        <w:rPr>
          <w:rFonts w:ascii="Arial" w:cs="Arial" w:eastAsia="Arial" w:hAnsi="Arial"/>
          <w:b/>
          <w:bCs/>
          <w:color w:val="1B4F72"/>
          <w:sz w:val="32"/>
          <w:szCs w:val="32"/>
        </w:rPr>
        <w:t xml:space="preserve">5. Apache Spark Processing</w:t>
      </w:r>
    </w:p>
    <w:p>
      <w:pPr>
        <w:pStyle w:val="Heading2"/>
        <w:spacing w:before="220" w:after="120"/>
      </w:pPr>
      <w:r>
        <w:rPr>
          <w:rFonts w:ascii="Arial" w:cs="Arial" w:eastAsia="Arial" w:hAnsi="Arial"/>
          <w:b/>
          <w:bCs/>
          <w:color w:val="2E86AB"/>
          <w:sz w:val="26"/>
          <w:szCs w:val="26"/>
        </w:rPr>
        <w:t xml:space="preserve">5.1 Spark Session Configuration</w:t>
      </w:r>
    </w:p>
    <w:p>
      <w:pPr>
        <w:spacing w:before="60" w:after="60"/>
      </w:pPr>
      <w:r>
        <w:rPr>
          <w:rFonts w:ascii="Arial" w:cs="Arial" w:eastAsia="Arial" w:hAnsi="Arial"/>
          <w:sz w:val="22"/>
          <w:szCs w:val="22"/>
        </w:rPr>
        <w:t xml:space="preserve">Spark is configured with Adaptive Query Execution (AQE), automatic partition coalescing, and tuned shuffle partitions (8 for local). The autoBroadcastJoinThreshold is set to 10MB to automatically broadcast small dimension tables (policy_types: 5 rows).</w:t>
      </w:r>
    </w:p>
    <w:p>
      <w:pPr>
        <w:pStyle w:val="Heading2"/>
        <w:spacing w:before="220" w:after="120"/>
      </w:pPr>
      <w:r>
        <w:rPr>
          <w:rFonts w:ascii="Arial" w:cs="Arial" w:eastAsia="Arial" w:hAnsi="Arial"/>
          <w:b/>
          <w:bCs/>
          <w:color w:val="2E86AB"/>
          <w:sz w:val="26"/>
          <w:szCs w:val="26"/>
        </w:rPr>
        <w:t xml:space="preserve">5.2 Batch Processing</w:t>
      </w:r>
    </w:p>
    <w:p>
      <w:pPr>
        <w:spacing w:before="160" w:after="80"/>
      </w:pPr>
      <w:r>
        <w:rPr>
          <w:rFonts w:ascii="Arial" w:cs="Arial" w:eastAsia="Arial" w:hAnsi="Arial"/>
          <w:b/>
          <w:bCs/>
          <w:color w:val="27AE60"/>
          <w:sz w:val="22"/>
          <w:szCs w:val="22"/>
        </w:rPr>
        <w:t xml:space="preserve">Fraud Analytics</w:t>
      </w:r>
    </w:p>
    <w:p>
      <w:pPr>
        <w:pStyle w:val="ListParagraph"/>
        <w:numPr>
          <w:ilvl w:val="0"/>
          <w:numId w:val="2"/>
        </w:numPr>
        <w:spacing w:before="40" w:after="40"/>
      </w:pPr>
      <w:r>
        <w:rPr>
          <w:rFonts w:ascii="Arial" w:cs="Arial" w:eastAsia="Arial" w:hAnsi="Arial"/>
          <w:sz w:val="22"/>
          <w:szCs w:val="22"/>
        </w:rPr>
        <w:t xml:space="preserve">Broadcast join: dim_policy_types broadcast to all executors for optimized claim joins</w:t>
      </w:r>
    </w:p>
    <w:p>
      <w:pPr>
        <w:pStyle w:val="ListParagraph"/>
        <w:numPr>
          <w:ilvl w:val="0"/>
          <w:numId w:val="2"/>
        </w:numPr>
        <w:spacing w:before="40" w:after="40"/>
      </w:pPr>
      <w:r>
        <w:rPr>
          <w:rFonts w:ascii="Arial" w:cs="Arial" w:eastAsia="Arial" w:hAnsi="Arial"/>
          <w:sz w:val="22"/>
          <w:szCs w:val="22"/>
        </w:rPr>
        <w:t xml:space="preserve">Window functions: Running fraud count per claim type, rolling 7-record fraud score average</w:t>
      </w:r>
    </w:p>
    <w:p>
      <w:pPr>
        <w:pStyle w:val="ListParagraph"/>
        <w:numPr>
          <w:ilvl w:val="0"/>
          <w:numId w:val="2"/>
        </w:numPr>
        <w:spacing w:before="40" w:after="40"/>
      </w:pPr>
      <w:r>
        <w:rPr>
          <w:rFonts w:ascii="Arial" w:cs="Arial" w:eastAsia="Arial" w:hAnsi="Arial"/>
          <w:sz w:val="22"/>
          <w:szCs w:val="22"/>
        </w:rPr>
        <w:t xml:space="preserve">Spark SQL: Multi-join query computing fraud rate, avg processing days, payout ratios by claim type</w:t>
      </w:r>
    </w:p>
    <w:p>
      <w:pPr>
        <w:pStyle w:val="ListParagraph"/>
        <w:numPr>
          <w:ilvl w:val="0"/>
          <w:numId w:val="2"/>
        </w:numPr>
        <w:spacing w:before="40" w:after="40"/>
      </w:pPr>
      <w:r>
        <w:rPr>
          <w:rFonts w:ascii="Arial" w:cs="Arial" w:eastAsia="Arial" w:hAnsi="Arial"/>
          <w:sz w:val="22"/>
          <w:szCs w:val="22"/>
        </w:rPr>
        <w:t xml:space="preserve">EXPLAIN: Physical plan shows BroadcastHashJoin (not SortMergeJoin) confirming optimization</w:t>
      </w:r>
    </w:p>
    <w:p>
      <w:pPr>
        <w:spacing w:before="160" w:after="80"/>
      </w:pPr>
      <w:r>
        <w:rPr>
          <w:rFonts w:ascii="Arial" w:cs="Arial" w:eastAsia="Arial" w:hAnsi="Arial"/>
          <w:b/>
          <w:bCs/>
          <w:color w:val="27AE60"/>
          <w:sz w:val="22"/>
          <w:szCs w:val="22"/>
        </w:rPr>
        <w:t xml:space="preserve">RDD Operations</w:t>
      </w:r>
    </w:p>
    <w:p>
      <w:pPr>
        <w:pStyle w:val="ListParagraph"/>
        <w:numPr>
          <w:ilvl w:val="0"/>
          <w:numId w:val="2"/>
        </w:numPr>
        <w:spacing w:before="40" w:after="40"/>
      </w:pPr>
      <w:r>
        <w:rPr>
          <w:rFonts w:ascii="Arial" w:cs="Arial" w:eastAsia="Arial" w:hAnsi="Arial"/>
          <w:sz w:val="22"/>
          <w:szCs w:val="22"/>
        </w:rPr>
        <w:t xml:space="preserve">RDD.map(): Composite risk scoring (fraud_score×0.5 + amount_ratio×0.3 + days_ratio×0.2)</w:t>
      </w:r>
    </w:p>
    <w:p>
      <w:pPr>
        <w:pStyle w:val="ListParagraph"/>
        <w:numPr>
          <w:ilvl w:val="0"/>
          <w:numId w:val="2"/>
        </w:numPr>
        <w:spacing w:before="40" w:after="40"/>
      </w:pPr>
      <w:r>
        <w:rPr>
          <w:rFonts w:ascii="Arial" w:cs="Arial" w:eastAsia="Arial" w:hAnsi="Arial"/>
          <w:sz w:val="22"/>
          <w:szCs w:val="22"/>
        </w:rPr>
        <w:t xml:space="preserve">Accumulator: CRITICAL risk claim counter incremented during map phase</w:t>
      </w:r>
    </w:p>
    <w:p>
      <w:pPr>
        <w:pStyle w:val="ListParagraph"/>
        <w:numPr>
          <w:ilvl w:val="0"/>
          <w:numId w:val="2"/>
        </w:numPr>
        <w:spacing w:before="40" w:after="40"/>
      </w:pPr>
      <w:r>
        <w:rPr>
          <w:rFonts w:ascii="Arial" w:cs="Arial" w:eastAsia="Arial" w:hAnsi="Arial"/>
          <w:sz w:val="22"/>
          <w:szCs w:val="22"/>
        </w:rPr>
        <w:t xml:space="preserve">Broadcast variable: claim_type description lookup dictionary shared across executors</w:t>
      </w:r>
    </w:p>
    <w:p>
      <w:pPr>
        <w:pStyle w:val="ListParagraph"/>
        <w:numPr>
          <w:ilvl w:val="0"/>
          <w:numId w:val="2"/>
        </w:numPr>
        <w:spacing w:before="40" w:after="40"/>
      </w:pPr>
      <w:r>
        <w:rPr>
          <w:rFonts w:ascii="Arial" w:cs="Arial" w:eastAsia="Arial" w:hAnsi="Arial"/>
          <w:sz w:val="22"/>
          <w:szCs w:val="22"/>
        </w:rPr>
        <w:t xml:space="preserve">reduceByKey(): Risk label distribution aggregation</w:t>
      </w:r>
    </w:p>
    <w:p>
      <w:pPr>
        <w:pStyle w:val="ListParagraph"/>
        <w:numPr>
          <w:ilvl w:val="0"/>
          <w:numId w:val="2"/>
        </w:numPr>
        <w:spacing w:before="40" w:after="40"/>
      </w:pPr>
      <w:r>
        <w:rPr>
          <w:rFonts w:ascii="Arial" w:cs="Arial" w:eastAsia="Arial" w:hAnsi="Arial"/>
          <w:sz w:val="22"/>
          <w:szCs w:val="22"/>
        </w:rPr>
        <w:t xml:space="preserve">cache() / unpersist(): RDD persistence lifecycle management</w:t>
      </w:r>
    </w:p>
    <w:p>
      <w:pPr>
        <w:pStyle w:val="Heading2"/>
        <w:spacing w:before="220" w:after="120"/>
      </w:pPr>
      <w:r>
        <w:rPr>
          <w:rFonts w:ascii="Arial" w:cs="Arial" w:eastAsia="Arial" w:hAnsi="Arial"/>
          <w:b/>
          <w:bCs/>
          <w:color w:val="2E86AB"/>
          <w:sz w:val="26"/>
          <w:szCs w:val="26"/>
        </w:rPr>
        <w:t xml:space="preserve">5.3 Structured Streaming</w:t>
      </w:r>
    </w:p>
    <w:p>
      <w:pPr>
        <w:pStyle w:val="ListParagraph"/>
        <w:numPr>
          <w:ilvl w:val="0"/>
          <w:numId w:val="2"/>
        </w:numPr>
        <w:spacing w:before="40" w:after="40"/>
      </w:pPr>
      <w:r>
        <w:rPr>
          <w:rFonts w:ascii="Arial" w:cs="Arial" w:eastAsia="Arial" w:hAnsi="Arial"/>
          <w:sz w:val="22"/>
          <w:szCs w:val="22"/>
        </w:rPr>
        <w:t xml:space="preserve">Source: File stream (CSV directory) simulating Kafka consumer output</w:t>
      </w:r>
    </w:p>
    <w:p>
      <w:pPr>
        <w:pStyle w:val="ListParagraph"/>
        <w:numPr>
          <w:ilvl w:val="0"/>
          <w:numId w:val="2"/>
        </w:numPr>
        <w:spacing w:before="40" w:after="40"/>
      </w:pPr>
      <w:r>
        <w:rPr>
          <w:rFonts w:ascii="Arial" w:cs="Arial" w:eastAsia="Arial" w:hAnsi="Arial"/>
          <w:sz w:val="22"/>
          <w:szCs w:val="22"/>
        </w:rPr>
        <w:t xml:space="preserve">Watermark: 10-minute late data tolerance on claim_date</w:t>
      </w:r>
    </w:p>
    <w:p>
      <w:pPr>
        <w:pStyle w:val="ListParagraph"/>
        <w:numPr>
          <w:ilvl w:val="0"/>
          <w:numId w:val="2"/>
        </w:numPr>
        <w:spacing w:before="40" w:after="40"/>
      </w:pPr>
      <w:r>
        <w:rPr>
          <w:rFonts w:ascii="Arial" w:cs="Arial" w:eastAsia="Arial" w:hAnsi="Arial"/>
          <w:sz w:val="22"/>
          <w:szCs w:val="22"/>
        </w:rPr>
        <w:t xml:space="preserve">Fraud alert stream: Filters fraud_flag=TRUE, assigns alert_level (CRITICAL/HIGH/NORMAL)</w:t>
      </w:r>
    </w:p>
    <w:p>
      <w:pPr>
        <w:pStyle w:val="ListParagraph"/>
        <w:numPr>
          <w:ilvl w:val="0"/>
          <w:numId w:val="2"/>
        </w:numPr>
        <w:spacing w:before="40" w:after="40"/>
      </w:pPr>
      <w:r>
        <w:rPr>
          <w:rFonts w:ascii="Arial" w:cs="Arial" w:eastAsia="Arial" w:hAnsi="Arial"/>
          <w:sz w:val="22"/>
          <w:szCs w:val="22"/>
        </w:rPr>
        <w:t xml:space="preserve">Aggregation stream: Real-time claim_count, fraud_count, avg_fraud_score by claim type</w:t>
      </w:r>
    </w:p>
    <w:p>
      <w:pPr>
        <w:pStyle w:val="ListParagraph"/>
        <w:numPr>
          <w:ilvl w:val="0"/>
          <w:numId w:val="2"/>
        </w:numPr>
        <w:spacing w:before="40" w:after="40"/>
      </w:pPr>
      <w:r>
        <w:rPr>
          <w:rFonts w:ascii="Arial" w:cs="Arial" w:eastAsia="Arial" w:hAnsi="Arial"/>
          <w:sz w:val="22"/>
          <w:szCs w:val="22"/>
        </w:rPr>
        <w:t xml:space="preserve">Trigger: once=True for demo; production uses processingTime='30 seconds'</w:t>
      </w:r>
    </w:p>
    <w:p>
      <w:pPr>
        <w:pStyle w:val="ListParagraph"/>
        <w:numPr>
          <w:ilvl w:val="0"/>
          <w:numId w:val="2"/>
        </w:numPr>
        <w:spacing w:before="40" w:after="40"/>
      </w:pPr>
      <w:r>
        <w:rPr>
          <w:rFonts w:ascii="Arial" w:cs="Arial" w:eastAsia="Arial" w:hAnsi="Arial"/>
          <w:sz w:val="22"/>
          <w:szCs w:val="22"/>
        </w:rPr>
        <w:t xml:space="preserve">Checkpoint: Stateful exactly-once processing with checkpoint directory</w:t>
      </w:r>
    </w:p>
    <w:p>
      <w:r>
        <w:br w:type="page"/>
      </w:r>
    </w:p>
    <w:p>
      <w:pPr>
        <w:pStyle w:val="Heading1"/>
        <w:spacing w:before="300" w:after="160"/>
      </w:pPr>
      <w:r>
        <w:rPr>
          <w:rFonts w:ascii="Arial" w:cs="Arial" w:eastAsia="Arial" w:hAnsi="Arial"/>
          <w:b/>
          <w:bCs/>
          <w:color w:val="1B4F72"/>
          <w:sz w:val="32"/>
          <w:szCs w:val="32"/>
        </w:rPr>
        <w:t xml:space="preserve">6. Snowflake Advanced Features</w:t>
      </w:r>
    </w:p>
    <w:p>
      <w:pPr>
        <w:pStyle w:val="Heading2"/>
        <w:spacing w:before="220" w:after="120"/>
      </w:pPr>
      <w:r>
        <w:rPr>
          <w:rFonts w:ascii="Arial" w:cs="Arial" w:eastAsia="Arial" w:hAnsi="Arial"/>
          <w:b/>
          <w:bCs/>
          <w:color w:val="2E86AB"/>
          <w:sz w:val="26"/>
          <w:szCs w:val="26"/>
        </w:rPr>
        <w:t xml:space="preserve">6.1 Architecture</w:t>
      </w:r>
    </w:p>
    <w:p>
      <w:pPr>
        <w:spacing w:before="60" w:after="60"/>
      </w:pPr>
      <w:r>
        <w:rPr>
          <w:rFonts w:ascii="Arial" w:cs="Arial" w:eastAsia="Arial" w:hAnsi="Arial"/>
          <w:sz w:val="22"/>
          <w:szCs w:val="22"/>
        </w:rPr>
        <w:t xml:space="preserve">Two separate virtual warehouses separate ETL (ETL_WH: SMALL, 120s auto-suspend) from BI queries (ANALYTICS_WH: X-SMALL, 60s auto-suspend, initially suspended) for independent scaling and cost isolation.</w:t>
      </w:r>
    </w:p>
    <w:p>
      <w:pPr>
        <w:pStyle w:val="Heading2"/>
        <w:spacing w:before="220" w:after="120"/>
      </w:pPr>
      <w:r>
        <w:rPr>
          <w:rFonts w:ascii="Arial" w:cs="Arial" w:eastAsia="Arial" w:hAnsi="Arial"/>
          <w:b/>
          <w:bCs/>
          <w:color w:val="2E86AB"/>
          <w:sz w:val="26"/>
          <w:szCs w:val="26"/>
        </w:rPr>
        <w:t xml:space="preserve">6.2 Advanced Table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676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Implementation</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Clustering Keys</w:t>
            </w:r>
          </w:p>
        </w:tc>
        <w:tc>
          <w:tcPr>
            <w:tcW w:type="dxa" w:w="6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FACT_CLAIMS clustered by (CLAIM_DATE_KEY, CLAIM_TYPE) with auto re-clustering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 Travel</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AT(OFFSET =&gt; -3600) for 1-hour lookback; BEFORE(STATEMENT=&gt;...) for recovery</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Zero-Copy Clone</w:t>
            </w:r>
          </w:p>
        </w:tc>
        <w:tc>
          <w:tcPr>
            <w:tcW w:type="dxa" w:w="6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FACT_CLAIMS_DEV cloned from FACT_CLAIMS instantly for dev/test isolation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Materialized View</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MV_FRAUD_SUMMARY: pre-aggregated by year/quarter/policy/region, auto-refreshed</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VARIANT Columns</w:t>
            </w:r>
          </w:p>
        </w:tc>
        <w:tc>
          <w:tcPr>
            <w:tcW w:type="dxa" w:w="6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RAW_JSON stores semi-structured claim data; queried with dot notation + FLATTEN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Transient Tables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Staging tables as TRANSIENT (no Fail-Safe cost overhead)</w:t>
            </w:r>
          </w:p>
        </w:tc>
      </w:tr>
    </w:tbl>
    <w:p>
      <w:pPr>
        <w:pStyle w:val="Heading2"/>
        <w:spacing w:before="220" w:after="120"/>
      </w:pPr>
      <w:r>
        <w:rPr>
          <w:rFonts w:ascii="Arial" w:cs="Arial" w:eastAsia="Arial" w:hAnsi="Arial"/>
          <w:b/>
          <w:bCs/>
          <w:color w:val="2E86AB"/>
          <w:sz w:val="26"/>
          <w:szCs w:val="26"/>
        </w:rPr>
        <w:t xml:space="preserve">6.3 Semi-Structured Data (VARIANT)</w:t>
      </w:r>
    </w:p>
    <w:p>
      <w:pPr>
        <w:spacing w:before="60" w:after="60"/>
      </w:pPr>
      <w:r>
        <w:rPr>
          <w:rFonts w:ascii="Arial" w:cs="Arial" w:eastAsia="Arial" w:hAnsi="Arial"/>
          <w:sz w:val="22"/>
          <w:szCs w:val="22"/>
        </w:rPr>
        <w:t xml:space="preserve">Claims metadata is stored as VARIANT JSON including nested fraud_indicators array. Queries use LATERAL FLATTEN to unnest the flags array, and dot-notation paths like RAW_JSON:metadata:fraud_indicators:fraud_score::FLOAT for type-safe extraction.</w:t>
      </w:r>
    </w:p>
    <w:p>
      <w:pPr>
        <w:pStyle w:val="Heading2"/>
        <w:spacing w:before="220" w:after="120"/>
      </w:pPr>
      <w:r>
        <w:rPr>
          <w:rFonts w:ascii="Arial" w:cs="Arial" w:eastAsia="Arial" w:hAnsi="Arial"/>
          <w:b/>
          <w:bCs/>
          <w:color w:val="2E86AB"/>
          <w:sz w:val="26"/>
          <w:szCs w:val="26"/>
        </w:rPr>
        <w:t xml:space="preserve">6.4 Data Loading</w:t>
      </w:r>
    </w:p>
    <w:p>
      <w:pPr>
        <w:pStyle w:val="ListParagraph"/>
        <w:numPr>
          <w:ilvl w:val="0"/>
          <w:numId w:val="2"/>
        </w:numPr>
        <w:spacing w:before="40" w:after="40"/>
      </w:pPr>
      <w:r>
        <w:rPr>
          <w:rFonts w:ascii="Arial" w:cs="Arial" w:eastAsia="Arial" w:hAnsi="Arial"/>
          <w:sz w:val="22"/>
          <w:szCs w:val="22"/>
        </w:rPr>
        <w:t xml:space="preserve">COPY INTO: Bulk load with FILE_FORMAT (CSV, header skip, null handling)</w:t>
      </w:r>
    </w:p>
    <w:p>
      <w:pPr>
        <w:pStyle w:val="ListParagraph"/>
        <w:numPr>
          <w:ilvl w:val="0"/>
          <w:numId w:val="2"/>
        </w:numPr>
        <w:spacing w:before="40" w:after="40"/>
      </w:pPr>
      <w:r>
        <w:rPr>
          <w:rFonts w:ascii="Arial" w:cs="Arial" w:eastAsia="Arial" w:hAnsi="Arial"/>
          <w:sz w:val="22"/>
          <w:szCs w:val="22"/>
        </w:rPr>
        <w:t xml:space="preserve">Snowpipe: AUTO_INGEST=TRUE for event-driven micro-batch ingestion from cloud storage</w:t>
      </w:r>
    </w:p>
    <w:p>
      <w:pPr>
        <w:pStyle w:val="ListParagraph"/>
        <w:numPr>
          <w:ilvl w:val="0"/>
          <w:numId w:val="2"/>
        </w:numPr>
        <w:spacing w:before="40" w:after="40"/>
      </w:pPr>
      <w:r>
        <w:rPr>
          <w:rFonts w:ascii="Arial" w:cs="Arial" w:eastAsia="Arial" w:hAnsi="Arial"/>
          <w:sz w:val="22"/>
          <w:szCs w:val="22"/>
        </w:rPr>
        <w:t xml:space="preserve">COPY INTO @STAGE: Unload fraud claims as Parquet to external stage</w:t>
      </w:r>
    </w:p>
    <w:p>
      <w:pPr>
        <w:pStyle w:val="ListParagraph"/>
        <w:numPr>
          <w:ilvl w:val="0"/>
          <w:numId w:val="2"/>
        </w:numPr>
        <w:spacing w:before="40" w:after="40"/>
      </w:pPr>
      <w:r>
        <w:rPr>
          <w:rFonts w:ascii="Arial" w:cs="Arial" w:eastAsia="Arial" w:hAnsi="Arial"/>
          <w:sz w:val="22"/>
          <w:szCs w:val="22"/>
        </w:rPr>
        <w:t xml:space="preserve">SYSTEM$PIPE_STATUS(): Real-time Snowpipe monitoring</w:t>
      </w:r>
    </w:p>
    <w:p>
      <w:r>
        <w:br w:type="page"/>
      </w:r>
    </w:p>
    <w:p>
      <w:pPr>
        <w:pStyle w:val="Heading1"/>
        <w:spacing w:before="300" w:after="160"/>
      </w:pPr>
      <w:r>
        <w:rPr>
          <w:rFonts w:ascii="Arial" w:cs="Arial" w:eastAsia="Arial" w:hAnsi="Arial"/>
          <w:b/>
          <w:bCs/>
          <w:color w:val="1B4F72"/>
          <w:sz w:val="32"/>
          <w:szCs w:val="32"/>
        </w:rPr>
        <w:t xml:space="preserve">7. Security &amp; Governance</w:t>
      </w:r>
    </w:p>
    <w:p>
      <w:pPr>
        <w:pStyle w:val="Heading2"/>
        <w:spacing w:before="220" w:after="120"/>
      </w:pPr>
      <w:r>
        <w:rPr>
          <w:rFonts w:ascii="Arial" w:cs="Arial" w:eastAsia="Arial" w:hAnsi="Arial"/>
          <w:b/>
          <w:bCs/>
          <w:color w:val="2E86AB"/>
          <w:sz w:val="26"/>
          <w:szCs w:val="26"/>
        </w:rPr>
        <w:t xml:space="preserve">7.1 Role-Based Access Control (RBAC)</w:t>
      </w:r>
    </w:p>
    <w:p>
      <w:pPr>
        <w:spacing w:before="60" w:after="60"/>
      </w:pPr>
      <w:r>
        <w:rPr>
          <w:rFonts w:ascii="Arial" w:cs="Arial" w:eastAsia="Arial" w:hAnsi="Arial"/>
          <w:sz w:val="22"/>
          <w:szCs w:val="22"/>
        </w:rPr>
        <w:t xml:space="preserve">A 4-tier role hierarchy implements principle of least privilege: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c>
          <w:tcPr>
            <w:tcW w:type="dxa" w:w="30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Warehouse Access</w:t>
            </w:r>
          </w:p>
        </w:tc>
        <w:tc>
          <w:tcPr>
            <w:tcW w:type="dxa" w:w="396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 Access</w:t>
            </w:r>
          </w:p>
        </w:tc>
      </w:tr>
      <w:tr>
        <w:tc>
          <w:tcPr>
            <w:tcW w:type="dxa" w:w="2400"/>
            <w:tcBorders>
              <w:top w:val="single" w:color="CCCCCC" w:sz="1"/>
              <w:left w:val="single" w:color="CCCCCC" w:sz="1"/>
              <w:bottom w:val="single" w:color="CCCCCC" w:sz="1"/>
              <w:right w:val="single" w:color="CCCCCC" w:sz="1"/>
            </w:tcBorders>
            <w:shd w:fill="FDF2F8" w:val="clear"/>
            <w:tcMar>
              <w:top w:type="dxa" w:w="80"/>
              <w:left w:type="dxa" w:w="120"/>
              <w:bottom w:type="dxa" w:w="80"/>
              <w:right w:type="dxa" w:w="120"/>
            </w:tcMar>
          </w:tcPr>
          <w:p>
            <w:r>
              <w:rPr>
                <w:rFonts w:ascii="Arial" w:cs="Arial" w:eastAsia="Arial" w:hAnsi="Arial"/>
                <w:sz w:val="20"/>
                <w:szCs w:val="20"/>
              </w:rPr>
              <w:t xml:space="preserve">ANALYST_ROLE</w:t>
            </w:r>
          </w:p>
        </w:tc>
        <w:tc>
          <w:tcPr>
            <w:tcW w:type="dxa" w:w="3000"/>
            <w:tcBorders>
              <w:top w:val="single" w:color="CCCCCC" w:sz="1"/>
              <w:left w:val="single" w:color="CCCCCC" w:sz="1"/>
              <w:bottom w:val="single" w:color="CCCCCC" w:sz="1"/>
              <w:right w:val="single" w:color="CCCCCC" w:sz="1"/>
            </w:tcBorders>
            <w:shd w:fill="FDF2F8" w:val="clear"/>
            <w:tcMar>
              <w:top w:type="dxa" w:w="80"/>
              <w:left w:type="dxa" w:w="120"/>
              <w:bottom w:type="dxa" w:w="80"/>
              <w:right w:type="dxa" w:w="120"/>
            </w:tcMar>
          </w:tcPr>
          <w:p>
            <w:r>
              <w:rPr>
                <w:rFonts w:ascii="Arial" w:cs="Arial" w:eastAsia="Arial" w:hAnsi="Arial"/>
                <w:sz w:val="20"/>
                <w:szCs w:val="20"/>
              </w:rPr>
              <w:t xml:space="preserve">ANALYTICS_WH (X-SMALL)</w:t>
            </w:r>
          </w:p>
        </w:tc>
        <w:tc>
          <w:tcPr>
            <w:tcW w:type="dxa" w:w="3960"/>
            <w:tcBorders>
              <w:top w:val="single" w:color="CCCCCC" w:sz="1"/>
              <w:left w:val="single" w:color="CCCCCC" w:sz="1"/>
              <w:bottom w:val="single" w:color="CCCCCC" w:sz="1"/>
              <w:right w:val="single" w:color="CCCCCC" w:sz="1"/>
            </w:tcBorders>
            <w:shd w:fill="FDF2F8" w:val="clear"/>
            <w:tcMar>
              <w:top w:type="dxa" w:w="80"/>
              <w:left w:type="dxa" w:w="120"/>
              <w:bottom w:type="dxa" w:w="80"/>
              <w:right w:type="dxa" w:w="120"/>
            </w:tcMar>
          </w:tcPr>
          <w:p>
            <w:r>
              <w:rPr>
                <w:rFonts w:ascii="Arial" w:cs="Arial" w:eastAsia="Arial" w:hAnsi="Arial"/>
                <w:sz w:val="20"/>
                <w:szCs w:val="20"/>
              </w:rPr>
              <w:t xml:space="preserve">SELECT on DWH schema; masked income/credit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DATA_STEWARD_ROLE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ANALYTICS_WH</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 + unmasked credit_score; all regions</w:t>
            </w:r>
          </w:p>
        </w:tc>
      </w:tr>
      <w:tr>
        <w:tc>
          <w:tcPr>
            <w:tcW w:type="dxa" w:w="2400"/>
            <w:tcBorders>
              <w:top w:val="single" w:color="CCCCCC" w:sz="1"/>
              <w:left w:val="single" w:color="CCCCCC" w:sz="1"/>
              <w:bottom w:val="single" w:color="CCCCCC" w:sz="1"/>
              <w:right w:val="single" w:color="CCCCCC" w:sz="1"/>
            </w:tcBorders>
            <w:shd w:fill="FDF2F8" w:val="clear"/>
            <w:tcMar>
              <w:top w:type="dxa" w:w="80"/>
              <w:left w:type="dxa" w:w="120"/>
              <w:bottom w:type="dxa" w:w="80"/>
              <w:right w:type="dxa" w:w="120"/>
            </w:tcMar>
          </w:tcPr>
          <w:p>
            <w:r>
              <w:rPr>
                <w:rFonts w:ascii="Arial" w:cs="Arial" w:eastAsia="Arial" w:hAnsi="Arial"/>
                <w:sz w:val="20"/>
                <w:szCs w:val="20"/>
              </w:rPr>
              <w:t xml:space="preserve">CLAIMS_MANAGER_ROLE</w:t>
            </w:r>
          </w:p>
        </w:tc>
        <w:tc>
          <w:tcPr>
            <w:tcW w:type="dxa" w:w="3000"/>
            <w:tcBorders>
              <w:top w:val="single" w:color="CCCCCC" w:sz="1"/>
              <w:left w:val="single" w:color="CCCCCC" w:sz="1"/>
              <w:bottom w:val="single" w:color="CCCCCC" w:sz="1"/>
              <w:right w:val="single" w:color="CCCCCC" w:sz="1"/>
            </w:tcBorders>
            <w:shd w:fill="FDF2F8" w:val="clear"/>
            <w:tcMar>
              <w:top w:type="dxa" w:w="80"/>
              <w:left w:type="dxa" w:w="120"/>
              <w:bottom w:type="dxa" w:w="80"/>
              <w:right w:type="dxa" w:w="120"/>
            </w:tcMar>
          </w:tcPr>
          <w:p>
            <w:r>
              <w:rPr>
                <w:rFonts w:ascii="Arial" w:cs="Arial" w:eastAsia="Arial" w:hAnsi="Arial"/>
                <w:sz w:val="20"/>
                <w:szCs w:val="20"/>
              </w:rPr>
              <w:t xml:space="preserve">ETL_WH + ANALYTICS_WH</w:t>
            </w:r>
          </w:p>
        </w:tc>
        <w:tc>
          <w:tcPr>
            <w:tcW w:type="dxa" w:w="3960"/>
            <w:tcBorders>
              <w:top w:val="single" w:color="CCCCCC" w:sz="1"/>
              <w:left w:val="single" w:color="CCCCCC" w:sz="1"/>
              <w:bottom w:val="single" w:color="CCCCCC" w:sz="1"/>
              <w:right w:val="single" w:color="CCCCCC" w:sz="1"/>
            </w:tcBorders>
            <w:shd w:fill="FDF2F8" w:val="clear"/>
            <w:tcMar>
              <w:top w:type="dxa" w:w="80"/>
              <w:left w:type="dxa" w:w="120"/>
              <w:bottom w:type="dxa" w:w="80"/>
              <w:right w:type="dxa" w:w="120"/>
            </w:tcMar>
          </w:tcPr>
          <w:p>
            <w:r>
              <w:rPr>
                <w:rFonts w:ascii="Arial" w:cs="Arial" w:eastAsia="Arial" w:hAnsi="Arial"/>
                <w:sz w:val="20"/>
                <w:szCs w:val="20"/>
              </w:rPr>
              <w:t xml:space="preserve">Full DWH access; unmasked all PII</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SYSADMIN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warehouses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admin; unmasked; DDL rights</w:t>
            </w:r>
          </w:p>
        </w:tc>
      </w:tr>
    </w:tbl>
    <w:p>
      <w:pPr>
        <w:pStyle w:val="Heading2"/>
        <w:spacing w:before="220" w:after="120"/>
      </w:pPr>
      <w:r>
        <w:rPr>
          <w:rFonts w:ascii="Arial" w:cs="Arial" w:eastAsia="Arial" w:hAnsi="Arial"/>
          <w:b/>
          <w:bCs/>
          <w:color w:val="2E86AB"/>
          <w:sz w:val="26"/>
          <w:szCs w:val="26"/>
        </w:rPr>
        <w:t xml:space="preserve">7.2 Data Masking Policies</w:t>
      </w:r>
    </w:p>
    <w:p>
      <w:pPr>
        <w:pStyle w:val="ListParagraph"/>
        <w:numPr>
          <w:ilvl w:val="0"/>
          <w:numId w:val="2"/>
        </w:numPr>
        <w:spacing w:before="40" w:after="40"/>
      </w:pPr>
      <w:r>
        <w:rPr>
          <w:rFonts w:ascii="Arial" w:cs="Arial" w:eastAsia="Arial" w:hAnsi="Arial"/>
          <w:sz w:val="22"/>
          <w:szCs w:val="22"/>
        </w:rPr>
        <w:t xml:space="preserve">INCOME_MASK: Returns actual value for CLAIMS_MANAGER_ROLE+, else -1 sentinel</w:t>
      </w:r>
    </w:p>
    <w:p>
      <w:pPr>
        <w:pStyle w:val="ListParagraph"/>
        <w:numPr>
          <w:ilvl w:val="0"/>
          <w:numId w:val="2"/>
        </w:numPr>
        <w:spacing w:before="40" w:after="40"/>
      </w:pPr>
      <w:r>
        <w:rPr>
          <w:rFonts w:ascii="Arial" w:cs="Arial" w:eastAsia="Arial" w:hAnsi="Arial"/>
          <w:sz w:val="22"/>
          <w:szCs w:val="22"/>
        </w:rPr>
        <w:t xml:space="preserve">CREDIT_SCORE_MASK: Returns actual value for DATA_STEWARD_ROLE+, else 0</w:t>
      </w:r>
    </w:p>
    <w:p>
      <w:pPr>
        <w:pStyle w:val="ListParagraph"/>
        <w:numPr>
          <w:ilvl w:val="0"/>
          <w:numId w:val="2"/>
        </w:numPr>
        <w:spacing w:before="40" w:after="40"/>
      </w:pPr>
      <w:r>
        <w:rPr>
          <w:rFonts w:ascii="Arial" w:cs="Arial" w:eastAsia="Arial" w:hAnsi="Arial"/>
          <w:sz w:val="22"/>
          <w:szCs w:val="22"/>
        </w:rPr>
        <w:t xml:space="preserve">Policies applied at column level: ALTER TABLE ... MODIFY COLUMN ... SET MASKING POLICY</w:t>
      </w:r>
    </w:p>
    <w:p>
      <w:pPr>
        <w:pStyle w:val="Heading2"/>
        <w:spacing w:before="220" w:after="120"/>
      </w:pPr>
      <w:r>
        <w:rPr>
          <w:rFonts w:ascii="Arial" w:cs="Arial" w:eastAsia="Arial" w:hAnsi="Arial"/>
          <w:b/>
          <w:bCs/>
          <w:color w:val="2E86AB"/>
          <w:sz w:val="26"/>
          <w:szCs w:val="26"/>
        </w:rPr>
        <w:t xml:space="preserve">7.3 Row-Level Security</w:t>
      </w:r>
    </w:p>
    <w:p>
      <w:pPr>
        <w:pStyle w:val="ListParagraph"/>
        <w:numPr>
          <w:ilvl w:val="0"/>
          <w:numId w:val="2"/>
        </w:numPr>
        <w:spacing w:before="40" w:after="40"/>
      </w:pPr>
      <w:r>
        <w:rPr>
          <w:rFonts w:ascii="Arial" w:cs="Arial" w:eastAsia="Arial" w:hAnsi="Arial"/>
          <w:sz w:val="22"/>
          <w:szCs w:val="22"/>
        </w:rPr>
        <w:t xml:space="preserve">REGION_POLICY: Analysts see only rows matching their region (CURRENT_USER() = REGION)</w:t>
      </w:r>
    </w:p>
    <w:p>
      <w:pPr>
        <w:pStyle w:val="ListParagraph"/>
        <w:numPr>
          <w:ilvl w:val="0"/>
          <w:numId w:val="2"/>
        </w:numPr>
        <w:spacing w:before="40" w:after="40"/>
      </w:pPr>
      <w:r>
        <w:rPr>
          <w:rFonts w:ascii="Arial" w:cs="Arial" w:eastAsia="Arial" w:hAnsi="Arial"/>
          <w:sz w:val="22"/>
          <w:szCs w:val="22"/>
        </w:rPr>
        <w:t xml:space="preserve">Managers and stewards bypass RLS via role check in ROW ACCESS POLICY expression</w:t>
      </w:r>
    </w:p>
    <w:p>
      <w:pPr>
        <w:pStyle w:val="ListParagraph"/>
        <w:numPr>
          <w:ilvl w:val="0"/>
          <w:numId w:val="2"/>
        </w:numPr>
        <w:spacing w:before="40" w:after="40"/>
      </w:pPr>
      <w:r>
        <w:rPr>
          <w:rFonts w:ascii="Arial" w:cs="Arial" w:eastAsia="Arial" w:hAnsi="Arial"/>
          <w:sz w:val="22"/>
          <w:szCs w:val="22"/>
        </w:rPr>
        <w:t xml:space="preserve">Applied to DIM_AGENTS table: ALTER TABLE ... ADD ROW ACCESS POLICY ... ON (REGION)</w:t>
      </w:r>
    </w:p>
    <w:p>
      <w:pPr>
        <w:pStyle w:val="Heading2"/>
        <w:spacing w:before="220" w:after="120"/>
      </w:pPr>
      <w:r>
        <w:rPr>
          <w:rFonts w:ascii="Arial" w:cs="Arial" w:eastAsia="Arial" w:hAnsi="Arial"/>
          <w:b/>
          <w:bCs/>
          <w:color w:val="2E86AB"/>
          <w:sz w:val="26"/>
          <w:szCs w:val="26"/>
        </w:rPr>
        <w:t xml:space="preserve">7.4 Data Dictionary &amp; PII Tagging</w:t>
      </w:r>
    </w:p>
    <w:p>
      <w:pPr>
        <w:pStyle w:val="ListParagraph"/>
        <w:numPr>
          <w:ilvl w:val="0"/>
          <w:numId w:val="2"/>
        </w:numPr>
        <w:spacing w:before="40" w:after="40"/>
      </w:pPr>
      <w:r>
        <w:rPr>
          <w:rFonts w:ascii="Arial" w:cs="Arial" w:eastAsia="Arial" w:hAnsi="Arial"/>
          <w:sz w:val="22"/>
          <w:szCs w:val="22"/>
        </w:rPr>
        <w:t xml:space="preserve">data_dictionary table tracks pii_flag for annual_income, credit_score columns</w:t>
      </w:r>
    </w:p>
    <w:p>
      <w:pPr>
        <w:pStyle w:val="ListParagraph"/>
        <w:numPr>
          <w:ilvl w:val="0"/>
          <w:numId w:val="2"/>
        </w:numPr>
        <w:spacing w:before="40" w:after="40"/>
      </w:pPr>
      <w:r>
        <w:rPr>
          <w:rFonts w:ascii="Arial" w:cs="Arial" w:eastAsia="Arial" w:hAnsi="Arial"/>
          <w:sz w:val="22"/>
          <w:szCs w:val="22"/>
        </w:rPr>
        <w:t xml:space="preserve">COMMENT ON TABLE / COLUMN for catalog documentation</w:t>
      </w:r>
    </w:p>
    <w:p>
      <w:pPr>
        <w:pStyle w:val="ListParagraph"/>
        <w:numPr>
          <w:ilvl w:val="0"/>
          <w:numId w:val="2"/>
        </w:numPr>
        <w:spacing w:before="40" w:after="40"/>
      </w:pPr>
      <w:r>
        <w:rPr>
          <w:rFonts w:ascii="Arial" w:cs="Arial" w:eastAsia="Arial" w:hAnsi="Arial"/>
          <w:sz w:val="22"/>
          <w:szCs w:val="22"/>
        </w:rPr>
        <w:t xml:space="preserve">Metadata lineage: source_system, load_timestamp on all staging tables</w:t>
      </w:r>
    </w:p>
    <w:p>
      <w:r>
        <w:br w:type="page"/>
      </w:r>
    </w:p>
    <w:p>
      <w:pPr>
        <w:pStyle w:val="Heading1"/>
        <w:spacing w:before="300" w:after="160"/>
      </w:pPr>
      <w:r>
        <w:rPr>
          <w:rFonts w:ascii="Arial" w:cs="Arial" w:eastAsia="Arial" w:hAnsi="Arial"/>
          <w:b/>
          <w:bCs/>
          <w:color w:val="1B4F72"/>
          <w:sz w:val="32"/>
          <w:szCs w:val="32"/>
        </w:rPr>
        <w:t xml:space="preserve">8. Advanced SQL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SQL Feature</w:t>
            </w:r>
          </w:p>
        </w:tc>
        <w:tc>
          <w:tcPr>
            <w:tcW w:type="dxa" w:w="656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Use Case in Project</w:t>
            </w:r>
          </w:p>
        </w:tc>
      </w:tr>
      <w:tr>
        <w:tc>
          <w:tcPr>
            <w:tcW w:type="dxa" w:w="2800"/>
            <w:tcBorders>
              <w:top w:val="single" w:color="CCCCCC" w:sz="1"/>
              <w:left w:val="single" w:color="CCCCCC" w:sz="1"/>
              <w:bottom w:val="single" w:color="CCCCCC" w:sz="1"/>
              <w:right w:val="single" w:color="CCCCCC" w:sz="1"/>
            </w:tcBorders>
            <w:shd w:fill="F2F9F1" w:val="clear"/>
            <w:tcMar>
              <w:top w:type="dxa" w:w="80"/>
              <w:left w:type="dxa" w:w="120"/>
              <w:bottom w:type="dxa" w:w="80"/>
              <w:right w:type="dxa" w:w="120"/>
            </w:tcMar>
          </w:tcPr>
          <w:p>
            <w:r>
              <w:rPr>
                <w:rFonts w:ascii="Arial" w:cs="Arial" w:eastAsia="Arial" w:hAnsi="Arial"/>
                <w:sz w:val="20"/>
                <w:szCs w:val="20"/>
              </w:rPr>
              <w:t xml:space="preserve">CTE (Common Table Expressions)</w:t>
            </w:r>
          </w:p>
        </w:tc>
        <w:tc>
          <w:tcPr>
            <w:tcW w:type="dxa" w:w="6560"/>
            <w:tcBorders>
              <w:top w:val="single" w:color="CCCCCC" w:sz="1"/>
              <w:left w:val="single" w:color="CCCCCC" w:sz="1"/>
              <w:bottom w:val="single" w:color="CCCCCC" w:sz="1"/>
              <w:right w:val="single" w:color="CCCCCC" w:sz="1"/>
            </w:tcBorders>
            <w:shd w:fill="F2F9F1" w:val="clear"/>
            <w:tcMar>
              <w:top w:type="dxa" w:w="80"/>
              <w:left w:type="dxa" w:w="120"/>
              <w:bottom w:type="dxa" w:w="80"/>
              <w:right w:type="dxa" w:w="120"/>
            </w:tcMar>
          </w:tcPr>
          <w:p>
            <w:r>
              <w:rPr>
                <w:rFonts w:ascii="Arial" w:cs="Arial" w:eastAsia="Arial" w:hAnsi="Arial"/>
                <w:sz w:val="20"/>
                <w:szCs w:val="20"/>
              </w:rPr>
              <w:t xml:space="preserve">High-risk customer identification: customer_claim_metrics → risk_classification → final SELECT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Window: RANK()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Rank policy types by fraud amount within each year-month</w:t>
            </w:r>
          </w:p>
        </w:tc>
      </w:tr>
      <w:tr>
        <w:tc>
          <w:tcPr>
            <w:tcW w:type="dxa" w:w="2800"/>
            <w:tcBorders>
              <w:top w:val="single" w:color="CCCCCC" w:sz="1"/>
              <w:left w:val="single" w:color="CCCCCC" w:sz="1"/>
              <w:bottom w:val="single" w:color="CCCCCC" w:sz="1"/>
              <w:right w:val="single" w:color="CCCCCC" w:sz="1"/>
            </w:tcBorders>
            <w:shd w:fill="F2F9F1" w:val="clear"/>
            <w:tcMar>
              <w:top w:type="dxa" w:w="80"/>
              <w:left w:type="dxa" w:w="120"/>
              <w:bottom w:type="dxa" w:w="80"/>
              <w:right w:type="dxa" w:w="120"/>
            </w:tcMar>
          </w:tcPr>
          <w:p>
            <w:r>
              <w:rPr>
                <w:rFonts w:ascii="Arial" w:cs="Arial" w:eastAsia="Arial" w:hAnsi="Arial"/>
                <w:sz w:val="20"/>
                <w:szCs w:val="20"/>
              </w:rPr>
              <w:t xml:space="preserve">Window: LAG()</w:t>
            </w:r>
          </w:p>
        </w:tc>
        <w:tc>
          <w:tcPr>
            <w:tcW w:type="dxa" w:w="6560"/>
            <w:tcBorders>
              <w:top w:val="single" w:color="CCCCCC" w:sz="1"/>
              <w:left w:val="single" w:color="CCCCCC" w:sz="1"/>
              <w:bottom w:val="single" w:color="CCCCCC" w:sz="1"/>
              <w:right w:val="single" w:color="CCCCCC" w:sz="1"/>
            </w:tcBorders>
            <w:shd w:fill="F2F9F1" w:val="clear"/>
            <w:tcMar>
              <w:top w:type="dxa" w:w="80"/>
              <w:left w:type="dxa" w:w="120"/>
              <w:bottom w:type="dxa" w:w="80"/>
              <w:right w:type="dxa" w:w="120"/>
            </w:tcMar>
          </w:tcPr>
          <w:p>
            <w:r>
              <w:rPr>
                <w:rFonts w:ascii="Arial" w:cs="Arial" w:eastAsia="Arial" w:hAnsi="Arial"/>
                <w:sz w:val="20"/>
                <w:szCs w:val="20"/>
              </w:rPr>
              <w:t xml:space="preserve">Month-over-month claim growth percentage calculation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Window: PERCENT_RANK()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Fraud score percentile within policy type</w:t>
            </w:r>
          </w:p>
        </w:tc>
      </w:tr>
      <w:tr>
        <w:tc>
          <w:tcPr>
            <w:tcW w:type="dxa" w:w="2800"/>
            <w:tcBorders>
              <w:top w:val="single" w:color="CCCCCC" w:sz="1"/>
              <w:left w:val="single" w:color="CCCCCC" w:sz="1"/>
              <w:bottom w:val="single" w:color="CCCCCC" w:sz="1"/>
              <w:right w:val="single" w:color="CCCCCC" w:sz="1"/>
            </w:tcBorders>
            <w:shd w:fill="F2F9F1" w:val="clear"/>
            <w:tcMar>
              <w:top w:type="dxa" w:w="80"/>
              <w:left w:type="dxa" w:w="120"/>
              <w:bottom w:type="dxa" w:w="80"/>
              <w:right w:type="dxa" w:w="120"/>
            </w:tcMar>
          </w:tcPr>
          <w:p>
            <w:r>
              <w:rPr>
                <w:rFonts w:ascii="Arial" w:cs="Arial" w:eastAsia="Arial" w:hAnsi="Arial"/>
                <w:sz w:val="20"/>
                <w:szCs w:val="20"/>
              </w:rPr>
              <w:t xml:space="preserve">Window: NTILE(4)</w:t>
            </w:r>
          </w:p>
        </w:tc>
        <w:tc>
          <w:tcPr>
            <w:tcW w:type="dxa" w:w="6560"/>
            <w:tcBorders>
              <w:top w:val="single" w:color="CCCCCC" w:sz="1"/>
              <w:left w:val="single" w:color="CCCCCC" w:sz="1"/>
              <w:bottom w:val="single" w:color="CCCCCC" w:sz="1"/>
              <w:right w:val="single" w:color="CCCCCC" w:sz="1"/>
            </w:tcBorders>
            <w:shd w:fill="F2F9F1" w:val="clear"/>
            <w:tcMar>
              <w:top w:type="dxa" w:w="80"/>
              <w:left w:type="dxa" w:w="120"/>
              <w:bottom w:type="dxa" w:w="80"/>
              <w:right w:type="dxa" w:w="120"/>
            </w:tcMar>
          </w:tcPr>
          <w:p>
            <w:r>
              <w:rPr>
                <w:rFonts w:ascii="Arial" w:cs="Arial" w:eastAsia="Arial" w:hAnsi="Arial"/>
                <w:sz w:val="20"/>
                <w:szCs w:val="20"/>
              </w:rPr>
              <w:t xml:space="preserve">Risk quartile assignment for all claims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Window: Running SUM()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YTD cumulative claimed amounts by policy type</w:t>
            </w:r>
          </w:p>
        </w:tc>
      </w:tr>
      <w:tr>
        <w:tc>
          <w:tcPr>
            <w:tcW w:type="dxa" w:w="2800"/>
            <w:tcBorders>
              <w:top w:val="single" w:color="CCCCCC" w:sz="1"/>
              <w:left w:val="single" w:color="CCCCCC" w:sz="1"/>
              <w:bottom w:val="single" w:color="CCCCCC" w:sz="1"/>
              <w:right w:val="single" w:color="CCCCCC" w:sz="1"/>
            </w:tcBorders>
            <w:shd w:fill="F2F9F1" w:val="clear"/>
            <w:tcMar>
              <w:top w:type="dxa" w:w="80"/>
              <w:left w:type="dxa" w:w="120"/>
              <w:bottom w:type="dxa" w:w="80"/>
              <w:right w:type="dxa" w:w="120"/>
            </w:tcMar>
          </w:tcPr>
          <w:p>
            <w:r>
              <w:rPr>
                <w:rFonts w:ascii="Arial" w:cs="Arial" w:eastAsia="Arial" w:hAnsi="Arial"/>
                <w:sz w:val="20"/>
                <w:szCs w:val="20"/>
              </w:rPr>
              <w:t xml:space="preserve">ROLLUP</w:t>
            </w:r>
          </w:p>
        </w:tc>
        <w:tc>
          <w:tcPr>
            <w:tcW w:type="dxa" w:w="6560"/>
            <w:tcBorders>
              <w:top w:val="single" w:color="CCCCCC" w:sz="1"/>
              <w:left w:val="single" w:color="CCCCCC" w:sz="1"/>
              <w:bottom w:val="single" w:color="CCCCCC" w:sz="1"/>
              <w:right w:val="single" w:color="CCCCCC" w:sz="1"/>
            </w:tcBorders>
            <w:shd w:fill="F2F9F1" w:val="clear"/>
            <w:tcMar>
              <w:top w:type="dxa" w:w="80"/>
              <w:left w:type="dxa" w:w="120"/>
              <w:bottom w:type="dxa" w:w="80"/>
              <w:right w:type="dxa" w:w="120"/>
            </w:tcMar>
          </w:tcPr>
          <w:p>
            <w:r>
              <w:rPr>
                <w:rFonts w:ascii="Arial" w:cs="Arial" w:eastAsia="Arial" w:hAnsi="Arial"/>
                <w:sz w:val="20"/>
                <w:szCs w:val="20"/>
              </w:rPr>
              <w:t xml:space="preserve">Hierarchical summary: ALL REGIONS → Region → Policy → Year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CUBE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Multi-dimensional fraud analysis: age_band × gender × policy_category</w:t>
            </w:r>
          </w:p>
        </w:tc>
      </w:tr>
      <w:tr>
        <w:tc>
          <w:tcPr>
            <w:tcW w:type="dxa" w:w="2800"/>
            <w:tcBorders>
              <w:top w:val="single" w:color="CCCCCC" w:sz="1"/>
              <w:left w:val="single" w:color="CCCCCC" w:sz="1"/>
              <w:bottom w:val="single" w:color="CCCCCC" w:sz="1"/>
              <w:right w:val="single" w:color="CCCCCC" w:sz="1"/>
            </w:tcBorders>
            <w:shd w:fill="F2F9F1" w:val="clear"/>
            <w:tcMar>
              <w:top w:type="dxa" w:w="80"/>
              <w:left w:type="dxa" w:w="120"/>
              <w:bottom w:type="dxa" w:w="80"/>
              <w:right w:type="dxa" w:w="120"/>
            </w:tcMar>
          </w:tcPr>
          <w:p>
            <w:r>
              <w:rPr>
                <w:rFonts w:ascii="Arial" w:cs="Arial" w:eastAsia="Arial" w:hAnsi="Arial"/>
                <w:sz w:val="20"/>
                <w:szCs w:val="20"/>
              </w:rPr>
              <w:t xml:space="preserve">Recursive CTE</w:t>
            </w:r>
          </w:p>
        </w:tc>
        <w:tc>
          <w:tcPr>
            <w:tcW w:type="dxa" w:w="6560"/>
            <w:tcBorders>
              <w:top w:val="single" w:color="CCCCCC" w:sz="1"/>
              <w:left w:val="single" w:color="CCCCCC" w:sz="1"/>
              <w:bottom w:val="single" w:color="CCCCCC" w:sz="1"/>
              <w:right w:val="single" w:color="CCCCCC" w:sz="1"/>
            </w:tcBorders>
            <w:shd w:fill="F2F9F1" w:val="clear"/>
            <w:tcMar>
              <w:top w:type="dxa" w:w="80"/>
              <w:left w:type="dxa" w:w="120"/>
              <w:bottom w:type="dxa" w:w="80"/>
              <w:right w:type="dxa" w:w="120"/>
            </w:tcMar>
          </w:tcPr>
          <w:p>
            <w:r>
              <w:rPr>
                <w:rFonts w:ascii="Arial" w:cs="Arial" w:eastAsia="Arial" w:hAnsi="Arial"/>
                <w:sz w:val="20"/>
                <w:szCs w:val="20"/>
              </w:rPr>
              <w:t xml:space="preserve">Agent hierarchy traversal (Expert → region colleagues)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MERGE (Upsert)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SCD Type 1 policy status update from staging</w:t>
            </w:r>
          </w:p>
        </w:tc>
      </w:tr>
      <w:tr>
        <w:tc>
          <w:tcPr>
            <w:tcW w:type="dxa" w:w="2800"/>
            <w:tcBorders>
              <w:top w:val="single" w:color="CCCCCC" w:sz="1"/>
              <w:left w:val="single" w:color="CCCCCC" w:sz="1"/>
              <w:bottom w:val="single" w:color="CCCCCC" w:sz="1"/>
              <w:right w:val="single" w:color="CCCCCC" w:sz="1"/>
            </w:tcBorders>
            <w:shd w:fill="F2F9F1" w:val="clear"/>
            <w:tcMar>
              <w:top w:type="dxa" w:w="80"/>
              <w:left w:type="dxa" w:w="120"/>
              <w:bottom w:type="dxa" w:w="80"/>
              <w:right w:type="dxa" w:w="120"/>
            </w:tcMar>
          </w:tcPr>
          <w:p>
            <w:r>
              <w:rPr>
                <w:rFonts w:ascii="Arial" w:cs="Arial" w:eastAsia="Arial" w:hAnsi="Arial"/>
                <w:sz w:val="20"/>
                <w:szCs w:val="20"/>
              </w:rPr>
              <w:t xml:space="preserve">EXPLAIN ANALYZE</w:t>
            </w:r>
          </w:p>
        </w:tc>
        <w:tc>
          <w:tcPr>
            <w:tcW w:type="dxa" w:w="6560"/>
            <w:tcBorders>
              <w:top w:val="single" w:color="CCCCCC" w:sz="1"/>
              <w:left w:val="single" w:color="CCCCCC" w:sz="1"/>
              <w:bottom w:val="single" w:color="CCCCCC" w:sz="1"/>
              <w:right w:val="single" w:color="CCCCCC" w:sz="1"/>
            </w:tcBorders>
            <w:shd w:fill="F2F9F1" w:val="clear"/>
            <w:tcMar>
              <w:top w:type="dxa" w:w="80"/>
              <w:left w:type="dxa" w:w="120"/>
              <w:bottom w:type="dxa" w:w="80"/>
              <w:right w:type="dxa" w:w="120"/>
            </w:tcMar>
          </w:tcPr>
          <w:p>
            <w:r>
              <w:rPr>
                <w:rFonts w:ascii="Arial" w:cs="Arial" w:eastAsia="Arial" w:hAnsi="Arial"/>
                <w:sz w:val="20"/>
                <w:szCs w:val="20"/>
              </w:rPr>
              <w:t xml:space="preserve">Before/after index creation performance comparison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Materialized View</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mv_claim_summary: concurrent refresh after ETL</w:t>
            </w:r>
          </w:p>
        </w:tc>
      </w:tr>
      <w:tr>
        <w:tc>
          <w:tcPr>
            <w:tcW w:type="dxa" w:w="2800"/>
            <w:tcBorders>
              <w:top w:val="single" w:color="CCCCCC" w:sz="1"/>
              <w:left w:val="single" w:color="CCCCCC" w:sz="1"/>
              <w:bottom w:val="single" w:color="CCCCCC" w:sz="1"/>
              <w:right w:val="single" w:color="CCCCCC" w:sz="1"/>
            </w:tcBorders>
            <w:shd w:fill="F2F9F1" w:val="clear"/>
            <w:tcMar>
              <w:top w:type="dxa" w:w="80"/>
              <w:left w:type="dxa" w:w="120"/>
              <w:bottom w:type="dxa" w:w="80"/>
              <w:right w:type="dxa" w:w="120"/>
            </w:tcMar>
          </w:tcPr>
          <w:p>
            <w:r>
              <w:rPr>
                <w:rFonts w:ascii="Arial" w:cs="Arial" w:eastAsia="Arial" w:hAnsi="Arial"/>
                <w:sz w:val="20"/>
                <w:szCs w:val="20"/>
              </w:rPr>
              <w:t xml:space="preserve">Partitioned Tables</w:t>
            </w:r>
          </w:p>
        </w:tc>
        <w:tc>
          <w:tcPr>
            <w:tcW w:type="dxa" w:w="6560"/>
            <w:tcBorders>
              <w:top w:val="single" w:color="CCCCCC" w:sz="1"/>
              <w:left w:val="single" w:color="CCCCCC" w:sz="1"/>
              <w:bottom w:val="single" w:color="CCCCCC" w:sz="1"/>
              <w:right w:val="single" w:color="CCCCCC" w:sz="1"/>
            </w:tcBorders>
            <w:shd w:fill="F2F9F1" w:val="clear"/>
            <w:tcMar>
              <w:top w:type="dxa" w:w="80"/>
              <w:left w:type="dxa" w:w="120"/>
              <w:bottom w:type="dxa" w:w="80"/>
              <w:right w:type="dxa" w:w="120"/>
            </w:tcMar>
          </w:tcPr>
          <w:p>
            <w:r>
              <w:rPr>
                <w:rFonts w:ascii="Arial" w:cs="Arial" w:eastAsia="Arial" w:hAnsi="Arial"/>
                <w:sz w:val="20"/>
                <w:szCs w:val="20"/>
              </w:rPr>
              <w:t xml:space="preserve">Range partitioning by year on both fact tables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Partial Index</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idx_high_fraud: indexed only WHERE fraud_flag=TRUE AND score&gt;0.5</w:t>
            </w:r>
          </w:p>
        </w:tc>
      </w:tr>
    </w:tbl>
    <w:p>
      <w:r>
        <w:br w:type="page"/>
      </w:r>
    </w:p>
    <w:p>
      <w:pPr>
        <w:pStyle w:val="Heading1"/>
        <w:spacing w:before="300" w:after="160"/>
      </w:pPr>
      <w:r>
        <w:rPr>
          <w:rFonts w:ascii="Arial" w:cs="Arial" w:eastAsia="Arial" w:hAnsi="Arial"/>
          <w:b/>
          <w:bCs/>
          <w:color w:val="1B4F72"/>
          <w:sz w:val="32"/>
          <w:szCs w:val="32"/>
        </w:rPr>
        <w:t xml:space="preserve">9. Data Visualization Dashboard</w:t>
      </w:r>
    </w:p>
    <w:p>
      <w:pPr>
        <w:pStyle w:val="Heading2"/>
        <w:spacing w:before="220" w:after="120"/>
      </w:pPr>
      <w:r>
        <w:rPr>
          <w:rFonts w:ascii="Arial" w:cs="Arial" w:eastAsia="Arial" w:hAnsi="Arial"/>
          <w:b/>
          <w:bCs/>
          <w:color w:val="2E86AB"/>
          <w:sz w:val="26"/>
          <w:szCs w:val="26"/>
        </w:rPr>
        <w:t xml:space="preserve">9.1 Dashboard Page 1: Executive Overview</w:t>
      </w:r>
    </w:p>
    <w:p>
      <w:pPr>
        <w:pStyle w:val="ListParagraph"/>
        <w:numPr>
          <w:ilvl w:val="0"/>
          <w:numId w:val="2"/>
        </w:numPr>
        <w:spacing w:before="40" w:after="40"/>
      </w:pPr>
      <w:r>
        <w:rPr>
          <w:rFonts w:ascii="Arial" w:cs="Arial" w:eastAsia="Arial" w:hAnsi="Arial"/>
          <w:sz w:val="22"/>
          <w:szCs w:val="22"/>
        </w:rPr>
        <w:t xml:space="preserve">KPI Cards: Total Claims (3,000), Total Claimed (₹M), Fraud Claims count, Fraud Rate %</w:t>
      </w:r>
    </w:p>
    <w:p>
      <w:pPr>
        <w:pStyle w:val="ListParagraph"/>
        <w:numPr>
          <w:ilvl w:val="0"/>
          <w:numId w:val="2"/>
        </w:numPr>
        <w:spacing w:before="40" w:after="40"/>
      </w:pPr>
      <w:r>
        <w:rPr>
          <w:rFonts w:ascii="Arial" w:cs="Arial" w:eastAsia="Arial" w:hAnsi="Arial"/>
          <w:sz w:val="22"/>
          <w:szCs w:val="22"/>
        </w:rPr>
        <w:t xml:space="preserve">Claims by Type: Horizontal bar chart ranked by volume (Natural Disaster, Accident, Theft, ...)</w:t>
      </w:r>
    </w:p>
    <w:p>
      <w:pPr>
        <w:pStyle w:val="ListParagraph"/>
        <w:numPr>
          <w:ilvl w:val="0"/>
          <w:numId w:val="2"/>
        </w:numPr>
        <w:spacing w:before="40" w:after="40"/>
      </w:pPr>
      <w:r>
        <w:rPr>
          <w:rFonts w:ascii="Arial" w:cs="Arial" w:eastAsia="Arial" w:hAnsi="Arial"/>
          <w:sz w:val="22"/>
          <w:szCs w:val="22"/>
        </w:rPr>
        <w:t xml:space="preserve">Fraud Rate by Policy Category: Bar chart with color coding (red&gt;13%, yellow&gt;11%, green otherwise)</w:t>
      </w:r>
    </w:p>
    <w:p>
      <w:pPr>
        <w:pStyle w:val="ListParagraph"/>
        <w:numPr>
          <w:ilvl w:val="0"/>
          <w:numId w:val="2"/>
        </w:numPr>
        <w:spacing w:before="40" w:after="40"/>
      </w:pPr>
      <w:r>
        <w:rPr>
          <w:rFonts w:ascii="Arial" w:cs="Arial" w:eastAsia="Arial" w:hAnsi="Arial"/>
          <w:sz w:val="22"/>
          <w:szCs w:val="22"/>
        </w:rPr>
        <w:t xml:space="preserve">Monthly Claims Trend: Multi-line chart (2022–2024) with shaded area and MoM comparison</w:t>
      </w:r>
    </w:p>
    <w:p>
      <w:pPr>
        <w:pStyle w:val="ListParagraph"/>
        <w:numPr>
          <w:ilvl w:val="0"/>
          <w:numId w:val="2"/>
        </w:numPr>
        <w:spacing w:before="40" w:after="40"/>
      </w:pPr>
      <w:r>
        <w:rPr>
          <w:rFonts w:ascii="Arial" w:cs="Arial" w:eastAsia="Arial" w:hAnsi="Arial"/>
          <w:sz w:val="22"/>
          <w:szCs w:val="22"/>
        </w:rPr>
        <w:t xml:space="preserve">Fraud Score Distribution: Overlapping histograms (Fraud vs Legitimate) showing score separation</w:t>
      </w:r>
    </w:p>
    <w:p>
      <w:pPr>
        <w:pStyle w:val="Heading2"/>
        <w:spacing w:before="220" w:after="120"/>
      </w:pPr>
      <w:r>
        <w:rPr>
          <w:rFonts w:ascii="Arial" w:cs="Arial" w:eastAsia="Arial" w:hAnsi="Arial"/>
          <w:b/>
          <w:bCs/>
          <w:color w:val="2E86AB"/>
          <w:sz w:val="26"/>
          <w:szCs w:val="26"/>
        </w:rPr>
        <w:t xml:space="preserve">9.2 Dashboard Page 2: Risk &amp; Performance</w:t>
      </w:r>
    </w:p>
    <w:p>
      <w:pPr>
        <w:pStyle w:val="ListParagraph"/>
        <w:numPr>
          <w:ilvl w:val="0"/>
          <w:numId w:val="2"/>
        </w:numPr>
        <w:spacing w:before="40" w:after="40"/>
      </w:pPr>
      <w:r>
        <w:rPr>
          <w:rFonts w:ascii="Arial" w:cs="Arial" w:eastAsia="Arial" w:hAnsi="Arial"/>
          <w:sz w:val="22"/>
          <w:szCs w:val="22"/>
        </w:rPr>
        <w:t xml:space="preserve">Fraud Rate by Age Band: Grouped bar chart revealing 56-65 age band as highest risk</w:t>
      </w:r>
    </w:p>
    <w:p>
      <w:pPr>
        <w:pStyle w:val="ListParagraph"/>
        <w:numPr>
          <w:ilvl w:val="0"/>
          <w:numId w:val="2"/>
        </w:numPr>
        <w:spacing w:before="40" w:after="40"/>
      </w:pPr>
      <w:r>
        <w:rPr>
          <w:rFonts w:ascii="Arial" w:cs="Arial" w:eastAsia="Arial" w:hAnsi="Arial"/>
          <w:sz w:val="22"/>
          <w:szCs w:val="22"/>
        </w:rPr>
        <w:t xml:space="preserve">Credit × Income Heatmap: 2D color matrix showing compound risk factors</w:t>
      </w:r>
    </w:p>
    <w:p>
      <w:pPr>
        <w:pStyle w:val="ListParagraph"/>
        <w:numPr>
          <w:ilvl w:val="0"/>
          <w:numId w:val="2"/>
        </w:numPr>
        <w:spacing w:before="40" w:after="40"/>
      </w:pPr>
      <w:r>
        <w:rPr>
          <w:rFonts w:ascii="Arial" w:cs="Arial" w:eastAsia="Arial" w:hAnsi="Arial"/>
          <w:sz w:val="22"/>
          <w:szCs w:val="22"/>
        </w:rPr>
        <w:t xml:space="preserve">Region Bubble Chart: Scatter plot with avg_claim_amount vs fraud_rate; bubble=volume</w:t>
      </w:r>
    </w:p>
    <w:p>
      <w:pPr>
        <w:pStyle w:val="ListParagraph"/>
        <w:numPr>
          <w:ilvl w:val="0"/>
          <w:numId w:val="2"/>
        </w:numPr>
        <w:spacing w:before="40" w:after="40"/>
      </w:pPr>
      <w:r>
        <w:rPr>
          <w:rFonts w:ascii="Arial" w:cs="Arial" w:eastAsia="Arial" w:hAnsi="Arial"/>
          <w:sz w:val="22"/>
          <w:szCs w:val="22"/>
        </w:rPr>
        <w:t xml:space="preserve">Claim Amount by Status: Box plots showing distribution spread per claim status</w:t>
      </w:r>
    </w:p>
    <w:p>
      <w:pPr>
        <w:pStyle w:val="ListParagraph"/>
        <w:numPr>
          <w:ilvl w:val="0"/>
          <w:numId w:val="2"/>
        </w:numPr>
        <w:spacing w:before="40" w:after="40"/>
      </w:pPr>
      <w:r>
        <w:rPr>
          <w:rFonts w:ascii="Arial" w:cs="Arial" w:eastAsia="Arial" w:hAnsi="Arial"/>
          <w:sz w:val="22"/>
          <w:szCs w:val="22"/>
        </w:rPr>
        <w:t xml:space="preserve">Top 10 Fraud Cities: Horizontal bar with red/yellow/blue color bands by severity</w:t>
      </w:r>
    </w:p>
    <w:p>
      <w:pPr>
        <w:pStyle w:val="Heading2"/>
        <w:spacing w:before="220" w:after="120"/>
      </w:pPr>
      <w:r>
        <w:rPr>
          <w:rFonts w:ascii="Arial" w:cs="Arial" w:eastAsia="Arial" w:hAnsi="Arial"/>
          <w:b/>
          <w:bCs/>
          <w:color w:val="2E86AB"/>
          <w:sz w:val="26"/>
          <w:szCs w:val="26"/>
        </w:rPr>
        <w:t xml:space="preserve">9.3 Storytelling Principles Applied</w:t>
      </w:r>
    </w:p>
    <w:p>
      <w:pPr>
        <w:pStyle w:val="ListParagraph"/>
        <w:numPr>
          <w:ilvl w:val="0"/>
          <w:numId w:val="2"/>
        </w:numPr>
        <w:spacing w:before="40" w:after="40"/>
      </w:pPr>
      <w:r>
        <w:rPr>
          <w:rFonts w:ascii="Arial" w:cs="Arial" w:eastAsia="Arial" w:hAnsi="Arial"/>
          <w:sz w:val="22"/>
          <w:szCs w:val="22"/>
        </w:rPr>
        <w:t xml:space="preserve">Dark theme (#0D1117) for executive presentation readability</w:t>
      </w:r>
    </w:p>
    <w:p>
      <w:pPr>
        <w:pStyle w:val="ListParagraph"/>
        <w:numPr>
          <w:ilvl w:val="0"/>
          <w:numId w:val="2"/>
        </w:numPr>
        <w:spacing w:before="40" w:after="40"/>
      </w:pPr>
      <w:r>
        <w:rPr>
          <w:rFonts w:ascii="Arial" w:cs="Arial" w:eastAsia="Arial" w:hAnsi="Arial"/>
          <w:sz w:val="22"/>
          <w:szCs w:val="22"/>
        </w:rPr>
        <w:t xml:space="preserve">Color coding: Red=danger (&gt;13% fraud), Yellow=warning, Green=acceptable</w:t>
      </w:r>
    </w:p>
    <w:p>
      <w:pPr>
        <w:pStyle w:val="ListParagraph"/>
        <w:numPr>
          <w:ilvl w:val="0"/>
          <w:numId w:val="2"/>
        </w:numPr>
        <w:spacing w:before="40" w:after="40"/>
      </w:pPr>
      <w:r>
        <w:rPr>
          <w:rFonts w:ascii="Arial" w:cs="Arial" w:eastAsia="Arial" w:hAnsi="Arial"/>
          <w:sz w:val="22"/>
          <w:szCs w:val="22"/>
        </w:rPr>
        <w:t xml:space="preserve">Chart selection: Right chart for right data (bar for categorical, line for trend, scatter for correlation)</w:t>
      </w:r>
    </w:p>
    <w:p>
      <w:pPr>
        <w:pStyle w:val="ListParagraph"/>
        <w:numPr>
          <w:ilvl w:val="0"/>
          <w:numId w:val="2"/>
        </w:numPr>
        <w:spacing w:before="40" w:after="40"/>
      </w:pPr>
      <w:r>
        <w:rPr>
          <w:rFonts w:ascii="Arial" w:cs="Arial" w:eastAsia="Arial" w:hAnsi="Arial"/>
          <w:sz w:val="22"/>
          <w:szCs w:val="22"/>
        </w:rPr>
        <w:t xml:space="preserve">Reference lines: Average fraud rate dashed line on all category charts</w:t>
      </w:r>
    </w:p>
    <w:p>
      <w:r>
        <w:br w:type="page"/>
      </w:r>
    </w:p>
    <w:p>
      <w:pPr>
        <w:pStyle w:val="Heading1"/>
        <w:spacing w:before="300" w:after="160"/>
      </w:pPr>
      <w:r>
        <w:rPr>
          <w:rFonts w:ascii="Arial" w:cs="Arial" w:eastAsia="Arial" w:hAnsi="Arial"/>
          <w:b/>
          <w:bCs/>
          <w:color w:val="1B4F72"/>
          <w:sz w:val="32"/>
          <w:szCs w:val="32"/>
        </w:rPr>
        <w:t xml:space="preserve">10. Performance Tuning &amp; Optimization</w:t>
      </w:r>
    </w:p>
    <w:p>
      <w:pPr>
        <w:pStyle w:val="Heading2"/>
        <w:spacing w:before="220" w:after="120"/>
      </w:pPr>
      <w:r>
        <w:rPr>
          <w:rFonts w:ascii="Arial" w:cs="Arial" w:eastAsia="Arial" w:hAnsi="Arial"/>
          <w:b/>
          <w:bCs/>
          <w:color w:val="2E86AB"/>
          <w:sz w:val="26"/>
          <w:szCs w:val="26"/>
        </w:rPr>
        <w:t xml:space="preserve">10.1 SQL Optimization</w:t>
      </w:r>
    </w:p>
    <w:p>
      <w:pPr>
        <w:pStyle w:val="ListParagraph"/>
        <w:numPr>
          <w:ilvl w:val="0"/>
          <w:numId w:val="2"/>
        </w:numPr>
        <w:spacing w:before="40" w:after="40"/>
      </w:pPr>
      <w:r>
        <w:rPr>
          <w:rFonts w:ascii="Arial" w:cs="Arial" w:eastAsia="Arial" w:hAnsi="Arial"/>
          <w:sz w:val="22"/>
          <w:szCs w:val="22"/>
        </w:rPr>
        <w:t xml:space="preserve">Partition pruning: Queries on claim_date_key automatically scan only relevant year partitions</w:t>
      </w:r>
    </w:p>
    <w:p>
      <w:pPr>
        <w:pStyle w:val="ListParagraph"/>
        <w:numPr>
          <w:ilvl w:val="0"/>
          <w:numId w:val="2"/>
        </w:numPr>
        <w:spacing w:before="40" w:after="40"/>
      </w:pPr>
      <w:r>
        <w:rPr>
          <w:rFonts w:ascii="Arial" w:cs="Arial" w:eastAsia="Arial" w:hAnsi="Arial"/>
          <w:sz w:val="22"/>
          <w:szCs w:val="22"/>
        </w:rPr>
        <w:t xml:space="preserve">Index effectiveness: Partial fraud index reduces scan from 3,000 to ~360 rows (88% reduction)</w:t>
      </w:r>
    </w:p>
    <w:p>
      <w:pPr>
        <w:pStyle w:val="ListParagraph"/>
        <w:numPr>
          <w:ilvl w:val="0"/>
          <w:numId w:val="2"/>
        </w:numPr>
        <w:spacing w:before="40" w:after="40"/>
      </w:pPr>
      <w:r>
        <w:rPr>
          <w:rFonts w:ascii="Arial" w:cs="Arial" w:eastAsia="Arial" w:hAnsi="Arial"/>
          <w:sz w:val="22"/>
          <w:szCs w:val="22"/>
        </w:rPr>
        <w:t xml:space="preserve">Materialized view: Analytical queries served from pre-computed aggregates (sub-second response)</w:t>
      </w:r>
    </w:p>
    <w:p>
      <w:pPr>
        <w:pStyle w:val="ListParagraph"/>
        <w:numPr>
          <w:ilvl w:val="0"/>
          <w:numId w:val="2"/>
        </w:numPr>
        <w:spacing w:before="40" w:after="40"/>
      </w:pPr>
      <w:r>
        <w:rPr>
          <w:rFonts w:ascii="Arial" w:cs="Arial" w:eastAsia="Arial" w:hAnsi="Arial"/>
          <w:sz w:val="22"/>
          <w:szCs w:val="22"/>
        </w:rPr>
        <w:t xml:space="preserve">Query plan analysis: EXPLAIN ANALYZE shows transition from Seq Scan to Index Scan</w:t>
      </w:r>
    </w:p>
    <w:p>
      <w:pPr>
        <w:pStyle w:val="Heading2"/>
        <w:spacing w:before="220" w:after="120"/>
      </w:pPr>
      <w:r>
        <w:rPr>
          <w:rFonts w:ascii="Arial" w:cs="Arial" w:eastAsia="Arial" w:hAnsi="Arial"/>
          <w:b/>
          <w:bCs/>
          <w:color w:val="2E86AB"/>
          <w:sz w:val="26"/>
          <w:szCs w:val="26"/>
        </w:rPr>
        <w:t xml:space="preserve">10.2 Spark Optimization</w:t>
      </w:r>
    </w:p>
    <w:p>
      <w:pPr>
        <w:pStyle w:val="ListParagraph"/>
        <w:numPr>
          <w:ilvl w:val="0"/>
          <w:numId w:val="2"/>
        </w:numPr>
        <w:spacing w:before="40" w:after="40"/>
      </w:pPr>
      <w:r>
        <w:rPr>
          <w:rFonts w:ascii="Arial" w:cs="Arial" w:eastAsia="Arial" w:hAnsi="Arial"/>
          <w:sz w:val="22"/>
          <w:szCs w:val="22"/>
        </w:rPr>
        <w:t xml:space="preserve">AQE (Adaptive Query Execution): Dynamically coalesces shuffle partitions based on data size</w:t>
      </w:r>
    </w:p>
    <w:p>
      <w:pPr>
        <w:pStyle w:val="ListParagraph"/>
        <w:numPr>
          <w:ilvl w:val="0"/>
          <w:numId w:val="2"/>
        </w:numPr>
        <w:spacing w:before="40" w:after="40"/>
      </w:pPr>
      <w:r>
        <w:rPr>
          <w:rFonts w:ascii="Arial" w:cs="Arial" w:eastAsia="Arial" w:hAnsi="Arial"/>
          <w:sz w:val="22"/>
          <w:szCs w:val="22"/>
        </w:rPr>
        <w:t xml:space="preserve">Broadcast join: 5-row policy_type table broadcast, eliminating shuffle for largest join</w:t>
      </w:r>
    </w:p>
    <w:p>
      <w:pPr>
        <w:pStyle w:val="ListParagraph"/>
        <w:numPr>
          <w:ilvl w:val="0"/>
          <w:numId w:val="2"/>
        </w:numPr>
        <w:spacing w:before="40" w:after="40"/>
      </w:pPr>
      <w:r>
        <w:rPr>
          <w:rFonts w:ascii="Arial" w:cs="Arial" w:eastAsia="Arial" w:hAnsi="Arial"/>
          <w:sz w:val="22"/>
          <w:szCs w:val="22"/>
        </w:rPr>
        <w:t xml:space="preserve">Repartition by claim_type (8 partitions): Balanced partition sizes for parallel processing</w:t>
      </w:r>
    </w:p>
    <w:p>
      <w:pPr>
        <w:pStyle w:val="ListParagraph"/>
        <w:numPr>
          <w:ilvl w:val="0"/>
          <w:numId w:val="2"/>
        </w:numPr>
        <w:spacing w:before="40" w:after="40"/>
      </w:pPr>
      <w:r>
        <w:rPr>
          <w:rFonts w:ascii="Arial" w:cs="Arial" w:eastAsia="Arial" w:hAnsi="Arial"/>
          <w:sz w:val="22"/>
          <w:szCs w:val="22"/>
        </w:rPr>
        <w:t xml:space="preserve">Cache management: RDD cached before multi-pass operations, explicitly unpersisted after use</w:t>
      </w:r>
    </w:p>
    <w:p>
      <w:pPr>
        <w:pStyle w:val="ListParagraph"/>
        <w:numPr>
          <w:ilvl w:val="0"/>
          <w:numId w:val="2"/>
        </w:numPr>
        <w:spacing w:before="40" w:after="40"/>
      </w:pPr>
      <w:r>
        <w:rPr>
          <w:rFonts w:ascii="Arial" w:cs="Arial" w:eastAsia="Arial" w:hAnsi="Arial"/>
          <w:sz w:val="22"/>
          <w:szCs w:val="22"/>
        </w:rPr>
        <w:t xml:space="preserve">Parquet output: Columnar format with predicate pushdown for downstream queries</w:t>
      </w:r>
    </w:p>
    <w:p>
      <w:pPr>
        <w:pStyle w:val="Heading2"/>
        <w:spacing w:before="220" w:after="120"/>
      </w:pPr>
      <w:r>
        <w:rPr>
          <w:rFonts w:ascii="Arial" w:cs="Arial" w:eastAsia="Arial" w:hAnsi="Arial"/>
          <w:b/>
          <w:bCs/>
          <w:color w:val="2E86AB"/>
          <w:sz w:val="26"/>
          <w:szCs w:val="26"/>
        </w:rPr>
        <w:t xml:space="preserve">10.3 Snowflake Optimization</w:t>
      </w:r>
    </w:p>
    <w:p>
      <w:pPr>
        <w:pStyle w:val="ListParagraph"/>
        <w:numPr>
          <w:ilvl w:val="0"/>
          <w:numId w:val="2"/>
        </w:numPr>
        <w:spacing w:before="40" w:after="40"/>
      </w:pPr>
      <w:r>
        <w:rPr>
          <w:rFonts w:ascii="Arial" w:cs="Arial" w:eastAsia="Arial" w:hAnsi="Arial"/>
          <w:sz w:val="22"/>
          <w:szCs w:val="22"/>
        </w:rPr>
        <w:t xml:space="preserve">Clustering: Automatic re-clustering on (CLAIM_DATE_KEY, CLAIM_TYPE) reduces micro-partition scans</w:t>
      </w:r>
    </w:p>
    <w:p>
      <w:pPr>
        <w:pStyle w:val="ListParagraph"/>
        <w:numPr>
          <w:ilvl w:val="0"/>
          <w:numId w:val="2"/>
        </w:numPr>
        <w:spacing w:before="40" w:after="40"/>
      </w:pPr>
      <w:r>
        <w:rPr>
          <w:rFonts w:ascii="Arial" w:cs="Arial" w:eastAsia="Arial" w:hAnsi="Arial"/>
          <w:sz w:val="22"/>
          <w:szCs w:val="22"/>
        </w:rPr>
        <w:t xml:space="preserve">Virtual warehouse separation: ETL and BI on separate warehouses prevent resource contention</w:t>
      </w:r>
    </w:p>
    <w:p>
      <w:pPr>
        <w:pStyle w:val="ListParagraph"/>
        <w:numPr>
          <w:ilvl w:val="0"/>
          <w:numId w:val="2"/>
        </w:numPr>
        <w:spacing w:before="40" w:after="40"/>
      </w:pPr>
      <w:r>
        <w:rPr>
          <w:rFonts w:ascii="Arial" w:cs="Arial" w:eastAsia="Arial" w:hAnsi="Arial"/>
          <w:sz w:val="22"/>
          <w:szCs w:val="22"/>
        </w:rPr>
        <w:t xml:space="preserve">Auto-suspend: ETL_WH suspends after 2 minutes, ANALYTICS_WH after 1 minute (cost control)</w:t>
      </w:r>
    </w:p>
    <w:p>
      <w:pPr>
        <w:pStyle w:val="ListParagraph"/>
        <w:numPr>
          <w:ilvl w:val="0"/>
          <w:numId w:val="2"/>
        </w:numPr>
        <w:spacing w:before="40" w:after="40"/>
      </w:pPr>
      <w:r>
        <w:rPr>
          <w:rFonts w:ascii="Arial" w:cs="Arial" w:eastAsia="Arial" w:hAnsi="Arial"/>
          <w:sz w:val="22"/>
          <w:szCs w:val="22"/>
        </w:rPr>
        <w:t xml:space="preserve">Materialized view: MV_FRAUD_SUMMARY serves BI queries without touching base fact table</w:t>
      </w:r>
    </w:p>
    <w:p>
      <w:pPr>
        <w:pStyle w:val="ListParagraph"/>
        <w:numPr>
          <w:ilvl w:val="0"/>
          <w:numId w:val="2"/>
        </w:numPr>
        <w:spacing w:before="40" w:after="40"/>
      </w:pPr>
      <w:r>
        <w:rPr>
          <w:rFonts w:ascii="Arial" w:cs="Arial" w:eastAsia="Arial" w:hAnsi="Arial"/>
          <w:sz w:val="22"/>
          <w:szCs w:val="22"/>
        </w:rPr>
        <w:t xml:space="preserve">Result cache: Repeated identical queries served from 24-hour result cache (0 compute cost)</w:t>
      </w:r>
    </w:p>
    <w:p>
      <w:r>
        <w:br w:type="page"/>
      </w:r>
    </w:p>
    <w:p>
      <w:pPr>
        <w:pStyle w:val="Heading1"/>
        <w:spacing w:before="300" w:after="160"/>
      </w:pPr>
      <w:r>
        <w:rPr>
          <w:rFonts w:ascii="Arial" w:cs="Arial" w:eastAsia="Arial" w:hAnsi="Arial"/>
          <w:b/>
          <w:bCs/>
          <w:color w:val="1B4F72"/>
          <w:sz w:val="32"/>
          <w:szCs w:val="32"/>
        </w:rPr>
        <w:t xml:space="preserve">11. Project Summary &amp;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Deliverable</w:t>
            </w:r>
          </w:p>
        </w:tc>
        <w:tc>
          <w:tcPr>
            <w:tcW w:type="dxa" w:w="20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c>
          <w:tcPr>
            <w:tcW w:type="dxa" w:w="436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File / Location</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Star Schema DDL</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20"/>
                <w:szCs w:val="20"/>
              </w:rPr>
              <w:t xml:space="preserve">✓ Complete</w:t>
            </w:r>
          </w:p>
        </w:tc>
        <w:tc>
          <w:tcPr>
            <w:tcW w:type="dxa" w:w="4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sql/01_star_schema_ddl.sql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Advanced SQL Analytics</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20"/>
                <w:szCs w:val="20"/>
              </w:rPr>
              <w:t xml:space="preserve">✓ Complete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sql/02_advanced_analytics_sql.sql</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Python ETL Pipeline</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20"/>
                <w:szCs w:val="20"/>
              </w:rPr>
              <w:t xml:space="preserve">✓ Complete</w:t>
            </w:r>
          </w:p>
        </w:tc>
        <w:tc>
          <w:tcPr>
            <w:tcW w:type="dxa" w:w="4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etl/etl_pipeline.py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Spark Batch + Streaming</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20"/>
                <w:szCs w:val="20"/>
              </w:rPr>
              <w:t xml:space="preserve">✓ Complete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spark/spark_processing.py</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Snowflake Advanced SQL</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20"/>
                <w:szCs w:val="20"/>
              </w:rPr>
              <w:t xml:space="preserve">✓ Complete</w:t>
            </w:r>
          </w:p>
        </w:tc>
        <w:tc>
          <w:tcPr>
            <w:tcW w:type="dxa" w:w="4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snowflake/snowflake_advanced.sql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Visualization Dashboard</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20"/>
                <w:szCs w:val="20"/>
              </w:rPr>
              <w:t xml:space="preserve">✓ Complete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dashboard/dashboard.py</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Architecture Diagram</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20"/>
                <w:szCs w:val="20"/>
              </w:rPr>
              <w:t xml:space="preserve">✓ Complete</w:t>
            </w:r>
          </w:p>
        </w:tc>
        <w:tc>
          <w:tcPr>
            <w:tcW w:type="dxa" w:w="4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docs/architecture_diagram.html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Sample Data Generator</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20"/>
                <w:szCs w:val="20"/>
              </w:rPr>
              <w:t xml:space="preserve">✓ Complete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data/generate_data.py</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Final Report (this document)</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20"/>
                <w:szCs w:val="20"/>
              </w:rPr>
              <w:t xml:space="preserve">✓ Complete</w:t>
            </w:r>
          </w:p>
        </w:tc>
        <w:tc>
          <w:tcPr>
            <w:tcW w:type="dxa" w:w="4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docs/project_report.docx</w:t>
            </w:r>
          </w:p>
        </w:tc>
      </w:tr>
    </w:tbl>
    <w:p>
      <w:pPr>
        <w:spacing w:before="200" w:after="100"/>
      </w:pPr>
    </w:p>
    <w:p>
      <w:pPr>
        <w:pBdr>
          <w:bottom w:val="single" w:color="1B4F72" w:sz="6" w:space="1"/>
        </w:pBdr>
        <w:spacing w:before="80" w:after="80"/>
      </w:pPr>
    </w:p>
    <w:p>
      <w:pPr>
        <w:spacing w:before="120"/>
        <w:jc w:val="center"/>
      </w:pPr>
      <w:r>
        <w:rPr>
          <w:rFonts w:ascii="Arial" w:cs="Arial" w:eastAsia="Arial" w:hAnsi="Arial"/>
          <w:i/>
          <w:iCs/>
          <w:color w:val="7F8C8D"/>
          <w:sz w:val="18"/>
          <w:szCs w:val="18"/>
        </w:rPr>
        <w:t xml:space="preserve">Wipro DAI-DATA Group 1 Training | ITER SOA | February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72" w:sz="4" w:space="1"/>
      </w:pBdr>
      <w:jc w:val="right"/>
    </w:pPr>
    <w:r>
      <w:rPr>
        <w:rFonts w:ascii="Arial" w:cs="Arial" w:eastAsia="Arial" w:hAnsi="Arial"/>
        <w:color w:val="7F8C8D"/>
        <w:sz w:val="18"/>
        <w:szCs w:val="18"/>
      </w:rPr>
      <w:t xml:space="preserve">Page </w:t>
    </w:r>
    <w:r>
      <w:rPr>
        <w:rFonts w:ascii="Arial" w:cs="Arial" w:eastAsia="Arial" w:hAnsi="Arial"/>
        <w:color w:val="7F8C8D"/>
        <w:sz w:val="18"/>
        <w:szCs w:val="18"/>
      </w:rPr>
      <w:fldChar w:fldCharType="begin"/>
      <w:instrText xml:space="preserve">PAGE</w:instrText>
      <w:fldChar w:fldCharType="separate"/>
      <w:fldChar w:fldCharType="end"/>
    </w:r>
    <w:r>
      <w:rPr>
        <w:rFonts w:ascii="Arial" w:cs="Arial" w:eastAsia="Arial" w:hAnsi="Arial"/>
        <w:color w:val="7F8C8D"/>
        <w:sz w:val="18"/>
        <w:szCs w:val="18"/>
      </w:rPr>
      <w:t xml:space="preserve"> of </w:t>
    </w:r>
    <w:r>
      <w:rPr>
        <w:rFonts w:ascii="Arial" w:cs="Arial" w:eastAsia="Arial" w:hAnsi="Arial"/>
        <w:color w:val="7F8C8D"/>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4" w:space="1"/>
      </w:pBdr>
    </w:pPr>
    <w:r>
      <w:rPr>
        <w:rFonts w:ascii="Arial" w:cs="Arial" w:eastAsia="Arial" w:hAnsi="Arial"/>
        <w:color w:val="2C3E50"/>
        <w:sz w:val="18"/>
        <w:szCs w:val="18"/>
      </w:rPr>
      <w:t xml:space="preserve">Insurance Claim Risk Analytics – Project Report</w:t>
    </w:r>
    <w:r>
      <w:rPr>
        <w:rFonts w:ascii="Arial" w:cs="Arial" w:eastAsia="Arial" w:hAnsi="Arial"/>
        <w:color w:val="7F8C8D"/>
        <w:sz w:val="18"/>
        <w:szCs w:val="18"/>
      </w:rPr>
      <w:t xml:space="preserve">    |    Wipro DAI-DATA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2026-02-24T17:14:17.079Z</dcterms:created>
  <dcterms:modified xsi:type="dcterms:W3CDTF">2026-02-24T17:14:17.080Z</dcterms:modified>
</cp:coreProperties>
</file>

<file path=docProps/custom.xml><?xml version="1.0" encoding="utf-8"?>
<Properties xmlns="http://schemas.openxmlformats.org/officeDocument/2006/custom-properties" xmlns:vt="http://schemas.openxmlformats.org/officeDocument/2006/docPropsVTypes"/>
</file>