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</w:t>
      </w:r>
      <w:proofErr w:type="spellEnd"/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15A52409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алгоритму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алгоритмів розбору NLP (лінгвістичних аналізаторів) на реченнях і абзацах текстів, зберігання отриманих метаданих у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6BADB144" w14:textId="77777777" w:rsidR="00985B52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85B52">
        <w:rPr>
          <w:noProof/>
        </w:rPr>
        <w:t>Вступ</w:t>
      </w:r>
      <w:r w:rsidR="00985B52">
        <w:rPr>
          <w:noProof/>
        </w:rPr>
        <w:tab/>
      </w:r>
      <w:r w:rsidR="00985B52">
        <w:rPr>
          <w:noProof/>
        </w:rPr>
        <w:fldChar w:fldCharType="begin"/>
      </w:r>
      <w:r w:rsidR="00985B52">
        <w:rPr>
          <w:noProof/>
        </w:rPr>
        <w:instrText xml:space="preserve"> PAGEREF _Toc263560133 \h </w:instrText>
      </w:r>
      <w:r w:rsidR="00985B52">
        <w:rPr>
          <w:noProof/>
        </w:rPr>
      </w:r>
      <w:r w:rsidR="00985B52">
        <w:rPr>
          <w:noProof/>
        </w:rPr>
        <w:fldChar w:fldCharType="separate"/>
      </w:r>
      <w:r w:rsidR="00985B52">
        <w:rPr>
          <w:noProof/>
        </w:rPr>
        <w:t>6</w:t>
      </w:r>
      <w:r w:rsidR="00985B52">
        <w:rPr>
          <w:noProof/>
        </w:rPr>
        <w:fldChar w:fldCharType="end"/>
      </w:r>
    </w:p>
    <w:p w14:paraId="0176694E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B2828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45F019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18D4D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A9E2FE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760E8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182C3A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65AF7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08845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CA45AA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FDF723C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2E3BB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AB5C61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A7DBF9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52AFBA4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D046D8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EA178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8946C5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10CC2C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1986A10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F29BCA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F365E01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3C12D52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4F47E46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29D3B5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4F95DE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5D935734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885574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C97804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560133"/>
      <w:r w:rsidRPr="006F284B">
        <w:lastRenderedPageBreak/>
        <w:t>Вступ</w:t>
      </w:r>
      <w:bookmarkStart w:id="2" w:name="h.kwd4ad8vzxlk" w:colFirst="0" w:colLast="0"/>
      <w:bookmarkEnd w:id="2"/>
      <w:bookmarkEnd w:id="0"/>
      <w:bookmarkEnd w:id="1"/>
    </w:p>
    <w:p w14:paraId="7D15F6FE" w14:textId="77777777" w:rsidR="009D5F8D" w:rsidRDefault="009D5F8D" w:rsidP="009D5F8D"/>
    <w:p w14:paraId="5BD0AD2C" w14:textId="621F7EBB" w:rsidR="009D5F8D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Використати і пояснити тему, по словах.</w:t>
      </w:r>
    </w:p>
    <w:p w14:paraId="6705BC8E" w14:textId="2A2CAE4E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Ітеративна – з нарощенням документів, починаючи з одного</w:t>
      </w:r>
    </w:p>
    <w:p w14:paraId="7845D5EC" w14:textId="3A16AB34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тезаурус і пов’язати з термінологією</w:t>
      </w:r>
    </w:p>
    <w:p w14:paraId="29804CFF" w14:textId="6D510285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наукові тексті і за приклад взяти записки наукма</w:t>
      </w:r>
    </w:p>
    <w:p w14:paraId="12B2B832" w14:textId="5DBD4B8D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Фокус – на рішення задачі. Жонглювання двома технологіями – постагінга і ранжування.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68D119CF" w14:textId="77777777" w:rsidR="00D61D40" w:rsidRDefault="00D61D40" w:rsidP="009D5F8D"/>
    <w:p w14:paraId="38D80439" w14:textId="77777777" w:rsidR="00D61D40" w:rsidRDefault="00D61D40" w:rsidP="009D5F8D"/>
    <w:p w14:paraId="5226D95F" w14:textId="77777777" w:rsidR="00D61D40" w:rsidRDefault="00D61D40" w:rsidP="009D5F8D"/>
    <w:p w14:paraId="2B130A2A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560134"/>
      <w:r w:rsidRPr="006F284B"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560135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560136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>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053AF34C" w14:textId="7C67AB08" w:rsidR="007B6991" w:rsidRDefault="008D1BD0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0193AF5" w14:textId="77777777" w:rsidR="00BC0CF6" w:rsidRPr="00BC0CF6" w:rsidRDefault="00BC0CF6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560137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560138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560139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560140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560141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Аналіз здійснювався на базі розробленої Ченом і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560142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>(</w:t>
      </w:r>
      <w:proofErr w:type="spellStart"/>
      <w:r w:rsidRPr="00946EDB">
        <w:rPr>
          <w:sz w:val="28"/>
          <w:szCs w:val="28"/>
        </w:rPr>
        <w:t>від</w:t>
      </w:r>
      <w:proofErr w:type="spellEnd"/>
      <w:r w:rsidRPr="00946EDB">
        <w:rPr>
          <w:sz w:val="28"/>
          <w:szCs w:val="28"/>
        </w:rPr>
        <w:t xml:space="preserve"> </w:t>
      </w:r>
      <w:hyperlink r:id="rId11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proofErr w:type="spellStart"/>
      <w:r w:rsidRPr="00946EDB">
        <w:rPr>
          <w:sz w:val="28"/>
          <w:szCs w:val="28"/>
        </w:rPr>
        <w:t>словник</w:t>
      </w:r>
      <w:proofErr w:type="spellEnd"/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proofErr w:type="spellStart"/>
      <w:r w:rsidRPr="00946EDB">
        <w:rPr>
          <w:sz w:val="28"/>
          <w:szCs w:val="28"/>
        </w:rPr>
        <w:t>пишу</w:t>
      </w:r>
      <w:proofErr w:type="spellEnd"/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lastRenderedPageBreak/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lastRenderedPageBreak/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75586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98ACD3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B0EDD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E629EC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E32378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560143"/>
      <w:bookmarkEnd w:id="30"/>
      <w:r w:rsidRPr="006F284B"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560144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lastRenderedPageBreak/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lastRenderedPageBreak/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begin"/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 HYPERLINK "http://uk.wikipedia.org/wiki/%D0%A1%D0%BE%D1%86%D1%96%D0%B0%D0%BB%D1%8C%D0%BD%D0%B5_%D1%8F%D0%B2%D0%B8%D1%89%D0%B5" \o "</w:instrText>
      </w:r>
      <w:r w:rsidR="00391B6D" w:rsidRPr="00CE3BDC">
        <w:rPr>
          <w:rFonts w:ascii="Times" w:eastAsia="Times New Roman" w:hAnsi="Times" w:cs="Times New Roman" w:hint="eastAsia"/>
          <w:i/>
          <w:sz w:val="20"/>
          <w:szCs w:val="20"/>
        </w:rPr>
        <w:instrText>Соціальне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 </w:instrText>
      </w:r>
      <w:r w:rsidR="00391B6D" w:rsidRPr="00CE3BDC">
        <w:rPr>
          <w:rFonts w:ascii="Times" w:eastAsia="Times New Roman" w:hAnsi="Times" w:cs="Times New Roman" w:hint="eastAsia"/>
          <w:i/>
          <w:sz w:val="20"/>
          <w:szCs w:val="20"/>
        </w:rPr>
        <w:instrText>явище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" 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separate"/>
      </w:r>
      <w:r w:rsidR="002F42BF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соціальні явища і процеси</w: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560145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560146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</m:t>
        </m:r>
        <m:r>
          <w:rPr>
            <w:rFonts w:ascii="Cambria Math" w:hAnsi="Cambria Math" w:cs="Times New Roman"/>
            <w:sz w:val="24"/>
            <w:szCs w:val="20"/>
          </w:rPr>
          <m:t>F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F91444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C23EF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</m:t>
        </m:r>
        <m:r>
          <w:rPr>
            <w:rFonts w:ascii="Cambria Math" w:hAnsi="Cambria Math" w:cs="Times New Roman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</m:t>
        </m:r>
        <m:r>
          <w:rPr>
            <w:rFonts w:ascii="Cambria Math" w:hAnsi="Cambria Math" w:cs="Times New Roman"/>
            <w:sz w:val="24"/>
            <w:szCs w:val="20"/>
          </w:rPr>
          <m:t>×D</m:t>
        </m:r>
        <m:r>
          <w:rPr>
            <w:rFonts w:ascii="Cambria Math" w:hAnsi="Cambria Math" w:cs="Times New Roman"/>
            <w:sz w:val="24"/>
            <w:szCs w:val="20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r>
          <w:rPr>
            <w:rFonts w:ascii="Cambria Math" w:hAnsi="Cambria Math" w:cs="Times New Roman"/>
            <w:sz w:val="24"/>
          </w:rPr>
          <m:t>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r>
          <w:rPr>
            <w:rFonts w:ascii="Cambria Math" w:hAnsi="Cambria Math" w:cs="Times New Roman"/>
            <w:sz w:val="24"/>
            <w:szCs w:val="20"/>
          </w:rPr>
          <m:t>{</m:t>
        </m:r>
        <m:r>
          <w:rPr>
            <w:rFonts w:ascii="Cambria Math" w:hAnsi="Cambria Math" w:cs="Times New Roman"/>
            <w:sz w:val="24"/>
            <w:szCs w:val="20"/>
          </w:rPr>
          <m:t>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560147"/>
      <w:r w:rsidRPr="00DE0831">
        <w:t>Псевдокод розробленого методу</w:t>
      </w:r>
      <w:bookmarkEnd w:id="4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560148"/>
      <w:r>
        <w:lastRenderedPageBreak/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</m:t>
        </m:r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>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EA7180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E316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9A7C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</m:t>
        </m:r>
        <m:r>
          <w:rPr>
            <w:rFonts w:ascii="Cambria Math" w:hAnsi="Cambria Math" w:cs="Times New Roman"/>
            <w:sz w:val="24"/>
            <w:szCs w:val="20"/>
          </w:rPr>
          <m:t>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</m:t>
        </m:r>
        <m:r>
          <w:rPr>
            <w:rFonts w:ascii="Cambria Math" w:hAnsi="Cambria Math" w:cs="Times New Roman"/>
            <w:sz w:val="24"/>
            <w:szCs w:val="20"/>
          </w:rPr>
          <m:t>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,s)</m:t>
        </m:r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коли ∀l</m:t>
          </m:r>
          <m:r>
            <w:rPr>
              <w:rFonts w:ascii="Cambria Math" w:hAnsi="Cambria Math"/>
              <w:sz w:val="24"/>
            </w:rPr>
            <m:t>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</m:t>
          </m:r>
          <m:r>
            <w:rPr>
              <w:rFonts w:ascii="Cambria Math" w:hAnsi="Cambria Math" w:cs="Times New Roman"/>
              <w:sz w:val="24"/>
            </w:rPr>
            <m:t>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i </m:t>
          </m:r>
          <m:r>
            <w:rPr>
              <w:rFonts w:ascii="Cambria Math" w:hAnsi="Cambria Math" w:cs="Times New Roman"/>
              <w:sz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560149"/>
      <w:r>
        <w:t>Перелік розроблених лексикографічних шаблонів</w:t>
      </w:r>
      <w:bookmarkEnd w:id="46"/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9507AF">
        <w:tc>
          <w:tcPr>
            <w:tcW w:w="1101" w:type="dxa"/>
          </w:tcPr>
          <w:p w14:paraId="7B79A0CB" w14:textId="19632176" w:rsidR="00F8431C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464" w:type="dxa"/>
          </w:tcPr>
          <w:p w14:paraId="041A8043" w14:textId="0B077BBF" w:rsidR="00F8431C" w:rsidRPr="009507AF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7A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Представники правил</w:t>
            </w:r>
          </w:p>
        </w:tc>
      </w:tr>
      <w:tr w:rsidR="009507AF" w14:paraId="205BD7E6" w14:textId="77777777" w:rsidTr="009507AF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9507AF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9507AF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9507AF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9507AF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9507AF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9507AF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560150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560151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</w:t>
      </w:r>
      <w:r w:rsidR="001906EC">
        <w:rPr>
          <w:rFonts w:ascii="Times New Roman" w:hAnsi="Times New Roman" w:cs="Times New Roman"/>
          <w:sz w:val="28"/>
          <w:szCs w:val="28"/>
        </w:rPr>
        <w:lastRenderedPageBreak/>
        <w:t xml:space="preserve">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560152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7F70DB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58AFE61D" w14:textId="5001A9E6" w:rsidR="006806FE" w:rsidRDefault="008D4C0B" w:rsidP="00717EF3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560153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6F1BC0D2" w14:textId="1BDA4F59" w:rsidR="006806FE" w:rsidRPr="000023F9" w:rsidRDefault="000023F9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023F9">
        <w:rPr>
          <w:rFonts w:ascii="Times New Roman" w:hAnsi="Times New Roman" w:cs="Times New Roman"/>
          <w:i/>
          <w:sz w:val="28"/>
          <w:szCs w:val="28"/>
          <w:lang w:val="uk-UA"/>
        </w:rPr>
        <w:t>Додати компонентну схему елментів системи з описом і зв’язками</w:t>
      </w:r>
    </w:p>
    <w:p w14:paraId="16C133C6" w14:textId="32E7EA1F" w:rsidR="006806FE" w:rsidRPr="006F284B" w:rsidRDefault="008D4C0B" w:rsidP="00717EF3">
      <w:pPr>
        <w:pStyle w:val="2"/>
        <w:widowControl w:val="0"/>
        <w:spacing w:line="360" w:lineRule="auto"/>
        <w:jc w:val="both"/>
      </w:pPr>
      <w:bookmarkStart w:id="57" w:name="h.4lj2eqa2qo42" w:colFirst="0" w:colLast="0"/>
      <w:bookmarkStart w:id="58" w:name="_Toc263377901"/>
      <w:bookmarkStart w:id="59" w:name="_Toc263560154"/>
      <w:bookmarkEnd w:id="57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8"/>
      <w:bookmarkEnd w:id="59"/>
    </w:p>
    <w:p w14:paraId="03B7A47A" w14:textId="6B97B935" w:rsidR="000023F9" w:rsidRPr="000023F9" w:rsidRDefault="000023F9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023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Додати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специфікацію REST</w:t>
      </w:r>
      <w:r w:rsidR="00A22F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API до системи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20051DC5" w:rsidR="00BE1218" w:rsidRDefault="004C2373" w:rsidP="006806FE">
      <w:pPr>
        <w:pStyle w:val="normal"/>
        <w:rPr>
          <w:lang w:val="uk-UA"/>
        </w:rPr>
      </w:pPr>
      <w:r>
        <w:rPr>
          <w:lang w:val="uk-UA"/>
        </w:rPr>
        <w:t>RDF-доступ:</w:t>
      </w:r>
    </w:p>
    <w:p w14:paraId="38BF5AA4" w14:textId="00634904" w:rsidR="004C2373" w:rsidRDefault="00524FD3" w:rsidP="006806FE">
      <w:pPr>
        <w:pStyle w:val="normal"/>
        <w:rPr>
          <w:lang w:val="uk-UA"/>
        </w:rPr>
      </w:pPr>
      <w:r>
        <w:rPr>
          <w:lang w:val="uk-UA"/>
        </w:rPr>
        <w:t>GET /rdf/{indexName}/</w:t>
      </w:r>
    </w:p>
    <w:p w14:paraId="7AD8A11D" w14:textId="03C49912" w:rsidR="00524FD3" w:rsidRDefault="00524FD3" w:rsidP="00524FD3">
      <w:pPr>
        <w:pStyle w:val="normal"/>
        <w:rPr>
          <w:lang w:val="uk-UA"/>
        </w:rPr>
      </w:pPr>
      <w:r>
        <w:rPr>
          <w:lang w:val="uk-UA"/>
        </w:rPr>
        <w:t>GET /rdf/{indexName}/</w:t>
      </w:r>
      <w:r>
        <w:rPr>
          <w:lang w:val="uk-UA"/>
        </w:rPr>
        <w:t>compact</w:t>
      </w:r>
    </w:p>
    <w:p w14:paraId="63A9CA59" w14:textId="2830E7C3" w:rsidR="00524FD3" w:rsidRDefault="00524FD3" w:rsidP="00524FD3">
      <w:pPr>
        <w:pStyle w:val="normal"/>
        <w:rPr>
          <w:lang w:val="uk-UA"/>
        </w:rPr>
      </w:pPr>
      <w:r>
        <w:rPr>
          <w:lang w:val="uk-UA"/>
        </w:rPr>
        <w:t>GET /rdf/{indexName}/</w:t>
      </w:r>
      <w:r>
        <w:rPr>
          <w:lang w:val="uk-UA"/>
        </w:rPr>
        <w:t>human</w:t>
      </w:r>
    </w:p>
    <w:p w14:paraId="7D1A1CC0" w14:textId="77777777" w:rsidR="00EC4057" w:rsidRDefault="00EC4057" w:rsidP="00524FD3">
      <w:pPr>
        <w:pStyle w:val="normal"/>
        <w:rPr>
          <w:lang w:val="uk-UA"/>
        </w:rPr>
      </w:pPr>
    </w:p>
    <w:p w14:paraId="414249E4" w14:textId="6454ADEE" w:rsidR="00DA2E55" w:rsidRDefault="00DA2E55" w:rsidP="00524FD3">
      <w:pPr>
        <w:pStyle w:val="normal"/>
        <w:rPr>
          <w:lang w:val="uk-UA"/>
        </w:rPr>
      </w:pPr>
      <w:r>
        <w:rPr>
          <w:lang w:val="uk-UA"/>
        </w:rPr>
        <w:t>Керування індексами</w:t>
      </w:r>
      <w:r w:rsidR="00AD444C">
        <w:rPr>
          <w:lang w:val="uk-UA"/>
        </w:rPr>
        <w:t>:</w:t>
      </w:r>
    </w:p>
    <w:p w14:paraId="4B259498" w14:textId="7E9E580E" w:rsidR="00C45399" w:rsidRDefault="00C45399" w:rsidP="00C45399">
      <w:pPr>
        <w:pStyle w:val="normal"/>
        <w:rPr>
          <w:lang w:val="uk-UA"/>
        </w:rPr>
      </w:pPr>
      <w:r>
        <w:rPr>
          <w:lang w:val="uk-UA"/>
        </w:rPr>
        <w:t>GET /</w:t>
      </w:r>
      <w:r>
        <w:rPr>
          <w:lang w:val="uk-UA"/>
        </w:rPr>
        <w:t>index</w:t>
      </w:r>
      <w:r>
        <w:rPr>
          <w:lang w:val="uk-UA"/>
        </w:rPr>
        <w:t>/</w:t>
      </w:r>
    </w:p>
    <w:p w14:paraId="6A8CD646" w14:textId="381EB1F1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POST</w:t>
      </w:r>
      <w:r>
        <w:rPr>
          <w:lang w:val="uk-UA"/>
        </w:rPr>
        <w:t xml:space="preserve"> /index/{indexName}</w:t>
      </w:r>
    </w:p>
    <w:p w14:paraId="1315CA1F" w14:textId="4AFA7F62" w:rsidR="00C45399" w:rsidRDefault="00C45399" w:rsidP="00C45399">
      <w:pPr>
        <w:pStyle w:val="normal"/>
        <w:rPr>
          <w:lang w:val="uk-UA"/>
        </w:rPr>
      </w:pPr>
      <w:r>
        <w:rPr>
          <w:lang w:val="uk-UA"/>
        </w:rPr>
        <w:t>GET /index/</w:t>
      </w:r>
      <w:r>
        <w:rPr>
          <w:lang w:val="uk-UA"/>
        </w:rPr>
        <w:t>{indexName}</w:t>
      </w:r>
    </w:p>
    <w:p w14:paraId="099D3343" w14:textId="791568AA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DELETE</w:t>
      </w:r>
      <w:r>
        <w:rPr>
          <w:lang w:val="uk-UA"/>
        </w:rPr>
        <w:t xml:space="preserve"> /index/{indexName}</w:t>
      </w:r>
    </w:p>
    <w:p w14:paraId="26B540BC" w14:textId="12813B46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POST /index/{indexName}</w:t>
      </w:r>
      <w:r>
        <w:rPr>
          <w:lang w:val="uk-UA"/>
        </w:rPr>
        <w:t>/upload</w:t>
      </w:r>
    </w:p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044C618A" w14:textId="77777777" w:rsidR="000D6B9C" w:rsidRDefault="000D6B9C" w:rsidP="006806FE">
      <w:pPr>
        <w:pStyle w:val="normal"/>
        <w:rPr>
          <w:lang w:val="uk-UA"/>
        </w:rPr>
      </w:pPr>
    </w:p>
    <w:p w14:paraId="01469120" w14:textId="77777777" w:rsidR="000D6B9C" w:rsidRDefault="000D6B9C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41A4BF54" w:rsidR="00BE19DA" w:rsidRPr="008740AC" w:rsidRDefault="008740AC" w:rsidP="008B6746">
      <w:pPr>
        <w:pStyle w:val="3"/>
      </w:pPr>
      <w:bookmarkStart w:id="60" w:name="_Toc263560155"/>
      <w:r w:rsidRPr="008740AC">
        <w:t>Формат серіалізації тезаурусу в RDF на базі JSON-LD</w:t>
      </w:r>
      <w:bookmarkEnd w:id="60"/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064FCED6" w14:textId="77777777" w:rsidR="00F83424" w:rsidRPr="00B964AC" w:rsidRDefault="00F83424" w:rsidP="00B964AC">
      <w:pPr>
        <w:pStyle w:val="normal"/>
        <w:spacing w:line="240" w:lineRule="auto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3EBE9440" w14:textId="333CF059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"@context" : {</w:t>
      </w:r>
    </w:p>
    <w:p w14:paraId="304A310B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"iso25964" : "http://www.niso.org/schemas/iso25964/iso25964-1_v1.4.xsd#",</w:t>
      </w:r>
    </w:p>
    <w:p w14:paraId="29484C0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"thesaurus" : "iso25964:Thesaurus",</w:t>
      </w:r>
    </w:p>
    <w:p w14:paraId="5598E0D6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"concept" : "iso25964:ThesaurusConcept",</w:t>
      </w:r>
    </w:p>
    <w:p w14:paraId="64F65219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"relation" : "iso25964:HierarchicalRelationship",</w:t>
      </w:r>
    </w:p>
    <w:p w14:paraId="58B8798C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"role" : "iso25964:role",</w:t>
      </w:r>
    </w:p>
    <w:p w14:paraId="381BE25A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"baseConcept" : "iso25964:isHierRelConcept",</w:t>
      </w:r>
    </w:p>
    <w:p w14:paraId="20C75F27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"depConcept" : "iso25964:hasHierRelConcept",</w:t>
      </w:r>
    </w:p>
    <w:p w14:paraId="1B9A277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"lexicalValue" : "iso25964:lexicalValue"</w:t>
      </w:r>
    </w:p>
    <w:p w14:paraId="46110FC2" w14:textId="43DD4738" w:rsidR="005C753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},</w:t>
      </w:r>
    </w:p>
    <w:p w14:paraId="78A74BD4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"@graph" : {</w:t>
      </w:r>
    </w:p>
    <w:p w14:paraId="4515069E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"thesaurus" : {</w:t>
      </w:r>
    </w:p>
    <w:p w14:paraId="2C4B6FDA" w14:textId="77777777" w:rsidR="00B964A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"concept" : [ </w:t>
      </w:r>
    </w:p>
    <w:p w14:paraId="52ABA5F4" w14:textId="650EB9E9" w:rsidR="00F83424" w:rsidRPr="00B964AC" w:rsidRDefault="00F83424" w:rsidP="00B964AC">
      <w:pPr>
        <w:pStyle w:val="normal"/>
        <w:spacing w:line="240" w:lineRule="auto"/>
        <w:ind w:left="708"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1E0A5138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"@id" : "відкриття",</w:t>
      </w:r>
    </w:p>
    <w:p w14:paraId="0CDA8114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"lexicalValue" : "відкриття"</w:t>
      </w:r>
    </w:p>
    <w:p w14:paraId="3596846E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}, {</w:t>
      </w:r>
    </w:p>
    <w:p w14:paraId="6A633139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"@id" : "експансія",</w:t>
      </w:r>
    </w:p>
    <w:p w14:paraId="7A64398F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"lexicalValue" : "експансія"</w:t>
      </w:r>
    </w:p>
    <w:p w14:paraId="4D4B1FF0" w14:textId="72012BB1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</w:t>
      </w:r>
    </w:p>
    <w:p w14:paraId="1DE638B7" w14:textId="77777777" w:rsidR="00F83424" w:rsidRPr="00B964AC" w:rsidRDefault="00F83424" w:rsidP="00B964AC">
      <w:pPr>
        <w:pStyle w:val="normal"/>
        <w:spacing w:line="240" w:lineRule="auto"/>
        <w:ind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],</w:t>
      </w:r>
    </w:p>
    <w:p w14:paraId="00FF16EF" w14:textId="77777777" w:rsidR="00B964A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"relation" : [ </w:t>
      </w:r>
    </w:p>
    <w:p w14:paraId="241A8705" w14:textId="551F88E5" w:rsidR="00F83424" w:rsidRPr="00B964AC" w:rsidRDefault="00F83424" w:rsidP="00B964AC">
      <w:pPr>
        <w:pStyle w:val="normal"/>
        <w:spacing w:line="240" w:lineRule="auto"/>
        <w:ind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28BA89AF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"baseConcept" : "відкриття",</w:t>
      </w:r>
    </w:p>
    <w:p w14:paraId="1740C14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"depConcept" : "експансія",</w:t>
      </w:r>
    </w:p>
    <w:p w14:paraId="2A42F425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"role" : "BT"</w:t>
      </w:r>
    </w:p>
    <w:p w14:paraId="6573AE37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</w:t>
      </w:r>
    </w:p>
    <w:p w14:paraId="47960D1B" w14:textId="77777777" w:rsidR="00DE5B0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]</w:t>
      </w:r>
    </w:p>
    <w:p w14:paraId="17966AA2" w14:textId="6281A756" w:rsidR="005C7534" w:rsidRPr="00B964AC" w:rsidRDefault="00DE5B0C" w:rsidP="00B964AC">
      <w:pPr>
        <w:pStyle w:val="normal"/>
        <w:spacing w:line="240" w:lineRule="auto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}</w:t>
      </w:r>
    </w:p>
    <w:p w14:paraId="22692258" w14:textId="77777777" w:rsidR="00BE19DA" w:rsidRDefault="00BE19DA" w:rsidP="006806FE">
      <w:pPr>
        <w:pStyle w:val="normal"/>
        <w:rPr>
          <w:lang w:val="uk-UA"/>
        </w:rPr>
      </w:pPr>
    </w:p>
    <w:p w14:paraId="100F6714" w14:textId="39F22E14" w:rsidR="000D6B9C" w:rsidRPr="00B964AC" w:rsidRDefault="000D6B9C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64AC">
        <w:rPr>
          <w:rFonts w:ascii="Times New Roman" w:hAnsi="Times New Roman" w:cs="Times New Roman"/>
          <w:i/>
          <w:sz w:val="28"/>
          <w:szCs w:val="28"/>
          <w:lang w:val="uk-UA"/>
        </w:rPr>
        <w:t>Додати опис полів.</w:t>
      </w: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1" w:name="h.e9o6gt27rh88" w:colFirst="0" w:colLast="0"/>
      <w:bookmarkStart w:id="62" w:name="h.9su794fknoyg" w:colFirst="0" w:colLast="0"/>
      <w:bookmarkStart w:id="63" w:name="_Toc263377902"/>
      <w:bookmarkStart w:id="64" w:name="_Toc263560156"/>
      <w:bookmarkEnd w:id="61"/>
      <w:bookmarkEnd w:id="62"/>
      <w:r w:rsidRPr="006F284B">
        <w:lastRenderedPageBreak/>
        <w:t>Розділ IV</w:t>
      </w:r>
      <w:bookmarkEnd w:id="63"/>
      <w:r w:rsidR="0040172D">
        <w:t>. Обговорення результатів</w:t>
      </w:r>
      <w:bookmarkEnd w:id="64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5" w:name="h.yovg5zvvdd7j" w:colFirst="0" w:colLast="0"/>
      <w:bookmarkStart w:id="66" w:name="_Toc263377903"/>
      <w:bookmarkStart w:id="67" w:name="_Toc263560157"/>
      <w:bookmarkEnd w:id="65"/>
      <w:r w:rsidRPr="006F284B">
        <w:t>Схема тестування та оцінка результатів</w:t>
      </w:r>
      <w:bookmarkEnd w:id="66"/>
      <w:bookmarkEnd w:id="67"/>
    </w:p>
    <w:p w14:paraId="1287868C" w14:textId="77777777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Для тестування роботи алгоритму було вирішено розробити систему конфігурацій для швидкого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74416579" w14:textId="77777777" w:rsidR="00FD1815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2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E786D" w14:textId="3D8F47AC" w:rsidR="00FD1815" w:rsidRPr="00FD1815" w:rsidRDefault="00FD1815" w:rsidP="00FD1815"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кроків тестування і розробки алгоритму віднесено:</w:t>
      </w:r>
      <w:r w:rsidRPr="00FD1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0A010E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D77204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443DEE13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3. Тестування на реальних даних.</w:t>
      </w:r>
    </w:p>
    <w:p w14:paraId="16E33AF4" w14:textId="77777777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6595345" w14:textId="77777777" w:rsidR="00FD1815" w:rsidRPr="006F284B" w:rsidRDefault="00FD1815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4BDC537C" w14:textId="5613E3BC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Для цього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запропоновано розробити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4699727B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07C9B72C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6084C85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61064B4E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4983D4CA" w14:textId="77777777" w:rsidR="00FD1815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1620B650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пош</w:t>
      </w:r>
      <w:r w:rsidR="00C143A1">
        <w:rPr>
          <w:rFonts w:ascii="Times New Roman" w:eastAsia="Times New Roman" w:hAnsi="Times New Roman" w:cs="Times New Roman"/>
          <w:sz w:val="28"/>
          <w:szCs w:val="28"/>
          <w:lang w:val="uk-UA"/>
        </w:rPr>
        <w:t>укової видачі Google Scolar на дів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2F7E11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EC68D0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7DD25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B718E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402A8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AC63FF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84F725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0A0130" w14:textId="77777777" w:rsidR="00582EE5" w:rsidRPr="002F7E11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Pr="00160A9C" w:rsidRDefault="00160A9C" w:rsidP="00186B45">
      <w:pPr>
        <w:pStyle w:val="2"/>
      </w:pPr>
      <w:bookmarkStart w:id="68" w:name="_Toc263560158"/>
      <w:r>
        <w:t>Результати тестування методу на різних тематичних колекціях</w:t>
      </w:r>
      <w:bookmarkEnd w:id="6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34"/>
        <w:gridCol w:w="3292"/>
        <w:gridCol w:w="1913"/>
        <w:gridCol w:w="1913"/>
        <w:gridCol w:w="1913"/>
      </w:tblGrid>
      <w:tr w:rsidR="00160A9C" w14:paraId="56C6E9FE" w14:textId="77777777" w:rsidTr="00160A9C">
        <w:tc>
          <w:tcPr>
            <w:tcW w:w="534" w:type="dxa"/>
          </w:tcPr>
          <w:p w14:paraId="5D5A8038" w14:textId="4FAAE3B9" w:rsidR="00160A9C" w:rsidRPr="00A83881" w:rsidRDefault="00160A9C" w:rsidP="006619B2">
            <w:bookmarkStart w:id="69" w:name="h.2pbmyh4z6mnj" w:colFirst="0" w:colLast="0"/>
            <w:bookmarkEnd w:id="69"/>
            <w:r w:rsidRPr="00A83881">
              <w:t>№</w:t>
            </w:r>
          </w:p>
        </w:tc>
        <w:tc>
          <w:tcPr>
            <w:tcW w:w="3292" w:type="dxa"/>
          </w:tcPr>
          <w:p w14:paraId="73F5C23A" w14:textId="1A45DC68" w:rsidR="00A83881" w:rsidRPr="00A83881" w:rsidRDefault="00160A9C" w:rsidP="006619B2">
            <w:r w:rsidRPr="00A83881">
              <w:t>Н</w:t>
            </w:r>
            <w:r w:rsidR="00A83881">
              <w:t>азва колекції</w:t>
            </w:r>
          </w:p>
        </w:tc>
        <w:tc>
          <w:tcPr>
            <w:tcW w:w="1913" w:type="dxa"/>
          </w:tcPr>
          <w:p w14:paraId="11B7A7AA" w14:textId="77777777" w:rsidR="00160A9C" w:rsidRPr="00A83881" w:rsidRDefault="00160A9C" w:rsidP="006619B2">
            <w:r w:rsidRPr="00A83881">
              <w:t>Документів,</w:t>
            </w:r>
          </w:p>
          <w:p w14:paraId="36291BC3" w14:textId="26C87A4E" w:rsidR="00160A9C" w:rsidRPr="00A83881" w:rsidRDefault="00160A9C" w:rsidP="006619B2">
            <w:r w:rsidRPr="00A83881">
              <w:t>В колекції</w:t>
            </w:r>
          </w:p>
        </w:tc>
        <w:tc>
          <w:tcPr>
            <w:tcW w:w="1913" w:type="dxa"/>
          </w:tcPr>
          <w:p w14:paraId="621AE8DF" w14:textId="77777777" w:rsidR="00160A9C" w:rsidRPr="00A83881" w:rsidRDefault="00160A9C" w:rsidP="006619B2"/>
        </w:tc>
        <w:tc>
          <w:tcPr>
            <w:tcW w:w="1913" w:type="dxa"/>
          </w:tcPr>
          <w:p w14:paraId="3D649578" w14:textId="77777777" w:rsidR="00160A9C" w:rsidRDefault="00160A9C" w:rsidP="006619B2"/>
        </w:tc>
      </w:tr>
      <w:tr w:rsidR="00160A9C" w14:paraId="79B1AF71" w14:textId="77777777" w:rsidTr="00160A9C">
        <w:tc>
          <w:tcPr>
            <w:tcW w:w="534" w:type="dxa"/>
          </w:tcPr>
          <w:p w14:paraId="280BA777" w14:textId="423FC5AD" w:rsidR="00160A9C" w:rsidRDefault="00EA674A" w:rsidP="006619B2">
            <w:r>
              <w:t>1</w:t>
            </w:r>
          </w:p>
        </w:tc>
        <w:tc>
          <w:tcPr>
            <w:tcW w:w="3292" w:type="dxa"/>
          </w:tcPr>
          <w:p w14:paraId="6224532D" w14:textId="6A6D9345" w:rsidR="00160A9C" w:rsidRDefault="006619B2" w:rsidP="006619B2">
            <w:r>
              <w:t>Компьютерні науки</w:t>
            </w:r>
          </w:p>
        </w:tc>
        <w:tc>
          <w:tcPr>
            <w:tcW w:w="1913" w:type="dxa"/>
          </w:tcPr>
          <w:p w14:paraId="2697C21C" w14:textId="5FB57F36" w:rsidR="00160A9C" w:rsidRDefault="00563A54" w:rsidP="006619B2">
            <w:r>
              <w:t>96</w:t>
            </w:r>
          </w:p>
        </w:tc>
        <w:tc>
          <w:tcPr>
            <w:tcW w:w="1913" w:type="dxa"/>
          </w:tcPr>
          <w:p w14:paraId="26FE8111" w14:textId="77777777" w:rsidR="00160A9C" w:rsidRDefault="00160A9C" w:rsidP="006619B2"/>
        </w:tc>
        <w:tc>
          <w:tcPr>
            <w:tcW w:w="1913" w:type="dxa"/>
          </w:tcPr>
          <w:p w14:paraId="0CAA3B4D" w14:textId="77777777" w:rsidR="00160A9C" w:rsidRDefault="00160A9C" w:rsidP="006619B2"/>
        </w:tc>
      </w:tr>
      <w:tr w:rsidR="00160A9C" w14:paraId="6E890464" w14:textId="77777777" w:rsidTr="00160A9C">
        <w:tc>
          <w:tcPr>
            <w:tcW w:w="534" w:type="dxa"/>
          </w:tcPr>
          <w:p w14:paraId="30A48447" w14:textId="238F52AB" w:rsidR="00160A9C" w:rsidRDefault="00EA674A" w:rsidP="006619B2">
            <w:r>
              <w:t>2</w:t>
            </w:r>
          </w:p>
        </w:tc>
        <w:tc>
          <w:tcPr>
            <w:tcW w:w="3292" w:type="dxa"/>
          </w:tcPr>
          <w:p w14:paraId="327365F2" w14:textId="08B7A060" w:rsidR="00160A9C" w:rsidRDefault="006619B2" w:rsidP="006619B2">
            <w:r>
              <w:t>Філософія і релігієзнавство</w:t>
            </w:r>
          </w:p>
        </w:tc>
        <w:tc>
          <w:tcPr>
            <w:tcW w:w="1913" w:type="dxa"/>
          </w:tcPr>
          <w:p w14:paraId="101AB9B4" w14:textId="7A567C7B" w:rsidR="00160A9C" w:rsidRDefault="00DD76CA" w:rsidP="006619B2">
            <w:r>
              <w:t>45</w:t>
            </w:r>
          </w:p>
        </w:tc>
        <w:tc>
          <w:tcPr>
            <w:tcW w:w="1913" w:type="dxa"/>
          </w:tcPr>
          <w:p w14:paraId="6C52D820" w14:textId="77777777" w:rsidR="00160A9C" w:rsidRDefault="00160A9C" w:rsidP="006619B2"/>
        </w:tc>
        <w:tc>
          <w:tcPr>
            <w:tcW w:w="1913" w:type="dxa"/>
          </w:tcPr>
          <w:p w14:paraId="413A2422" w14:textId="77777777" w:rsidR="00160A9C" w:rsidRDefault="00160A9C" w:rsidP="006619B2"/>
        </w:tc>
      </w:tr>
      <w:tr w:rsidR="00160A9C" w14:paraId="13011E11" w14:textId="77777777" w:rsidTr="00160A9C">
        <w:tc>
          <w:tcPr>
            <w:tcW w:w="534" w:type="dxa"/>
          </w:tcPr>
          <w:p w14:paraId="197A5A94" w14:textId="77777777" w:rsidR="00160A9C" w:rsidRDefault="00160A9C" w:rsidP="006619B2"/>
        </w:tc>
        <w:tc>
          <w:tcPr>
            <w:tcW w:w="3292" w:type="dxa"/>
          </w:tcPr>
          <w:p w14:paraId="05F1A920" w14:textId="77777777" w:rsidR="00160A9C" w:rsidRDefault="00160A9C" w:rsidP="006619B2"/>
        </w:tc>
        <w:tc>
          <w:tcPr>
            <w:tcW w:w="1913" w:type="dxa"/>
          </w:tcPr>
          <w:p w14:paraId="22F1DD6F" w14:textId="77777777" w:rsidR="00160A9C" w:rsidRDefault="00160A9C" w:rsidP="006619B2"/>
        </w:tc>
        <w:tc>
          <w:tcPr>
            <w:tcW w:w="1913" w:type="dxa"/>
          </w:tcPr>
          <w:p w14:paraId="33C8B6A1" w14:textId="77777777" w:rsidR="00160A9C" w:rsidRDefault="00160A9C" w:rsidP="006619B2"/>
        </w:tc>
        <w:tc>
          <w:tcPr>
            <w:tcW w:w="1913" w:type="dxa"/>
          </w:tcPr>
          <w:p w14:paraId="36130705" w14:textId="77777777" w:rsidR="00160A9C" w:rsidRDefault="00160A9C" w:rsidP="006619B2"/>
        </w:tc>
      </w:tr>
      <w:tr w:rsidR="00160A9C" w14:paraId="10DE0F36" w14:textId="77777777" w:rsidTr="00160A9C">
        <w:tc>
          <w:tcPr>
            <w:tcW w:w="534" w:type="dxa"/>
          </w:tcPr>
          <w:p w14:paraId="2CEB1E16" w14:textId="77777777" w:rsidR="00160A9C" w:rsidRDefault="00160A9C" w:rsidP="006619B2"/>
        </w:tc>
        <w:tc>
          <w:tcPr>
            <w:tcW w:w="3292" w:type="dxa"/>
          </w:tcPr>
          <w:p w14:paraId="52EDF667" w14:textId="77777777" w:rsidR="00160A9C" w:rsidRDefault="00160A9C" w:rsidP="006619B2"/>
        </w:tc>
        <w:tc>
          <w:tcPr>
            <w:tcW w:w="1913" w:type="dxa"/>
          </w:tcPr>
          <w:p w14:paraId="0E12A10B" w14:textId="77777777" w:rsidR="00160A9C" w:rsidRDefault="00160A9C" w:rsidP="006619B2"/>
        </w:tc>
        <w:tc>
          <w:tcPr>
            <w:tcW w:w="1913" w:type="dxa"/>
          </w:tcPr>
          <w:p w14:paraId="7BB8CB61" w14:textId="77777777" w:rsidR="00160A9C" w:rsidRDefault="00160A9C" w:rsidP="006619B2"/>
        </w:tc>
        <w:tc>
          <w:tcPr>
            <w:tcW w:w="1913" w:type="dxa"/>
          </w:tcPr>
          <w:p w14:paraId="7B5F44C4" w14:textId="77777777" w:rsidR="00160A9C" w:rsidRDefault="00160A9C" w:rsidP="006619B2"/>
        </w:tc>
      </w:tr>
      <w:tr w:rsidR="00160A9C" w14:paraId="0072118E" w14:textId="77777777" w:rsidTr="00160A9C">
        <w:tc>
          <w:tcPr>
            <w:tcW w:w="534" w:type="dxa"/>
          </w:tcPr>
          <w:p w14:paraId="31FA55C5" w14:textId="77777777" w:rsidR="00160A9C" w:rsidRDefault="00160A9C" w:rsidP="006619B2"/>
        </w:tc>
        <w:tc>
          <w:tcPr>
            <w:tcW w:w="3292" w:type="dxa"/>
          </w:tcPr>
          <w:p w14:paraId="6BB94785" w14:textId="77777777" w:rsidR="00160A9C" w:rsidRDefault="00160A9C" w:rsidP="006619B2"/>
        </w:tc>
        <w:tc>
          <w:tcPr>
            <w:tcW w:w="1913" w:type="dxa"/>
          </w:tcPr>
          <w:p w14:paraId="3DF9BB2B" w14:textId="77777777" w:rsidR="00160A9C" w:rsidRDefault="00160A9C" w:rsidP="006619B2"/>
        </w:tc>
        <w:tc>
          <w:tcPr>
            <w:tcW w:w="1913" w:type="dxa"/>
          </w:tcPr>
          <w:p w14:paraId="308E3238" w14:textId="77777777" w:rsidR="00160A9C" w:rsidRDefault="00160A9C" w:rsidP="006619B2"/>
        </w:tc>
        <w:tc>
          <w:tcPr>
            <w:tcW w:w="1913" w:type="dxa"/>
          </w:tcPr>
          <w:p w14:paraId="5A2960C3" w14:textId="77777777" w:rsidR="00160A9C" w:rsidRDefault="00160A9C" w:rsidP="006619B2"/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  <w:bookmarkStart w:id="70" w:name="_GoBack"/>
      <w:bookmarkEnd w:id="70"/>
    </w:p>
    <w:p w14:paraId="4297347E" w14:textId="32C4B968" w:rsidR="00202ED8" w:rsidRDefault="000549B0" w:rsidP="0020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Спостережена поведінка:</w:t>
      </w:r>
    </w:p>
    <w:p w14:paraId="791842B9" w14:textId="15C35783" w:rsid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</w:p>
    <w:p w14:paraId="5EDD28DE" w14:textId="7324542A" w:rsidR="000549B0" w:rsidRP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Шабони типу LP2-4 знаходили надзвичайно мало зв’язків, близько 20 на 6000 текстових фрагментів. Це свідчить про те, що даний метод є занадто чутливим до формульювання шаблону, а також вказує як на недостатню повноту колекції як п</w:t>
      </w:r>
      <w:r w:rsidR="005A5EBC">
        <w:rPr>
          <w:rFonts w:ascii="Times New Roman" w:hAnsi="Times New Roman" w:cs="Times New Roman"/>
          <w:sz w:val="28"/>
          <w:szCs w:val="28"/>
        </w:rPr>
        <w:t>о розміру, так і по покриттю на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A5E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ової сфери.</w:t>
      </w:r>
      <w:r w:rsidR="005A5EBC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535FD3">
        <w:rPr>
          <w:rFonts w:ascii="Times New Roman" w:hAnsi="Times New Roman" w:cs="Times New Roman"/>
          <w:sz w:val="28"/>
          <w:szCs w:val="28"/>
        </w:rPr>
        <w:t>, не можна вважати достатньо великими і повними, щоб метод шаблонів за Хеарстом спрацював.</w:t>
      </w:r>
    </w:p>
    <w:p w14:paraId="3DC5AA67" w14:textId="77777777" w:rsidR="00202ED8" w:rsidRDefault="00202ED8" w:rsidP="00202ED8"/>
    <w:p w14:paraId="79537DAC" w14:textId="77777777" w:rsidR="003967D7" w:rsidRDefault="003967D7" w:rsidP="00202ED8"/>
    <w:p w14:paraId="13091D55" w14:textId="77777777" w:rsidR="003967D7" w:rsidRDefault="003967D7" w:rsidP="00202ED8"/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59AE9063" w14:textId="77777777" w:rsidR="003967D7" w:rsidRDefault="003967D7" w:rsidP="00202ED8"/>
    <w:p w14:paraId="18E6019B" w14:textId="77777777" w:rsidR="003967D7" w:rsidRDefault="003967D7" w:rsidP="00202ED8"/>
    <w:p w14:paraId="4AD85067" w14:textId="77777777" w:rsidR="003967D7" w:rsidRDefault="003967D7" w:rsidP="00202ED8"/>
    <w:p w14:paraId="679168FD" w14:textId="77777777" w:rsidR="003967D7" w:rsidRDefault="003967D7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71" w:name="_Toc263377904"/>
      <w:bookmarkStart w:id="72" w:name="_Toc263560159"/>
      <w:r w:rsidRPr="006F284B">
        <w:t>Висновок</w:t>
      </w:r>
      <w:bookmarkEnd w:id="71"/>
      <w:bookmarkEnd w:id="72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3" w:name="h.t5y3er8wb0zy" w:colFirst="0" w:colLast="0"/>
      <w:bookmarkStart w:id="74" w:name="h.v4598ixg720i" w:colFirst="0" w:colLast="0"/>
      <w:bookmarkStart w:id="75" w:name="h.z6dgn4i58lph" w:colFirst="0" w:colLast="0"/>
      <w:bookmarkStart w:id="76" w:name="h.3wex8hphfq56" w:colFirst="0" w:colLast="0"/>
      <w:bookmarkStart w:id="77" w:name="h.319zfq4indhg" w:colFirst="0" w:colLast="0"/>
      <w:bookmarkStart w:id="78" w:name="h.4rhf2w7dtxsq" w:colFirst="0" w:colLast="0"/>
      <w:bookmarkStart w:id="79" w:name="h.iufe7aiopjkz" w:colFirst="0" w:colLast="0"/>
      <w:bookmarkStart w:id="80" w:name="h.7oiu8y37my0v" w:colFirst="0" w:colLast="0"/>
      <w:bookmarkStart w:id="81" w:name="h.c7d9e5hen6zk" w:colFirst="0" w:colLast="0"/>
      <w:bookmarkStart w:id="82" w:name="h.hfh1meew50iv" w:colFirst="0" w:colLast="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3" w:name="h.bq0bddlbgeyt" w:colFirst="0" w:colLast="0"/>
      <w:bookmarkStart w:id="84" w:name="_Toc263377905"/>
      <w:bookmarkStart w:id="85" w:name="_Toc263560160"/>
      <w:bookmarkEnd w:id="83"/>
      <w:r w:rsidRPr="006F284B">
        <w:t>Використані джерела</w:t>
      </w:r>
      <w:bookmarkEnd w:id="84"/>
      <w:bookmarkEnd w:id="85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Tutorial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r w:rsidR="006F49E5">
        <w:fldChar w:fldCharType="begin"/>
      </w:r>
      <w:r w:rsidR="006F49E5">
        <w:instrText xml:space="preserve"> HYPERLINK "http://www.w3.org/TR/2014/PR-rdf11-concepts-20140109/" \h </w:instrText>
      </w:r>
      <w:r w:rsidR="006F49E5">
        <w:fldChar w:fldCharType="separate"/>
      </w:r>
      <w:r w:rsidRPr="006F284B"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  <w:t>http://www.w3.org/TR/2014/PR-rdf11-concepts-20140109/</w:t>
      </w:r>
      <w:r w:rsidR="006F49E5"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  <w:fldChar w:fldCharType="end"/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4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5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6F49E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КОВАЛЬ, А.П.</w:t>
      </w:r>
      <w:proofErr w:type="gram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Науковий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стиль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сучасної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української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мови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:</w:t>
      </w:r>
      <w:proofErr w:type="gram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структура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наукового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тексту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Київ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Видавництво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Київського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університету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Pr="006F284B" w:rsidRDefault="00803217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26D9A85C" w14:textId="77777777" w:rsidR="006806FE" w:rsidRPr="006F284B" w:rsidRDefault="006806FE" w:rsidP="006806FE">
      <w:pPr>
        <w:pStyle w:val="1"/>
      </w:pPr>
    </w:p>
    <w:p w14:paraId="45E9E17C" w14:textId="0CCF8692" w:rsidR="0058274B" w:rsidRPr="006F284B" w:rsidRDefault="006806FE" w:rsidP="00D651DB">
      <w:pPr>
        <w:pStyle w:val="1"/>
      </w:pPr>
      <w:bookmarkStart w:id="86" w:name="_Toc263377906"/>
      <w:bookmarkStart w:id="87" w:name="_Toc263560161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6"/>
      <w:bookmarkEnd w:id="87"/>
    </w:p>
    <w:sectPr w:rsidR="0058274B" w:rsidRPr="006F284B" w:rsidSect="005259BA">
      <w:footerReference w:type="even" r:id="rId19"/>
      <w:footerReference w:type="default" r:id="rId2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4C2373" w:rsidRDefault="004C2373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4C2373" w:rsidRDefault="004C2373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4C2373" w:rsidRDefault="004C2373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4C2373" w:rsidRDefault="004C2373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4C2373" w:rsidRDefault="004C2373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D61D40">
      <w:rPr>
        <w:rStyle w:val="afb"/>
        <w:noProof/>
      </w:rPr>
      <w:t>52</w:t>
    </w:r>
    <w:r>
      <w:rPr>
        <w:rStyle w:val="afb"/>
      </w:rPr>
      <w:fldChar w:fldCharType="end"/>
    </w:r>
  </w:p>
  <w:p w14:paraId="08E28BC9" w14:textId="77777777" w:rsidR="004C2373" w:rsidRDefault="004C2373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4C2373" w:rsidRDefault="004C2373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4C2373" w:rsidRDefault="004C2373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4C2373" w:rsidRPr="002C32B2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4C2373" w:rsidRPr="00A3659D" w:rsidRDefault="004C2373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4C2373" w:rsidRPr="002B5882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4C2373" w:rsidRPr="009B6C10" w:rsidRDefault="004C2373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proofErr w:type="gramStart"/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4C2373" w:rsidRPr="00893854" w:rsidRDefault="004C2373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proofErr w:type="spellStart"/>
      <w:r w:rsidRPr="0019778C">
        <w:rPr>
          <w:rFonts w:ascii="Times New Roman" w:hAnsi="Times New Roman" w:cs="Times New Roman"/>
          <w:lang w:val="en-US"/>
        </w:rPr>
        <w:t>Schütze</w:t>
      </w:r>
      <w:proofErr w:type="spellEnd"/>
      <w:r w:rsidRPr="0019778C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19778C">
        <w:rPr>
          <w:rFonts w:ascii="Times New Roman" w:hAnsi="Times New Roman" w:cs="Times New Roman"/>
          <w:lang w:val="en-US"/>
        </w:rPr>
        <w:t>cooccurrence</w:t>
      </w:r>
      <w:proofErr w:type="spellEnd"/>
      <w:r w:rsidRPr="0019778C">
        <w:rPr>
          <w:rFonts w:ascii="Times New Roman" w:hAnsi="Times New Roman" w:cs="Times New Roman"/>
          <w:lang w:val="en-US"/>
        </w:rPr>
        <w:t>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4C2373" w:rsidRPr="0077475B" w:rsidRDefault="004C2373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 xml:space="preserve">Miller, U. (1997). "Thesaurus </w:t>
      </w:r>
      <w:proofErr w:type="gramStart"/>
      <w:r w:rsidRPr="00A02EC9">
        <w:rPr>
          <w:rFonts w:ascii="Times" w:hAnsi="Times" w:cs="Times"/>
          <w:lang w:val="en-US"/>
        </w:rPr>
        <w:t>construction :</w:t>
      </w:r>
      <w:proofErr w:type="gramEnd"/>
      <w:r w:rsidRPr="00A02EC9">
        <w:rPr>
          <w:rFonts w:ascii="Times" w:hAnsi="Times" w:cs="Times"/>
          <w:lang w:val="en-US"/>
        </w:rPr>
        <w:t xml:space="preserve">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4C2373" w:rsidRPr="0028310A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19778C">
        <w:rPr>
          <w:rFonts w:ascii="Times New Roman" w:hAnsi="Times New Roman" w:cs="Times New Roman"/>
          <w:lang w:val="en-US"/>
        </w:rPr>
        <w:t>Schütze</w:t>
      </w:r>
      <w:proofErr w:type="spellEnd"/>
      <w:r w:rsidRPr="0019778C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19778C">
        <w:rPr>
          <w:rFonts w:ascii="Times New Roman" w:hAnsi="Times New Roman" w:cs="Times New Roman"/>
          <w:lang w:val="en-US"/>
        </w:rPr>
        <w:t>cooccurrence</w:t>
      </w:r>
      <w:proofErr w:type="spellEnd"/>
      <w:r w:rsidRPr="0019778C">
        <w:rPr>
          <w:rFonts w:ascii="Times New Roman" w:hAnsi="Times New Roman" w:cs="Times New Roman"/>
          <w:lang w:val="en-US"/>
        </w:rPr>
        <w:t>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4C2373" w:rsidRPr="00CD5AA7" w:rsidRDefault="004C2373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</w:t>
      </w:r>
      <w:r w:rsidRPr="00CD5AA7">
        <w:rPr>
          <w:rFonts w:ascii="Times New Roman" w:hAnsi="Times New Roman" w:cs="Times New Roman"/>
          <w:sz w:val="22"/>
          <w:szCs w:val="22"/>
        </w:rPr>
        <w:t>http://www.w3.org/TR/rdf-primer/</w:t>
      </w:r>
    </w:p>
  </w:footnote>
  <w:footnote w:id="9">
    <w:p w14:paraId="5380B477" w14:textId="6BDF5FB5" w:rsidR="004C2373" w:rsidRPr="00613820" w:rsidRDefault="004C2373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4C2373" w:rsidRPr="00613820" w:rsidRDefault="004C2373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HATEOAS – Hypermedia as the Enginge of Application State,  http://en.wikipedia.org/wiki/HATEOAS</w:t>
      </w:r>
    </w:p>
  </w:footnote>
  <w:footnote w:id="11">
    <w:p w14:paraId="43EB6D41" w14:textId="08A138A3" w:rsidR="004C2373" w:rsidRPr="00B17BA6" w:rsidRDefault="004C2373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http://www.w3.org/TR/json-ld/#basic-concepts</w:t>
      </w:r>
    </w:p>
  </w:footnote>
  <w:footnote w:id="12">
    <w:p w14:paraId="24453AED" w14:textId="6B368EB8" w:rsidR="004C2373" w:rsidRPr="009316B2" w:rsidRDefault="004C2373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>Anderson, J. D. &amp; Pérez-</w:t>
      </w:r>
      <w:proofErr w:type="spellStart"/>
      <w:r w:rsidRPr="006F76FD">
        <w:rPr>
          <w:rFonts w:ascii="Times New Roman" w:hAnsi="Times New Roman" w:cs="Times New Roman"/>
          <w:lang w:val="en-US"/>
        </w:rPr>
        <w:t>Carballo</w:t>
      </w:r>
      <w:proofErr w:type="spellEnd"/>
      <w:r w:rsidRPr="006F76FD">
        <w:rPr>
          <w:rFonts w:ascii="Times New Roman" w:hAnsi="Times New Roman" w:cs="Times New Roman"/>
          <w:lang w:val="en-US"/>
        </w:rPr>
        <w:t xml:space="preserve">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4C2373" w:rsidRPr="00BE25E1" w:rsidRDefault="004C2373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0E5B5D">
        <w:rPr>
          <w:rFonts w:ascii="Times New Roman" w:hAnsi="Times New Roman" w:cs="Times New Roman"/>
          <w:lang w:val="en-US"/>
        </w:rPr>
        <w:t>Schütze</w:t>
      </w:r>
      <w:proofErr w:type="spellEnd"/>
      <w:r w:rsidRPr="000E5B5D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0E5B5D">
        <w:rPr>
          <w:rFonts w:ascii="Times New Roman" w:hAnsi="Times New Roman" w:cs="Times New Roman"/>
          <w:lang w:val="en-US"/>
        </w:rPr>
        <w:t>cooccurrence</w:t>
      </w:r>
      <w:proofErr w:type="spellEnd"/>
      <w:r w:rsidRPr="000E5B5D">
        <w:rPr>
          <w:rFonts w:ascii="Times New Roman" w:hAnsi="Times New Roman" w:cs="Times New Roman"/>
          <w:lang w:val="en-US"/>
        </w:rPr>
        <w:t>-based thesaurus and two applications to Information Retrieval." Information Processing and Management 33(3): 307-318.</w:t>
      </w:r>
    </w:p>
  </w:footnote>
  <w:footnote w:id="14">
    <w:p w14:paraId="3FF8F69E" w14:textId="33B3AE38" w:rsidR="004C2373" w:rsidRPr="003C0EDF" w:rsidRDefault="004C2373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 xml:space="preserve">Chen, H., T. </w:t>
      </w:r>
      <w:proofErr w:type="spellStart"/>
      <w:r w:rsidRPr="003C0EDF">
        <w:rPr>
          <w:rFonts w:ascii="Times New Roman" w:hAnsi="Times New Roman" w:cs="Times New Roman"/>
          <w:lang w:val="en-US"/>
        </w:rPr>
        <w:t>Yim</w:t>
      </w:r>
      <w:proofErr w:type="spellEnd"/>
      <w:r w:rsidRPr="003C0EDF">
        <w:rPr>
          <w:rFonts w:ascii="Times New Roman" w:hAnsi="Times New Roman" w:cs="Times New Roman"/>
          <w:lang w:val="en-US"/>
        </w:rPr>
        <w:t>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4C2373" w:rsidRPr="003C0EDF" w:rsidRDefault="004C2373">
      <w:pPr>
        <w:pStyle w:val="aff0"/>
        <w:rPr>
          <w:lang w:val="en-US"/>
        </w:rPr>
      </w:pPr>
    </w:p>
  </w:footnote>
  <w:footnote w:id="15">
    <w:p w14:paraId="60384A2B" w14:textId="7CC2D049" w:rsidR="004C2373" w:rsidRPr="00F57FBE" w:rsidRDefault="004C2373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 xml:space="preserve">Chen, H &amp; Lynch, K.J. (1992). </w:t>
      </w:r>
      <w:proofErr w:type="gramStart"/>
      <w:r w:rsidRPr="00F57FBE">
        <w:rPr>
          <w:rFonts w:ascii="Times New Roman" w:hAnsi="Times New Roman" w:cs="Times New Roman"/>
          <w:lang w:val="en-US"/>
        </w:rPr>
        <w:t>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</w:t>
      </w:r>
      <w:proofErr w:type="gramEnd"/>
      <w:r w:rsidRPr="00F57FBE">
        <w:rPr>
          <w:rFonts w:ascii="Times New Roman" w:hAnsi="Times New Roman" w:cs="Times New Roman"/>
          <w:lang w:val="en-US"/>
        </w:rPr>
        <w:t xml:space="preserve"> IEEE </w:t>
      </w:r>
      <w:proofErr w:type="spellStart"/>
      <w:r w:rsidRPr="00F57FBE">
        <w:rPr>
          <w:rFonts w:ascii="Times New Roman" w:hAnsi="Times New Roman" w:cs="Times New Roman"/>
          <w:lang w:val="en-US"/>
        </w:rPr>
        <w:t>Transacations</w:t>
      </w:r>
      <w:proofErr w:type="spellEnd"/>
      <w:r w:rsidRPr="00F57FBE">
        <w:rPr>
          <w:rFonts w:ascii="Times New Roman" w:hAnsi="Times New Roman" w:cs="Times New Roman"/>
          <w:lang w:val="en-US"/>
        </w:rPr>
        <w:t xml:space="preserve"> on Systems, Man and Cybernetics. </w:t>
      </w:r>
      <w:proofErr w:type="gramStart"/>
      <w:r w:rsidRPr="00F57FBE">
        <w:rPr>
          <w:rFonts w:ascii="Times New Roman" w:hAnsi="Times New Roman" w:cs="Times New Roman"/>
          <w:lang w:val="en-US"/>
        </w:rPr>
        <w:t>22(5), 885-902.</w:t>
      </w:r>
      <w:proofErr w:type="gramEnd"/>
    </w:p>
  </w:footnote>
  <w:footnote w:id="16">
    <w:p w14:paraId="3590B0EC" w14:textId="77777777" w:rsidR="004C2373" w:rsidRDefault="004C2373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 xml:space="preserve">Chen H., Lynch, K.J., </w:t>
      </w:r>
      <w:proofErr w:type="spellStart"/>
      <w:r w:rsidRPr="00A43BD0">
        <w:rPr>
          <w:rFonts w:ascii="Times New Roman" w:hAnsi="Times New Roman" w:cs="Times New Roman"/>
          <w:lang w:val="en-US"/>
        </w:rPr>
        <w:t>Basu</w:t>
      </w:r>
      <w:proofErr w:type="spellEnd"/>
      <w:r w:rsidRPr="00A43BD0">
        <w:rPr>
          <w:rFonts w:ascii="Times New Roman" w:hAnsi="Times New Roman" w:cs="Times New Roman"/>
          <w:lang w:val="en-US"/>
        </w:rPr>
        <w:t xml:space="preserve">, K., &amp; Ng, D.T. (1993). </w:t>
      </w:r>
      <w:proofErr w:type="gramStart"/>
      <w:r w:rsidRPr="00A43BD0">
        <w:rPr>
          <w:rFonts w:ascii="Times New Roman" w:hAnsi="Times New Roman" w:cs="Times New Roman"/>
          <w:lang w:val="en-US"/>
        </w:rPr>
        <w:t>Generating, integrating, and activating thesauri for concept-based document retrieval.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IEEE Expert. </w:t>
      </w:r>
      <w:proofErr w:type="gramStart"/>
      <w:r w:rsidRPr="00A43BD0">
        <w:rPr>
          <w:rFonts w:ascii="Times New Roman" w:hAnsi="Times New Roman" w:cs="Times New Roman"/>
          <w:lang w:val="en-US"/>
        </w:rPr>
        <w:t>Special Series on Artificial Intelligence in Text-based Information Systems.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3BD0">
        <w:rPr>
          <w:rFonts w:ascii="Times New Roman" w:hAnsi="Times New Roman" w:cs="Times New Roman"/>
          <w:lang w:val="en-US"/>
        </w:rPr>
        <w:t>8(2), 885-902.</w:t>
      </w:r>
      <w:proofErr w:type="gramEnd"/>
    </w:p>
    <w:p w14:paraId="1684656B" w14:textId="025265D9" w:rsidR="004C2373" w:rsidRPr="00A43BD0" w:rsidRDefault="004C2373">
      <w:pPr>
        <w:pStyle w:val="aff0"/>
        <w:rPr>
          <w:lang w:val="en-US"/>
        </w:rPr>
      </w:pPr>
    </w:p>
  </w:footnote>
  <w:footnote w:id="17">
    <w:p w14:paraId="6AF80D75" w14:textId="15692893" w:rsidR="004C2373" w:rsidRPr="002D63E0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4C2373" w:rsidRPr="001A58D6" w:rsidRDefault="004C2373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4C2373" w:rsidRPr="00E463B4" w:rsidRDefault="004C2373" w:rsidP="0079298C">
      <w:pPr>
        <w:pStyle w:val="aff0"/>
        <w:rPr>
          <w:lang w:val="en-US"/>
        </w:rPr>
      </w:pPr>
    </w:p>
  </w:footnote>
  <w:footnote w:id="19">
    <w:p w14:paraId="026E4BF2" w14:textId="77777777" w:rsidR="004C2373" w:rsidRPr="00DE5134" w:rsidRDefault="004C2373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4C2373" w:rsidRPr="00D37C2D" w:rsidRDefault="004C2373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4C2373" w:rsidRPr="00D111C1" w:rsidRDefault="004C2373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>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4C2373" w:rsidRPr="00EC5270" w:rsidRDefault="004C2373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</w:t>
      </w:r>
      <w:r w:rsidRPr="00AF389C">
        <w:t xml:space="preserve">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</w:t>
      </w:r>
      <w:proofErr w:type="spellStart"/>
      <w:r>
        <w:t>Votobia</w:t>
      </w:r>
      <w:proofErr w:type="spellEnd"/>
      <w:r>
        <w:t xml:space="preserve">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4C2373" w:rsidRPr="00AF4815" w:rsidRDefault="004C2373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AF4815">
        <w:rPr>
          <w:rFonts w:ascii="Times New Roman" w:hAnsi="Times New Roman" w:cs="Times New Roman"/>
          <w:lang w:val="en-US"/>
        </w:rPr>
        <w:t>Strzalkowski</w:t>
      </w:r>
      <w:proofErr w:type="spellEnd"/>
      <w:r w:rsidRPr="00AF4815">
        <w:rPr>
          <w:rFonts w:ascii="Times New Roman" w:hAnsi="Times New Roman" w:cs="Times New Roman"/>
          <w:lang w:val="en-US"/>
        </w:rPr>
        <w:t>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4C2373" w:rsidRPr="00AF4815" w:rsidRDefault="004C2373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proofErr w:type="spellStart"/>
      <w:r>
        <w:rPr>
          <w:rFonts w:ascii="Times New Roman" w:hAnsi="Times New Roman" w:cs="Times New Roman"/>
          <w:lang w:val="en-US"/>
        </w:rPr>
        <w:t>Grefenstett</w:t>
      </w:r>
      <w:proofErr w:type="spellEnd"/>
      <w:r>
        <w:rPr>
          <w:rFonts w:ascii="Times New Roman" w:hAnsi="Times New Roman" w:cs="Times New Roman"/>
          <w:lang w:val="en-US"/>
        </w:rPr>
        <w:t xml:space="preserve"> G. Automatic Thesaurus Generation from Raw Text using Knowledge-Poor Techniques, 1993, p. 2.</w:t>
      </w:r>
    </w:p>
  </w:footnote>
  <w:footnote w:id="25">
    <w:p w14:paraId="288771B9" w14:textId="704A571D" w:rsidR="004C2373" w:rsidRPr="00EB14F0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4C2373" w:rsidRPr="001F1670" w:rsidRDefault="004C2373">
      <w:pPr>
        <w:pStyle w:val="aff0"/>
      </w:pPr>
      <w:r w:rsidRPr="001F1670">
        <w:rPr>
          <w:rStyle w:val="aff2"/>
        </w:rPr>
        <w:footnoteRef/>
      </w:r>
      <w:r w:rsidRPr="001F1670">
        <w:t xml:space="preserve"> </w:t>
      </w:r>
      <w:r w:rsidRPr="001F1670">
        <w:t>Словники: мистецтво та ремесло лексикографії. Сідні І. Лендау. К.І.С, 2012, С. 173</w:t>
      </w:r>
    </w:p>
  </w:footnote>
  <w:footnote w:id="27">
    <w:p w14:paraId="6307B0DC" w14:textId="08ED4390" w:rsidR="004C2373" w:rsidRPr="00736182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4C2373" w:rsidRPr="0089780C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t xml:space="preserve">G. Adamson, 1974. The use of an association measure based on character structure to identify semantically-related pairs of words. P. 260 </w:t>
      </w:r>
    </w:p>
  </w:footnote>
  <w:footnote w:id="29">
    <w:p w14:paraId="09ECF521" w14:textId="6284A749" w:rsidR="004C2373" w:rsidRPr="008018AC" w:rsidRDefault="004C2373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«Академія»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4C2373" w:rsidRPr="00874359" w:rsidRDefault="004C2373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</w:t>
      </w:r>
      <w:r w:rsidRPr="002D5BB3">
        <w:rPr>
          <w:rFonts w:ascii="Times New Roman" w:hAnsi="Times New Roman" w:cs="Times New Roman"/>
          <w:sz w:val="24"/>
          <w:szCs w:val="24"/>
        </w:rPr>
        <w:t xml:space="preserve">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4C2373" w:rsidRPr="00290CE7" w:rsidRDefault="004C2373">
      <w:pPr>
        <w:pStyle w:val="aff0"/>
        <w:rPr>
          <w:lang w:val="en-US"/>
        </w:rPr>
      </w:pPr>
    </w:p>
  </w:footnote>
  <w:footnote w:id="31">
    <w:p w14:paraId="0CAD7D61" w14:textId="61502E00" w:rsidR="004C2373" w:rsidRPr="002A2C29" w:rsidRDefault="004C2373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4C2373" w:rsidRPr="00272137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4C2373" w:rsidRDefault="004C2373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4C2373" w:rsidRPr="004F7951" w:rsidRDefault="004C2373">
      <w:pPr>
        <w:pStyle w:val="aff0"/>
        <w:rPr>
          <w:lang w:val="en-US"/>
        </w:rPr>
      </w:pPr>
    </w:p>
  </w:footnote>
  <w:footnote w:id="34">
    <w:p w14:paraId="343E2AD7" w14:textId="77777777" w:rsidR="004C2373" w:rsidRPr="007A60FA" w:rsidRDefault="004C2373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4C2373" w:rsidRPr="00F50761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4C2373" w:rsidRPr="00615440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4C2373" w:rsidRPr="00FE01EC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4C2373" w:rsidRPr="004B31BB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4C2373" w:rsidRPr="00AD3E85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4C2373" w:rsidRPr="00F36B0F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4C2373" w:rsidRPr="003E4645" w:rsidRDefault="004C2373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618720F9" w14:textId="77777777" w:rsidR="004C2373" w:rsidRDefault="004C2373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1808D743" w14:textId="77777777" w:rsidR="004C2373" w:rsidRPr="006F284B" w:rsidRDefault="004C2373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2636E0E9" w14:textId="77777777" w:rsidR="004C2373" w:rsidRPr="00825F39" w:rsidRDefault="004C2373" w:rsidP="00FD1815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34"/>
  </w:num>
  <w:num w:numId="4">
    <w:abstractNumId w:val="6"/>
  </w:num>
  <w:num w:numId="5">
    <w:abstractNumId w:val="29"/>
  </w:num>
  <w:num w:numId="6">
    <w:abstractNumId w:val="11"/>
  </w:num>
  <w:num w:numId="7">
    <w:abstractNumId w:val="20"/>
  </w:num>
  <w:num w:numId="8">
    <w:abstractNumId w:val="9"/>
  </w:num>
  <w:num w:numId="9">
    <w:abstractNumId w:val="33"/>
  </w:num>
  <w:num w:numId="10">
    <w:abstractNumId w:val="19"/>
  </w:num>
  <w:num w:numId="11">
    <w:abstractNumId w:val="38"/>
  </w:num>
  <w:num w:numId="12">
    <w:abstractNumId w:val="36"/>
  </w:num>
  <w:num w:numId="13">
    <w:abstractNumId w:val="18"/>
  </w:num>
  <w:num w:numId="14">
    <w:abstractNumId w:val="24"/>
  </w:num>
  <w:num w:numId="15">
    <w:abstractNumId w:val="4"/>
  </w:num>
  <w:num w:numId="16">
    <w:abstractNumId w:val="31"/>
  </w:num>
  <w:num w:numId="17">
    <w:abstractNumId w:val="1"/>
  </w:num>
  <w:num w:numId="18">
    <w:abstractNumId w:val="37"/>
  </w:num>
  <w:num w:numId="19">
    <w:abstractNumId w:val="28"/>
  </w:num>
  <w:num w:numId="20">
    <w:abstractNumId w:val="39"/>
  </w:num>
  <w:num w:numId="21">
    <w:abstractNumId w:val="0"/>
  </w:num>
  <w:num w:numId="22">
    <w:abstractNumId w:val="22"/>
  </w:num>
  <w:num w:numId="23">
    <w:abstractNumId w:val="5"/>
  </w:num>
  <w:num w:numId="24">
    <w:abstractNumId w:val="14"/>
  </w:num>
  <w:num w:numId="25">
    <w:abstractNumId w:val="27"/>
  </w:num>
  <w:num w:numId="26">
    <w:abstractNumId w:val="7"/>
  </w:num>
  <w:num w:numId="27">
    <w:abstractNumId w:val="26"/>
  </w:num>
  <w:num w:numId="28">
    <w:abstractNumId w:val="32"/>
  </w:num>
  <w:num w:numId="29">
    <w:abstractNumId w:val="25"/>
  </w:num>
  <w:num w:numId="30">
    <w:abstractNumId w:val="35"/>
  </w:num>
  <w:num w:numId="31">
    <w:abstractNumId w:val="13"/>
  </w:num>
  <w:num w:numId="32">
    <w:abstractNumId w:val="3"/>
  </w:num>
  <w:num w:numId="33">
    <w:abstractNumId w:val="10"/>
  </w:num>
  <w:num w:numId="34">
    <w:abstractNumId w:val="8"/>
  </w:num>
  <w:num w:numId="35">
    <w:abstractNumId w:val="12"/>
  </w:num>
  <w:num w:numId="36">
    <w:abstractNumId w:val="15"/>
  </w:num>
  <w:num w:numId="37">
    <w:abstractNumId w:val="17"/>
  </w:num>
  <w:num w:numId="38">
    <w:abstractNumId w:val="2"/>
  </w:num>
  <w:num w:numId="39">
    <w:abstractNumId w:val="3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82A"/>
    <w:rsid w:val="00014FD3"/>
    <w:rsid w:val="00020AB0"/>
    <w:rsid w:val="00022942"/>
    <w:rsid w:val="000336CA"/>
    <w:rsid w:val="00033D45"/>
    <w:rsid w:val="000343C7"/>
    <w:rsid w:val="00040B7B"/>
    <w:rsid w:val="000428DA"/>
    <w:rsid w:val="00053A84"/>
    <w:rsid w:val="000549B0"/>
    <w:rsid w:val="00057634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D1CEF"/>
    <w:rsid w:val="000D6B9C"/>
    <w:rsid w:val="000E0E56"/>
    <w:rsid w:val="000E1BEB"/>
    <w:rsid w:val="000E24FD"/>
    <w:rsid w:val="000E303A"/>
    <w:rsid w:val="000E4B61"/>
    <w:rsid w:val="000E4EF5"/>
    <w:rsid w:val="000E5B5D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6BD3"/>
    <w:rsid w:val="0019778C"/>
    <w:rsid w:val="001A095F"/>
    <w:rsid w:val="001A253B"/>
    <w:rsid w:val="001A4358"/>
    <w:rsid w:val="001A58CF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52BF"/>
    <w:rsid w:val="001D6B22"/>
    <w:rsid w:val="001D7383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E7A67"/>
    <w:rsid w:val="001F0BBB"/>
    <w:rsid w:val="001F1670"/>
    <w:rsid w:val="001F6F39"/>
    <w:rsid w:val="00202480"/>
    <w:rsid w:val="00202ED8"/>
    <w:rsid w:val="0020573D"/>
    <w:rsid w:val="002067CB"/>
    <w:rsid w:val="0021215C"/>
    <w:rsid w:val="00215F16"/>
    <w:rsid w:val="00215F41"/>
    <w:rsid w:val="00216AF8"/>
    <w:rsid w:val="00216C66"/>
    <w:rsid w:val="002172C3"/>
    <w:rsid w:val="00217883"/>
    <w:rsid w:val="00222408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3B18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92A"/>
    <w:rsid w:val="00316DC1"/>
    <w:rsid w:val="003213EC"/>
    <w:rsid w:val="003227B6"/>
    <w:rsid w:val="00330AAB"/>
    <w:rsid w:val="00340FA3"/>
    <w:rsid w:val="00346159"/>
    <w:rsid w:val="00346820"/>
    <w:rsid w:val="0035218C"/>
    <w:rsid w:val="00353069"/>
    <w:rsid w:val="00354F24"/>
    <w:rsid w:val="00357D2B"/>
    <w:rsid w:val="003619E5"/>
    <w:rsid w:val="00362FDC"/>
    <w:rsid w:val="00363853"/>
    <w:rsid w:val="0036648B"/>
    <w:rsid w:val="00367E39"/>
    <w:rsid w:val="00370BBE"/>
    <w:rsid w:val="003751BF"/>
    <w:rsid w:val="00376CBD"/>
    <w:rsid w:val="0037780D"/>
    <w:rsid w:val="00380600"/>
    <w:rsid w:val="00382596"/>
    <w:rsid w:val="00383D42"/>
    <w:rsid w:val="003905C3"/>
    <w:rsid w:val="00391927"/>
    <w:rsid w:val="00391B6D"/>
    <w:rsid w:val="003921AE"/>
    <w:rsid w:val="003944EA"/>
    <w:rsid w:val="0039451A"/>
    <w:rsid w:val="00395EE0"/>
    <w:rsid w:val="003967D7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2922"/>
    <w:rsid w:val="003E39B0"/>
    <w:rsid w:val="003E4622"/>
    <w:rsid w:val="003E4645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57E"/>
    <w:rsid w:val="00436BAE"/>
    <w:rsid w:val="00436F54"/>
    <w:rsid w:val="004409DB"/>
    <w:rsid w:val="00440B6D"/>
    <w:rsid w:val="00442A7C"/>
    <w:rsid w:val="00446A67"/>
    <w:rsid w:val="00451E6F"/>
    <w:rsid w:val="00452A99"/>
    <w:rsid w:val="004533CE"/>
    <w:rsid w:val="004564D5"/>
    <w:rsid w:val="00457F01"/>
    <w:rsid w:val="00460C2C"/>
    <w:rsid w:val="00464BDC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C7A"/>
    <w:rsid w:val="004F6FA0"/>
    <w:rsid w:val="004F7951"/>
    <w:rsid w:val="00500C7E"/>
    <w:rsid w:val="00503FD3"/>
    <w:rsid w:val="00505FB6"/>
    <w:rsid w:val="00506047"/>
    <w:rsid w:val="00510B4C"/>
    <w:rsid w:val="0051367B"/>
    <w:rsid w:val="0051399D"/>
    <w:rsid w:val="00522B4A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301FE"/>
    <w:rsid w:val="0053319D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6DA"/>
    <w:rsid w:val="00553B31"/>
    <w:rsid w:val="00553FF5"/>
    <w:rsid w:val="00554234"/>
    <w:rsid w:val="00555D5B"/>
    <w:rsid w:val="005575FA"/>
    <w:rsid w:val="00557D15"/>
    <w:rsid w:val="0056132C"/>
    <w:rsid w:val="00561349"/>
    <w:rsid w:val="00563A54"/>
    <w:rsid w:val="00564D4D"/>
    <w:rsid w:val="00565FBC"/>
    <w:rsid w:val="00566877"/>
    <w:rsid w:val="00566D2C"/>
    <w:rsid w:val="0057283A"/>
    <w:rsid w:val="00576292"/>
    <w:rsid w:val="00577432"/>
    <w:rsid w:val="00580717"/>
    <w:rsid w:val="0058274B"/>
    <w:rsid w:val="00582EE5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820"/>
    <w:rsid w:val="00615440"/>
    <w:rsid w:val="0061692E"/>
    <w:rsid w:val="00616F12"/>
    <w:rsid w:val="00617453"/>
    <w:rsid w:val="00621357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38EC"/>
    <w:rsid w:val="0074421B"/>
    <w:rsid w:val="00745105"/>
    <w:rsid w:val="0074628C"/>
    <w:rsid w:val="00750C88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DDC"/>
    <w:rsid w:val="007B06A8"/>
    <w:rsid w:val="007B1A85"/>
    <w:rsid w:val="007B1C51"/>
    <w:rsid w:val="007B4241"/>
    <w:rsid w:val="007B4C2F"/>
    <w:rsid w:val="007B4DC7"/>
    <w:rsid w:val="007B5B7E"/>
    <w:rsid w:val="007B6991"/>
    <w:rsid w:val="007B69F9"/>
    <w:rsid w:val="007C0770"/>
    <w:rsid w:val="007C33C6"/>
    <w:rsid w:val="007C3CC2"/>
    <w:rsid w:val="007C4472"/>
    <w:rsid w:val="007C522A"/>
    <w:rsid w:val="007C5F94"/>
    <w:rsid w:val="007C6B00"/>
    <w:rsid w:val="007D06E3"/>
    <w:rsid w:val="007D1BAC"/>
    <w:rsid w:val="007D1E93"/>
    <w:rsid w:val="007D276B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E0E"/>
    <w:rsid w:val="00873C91"/>
    <w:rsid w:val="008740AC"/>
    <w:rsid w:val="00874359"/>
    <w:rsid w:val="0087551C"/>
    <w:rsid w:val="008775A6"/>
    <w:rsid w:val="00877B54"/>
    <w:rsid w:val="008802A5"/>
    <w:rsid w:val="0088051B"/>
    <w:rsid w:val="00883BDC"/>
    <w:rsid w:val="00886F63"/>
    <w:rsid w:val="008917AD"/>
    <w:rsid w:val="00891960"/>
    <w:rsid w:val="00893854"/>
    <w:rsid w:val="0089646E"/>
    <w:rsid w:val="00896880"/>
    <w:rsid w:val="0089780C"/>
    <w:rsid w:val="008A00DD"/>
    <w:rsid w:val="008A55DB"/>
    <w:rsid w:val="008A5C21"/>
    <w:rsid w:val="008A6DD1"/>
    <w:rsid w:val="008A7E9F"/>
    <w:rsid w:val="008B3831"/>
    <w:rsid w:val="008B5BD5"/>
    <w:rsid w:val="008B6746"/>
    <w:rsid w:val="008C1B71"/>
    <w:rsid w:val="008C5C69"/>
    <w:rsid w:val="008C6BA8"/>
    <w:rsid w:val="008D1155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FBD"/>
    <w:rsid w:val="0097682B"/>
    <w:rsid w:val="0098086A"/>
    <w:rsid w:val="009811D8"/>
    <w:rsid w:val="00983419"/>
    <w:rsid w:val="00985B52"/>
    <w:rsid w:val="00987168"/>
    <w:rsid w:val="00987787"/>
    <w:rsid w:val="00994127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F18CE"/>
    <w:rsid w:val="009F2F0A"/>
    <w:rsid w:val="009F3B49"/>
    <w:rsid w:val="009F6C94"/>
    <w:rsid w:val="009F6F03"/>
    <w:rsid w:val="00A002E2"/>
    <w:rsid w:val="00A006B0"/>
    <w:rsid w:val="00A01624"/>
    <w:rsid w:val="00A02EC9"/>
    <w:rsid w:val="00A06A8B"/>
    <w:rsid w:val="00A07DEB"/>
    <w:rsid w:val="00A113D7"/>
    <w:rsid w:val="00A115FE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2F47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77D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6575"/>
    <w:rsid w:val="00BF0202"/>
    <w:rsid w:val="00BF020A"/>
    <w:rsid w:val="00BF100E"/>
    <w:rsid w:val="00BF108F"/>
    <w:rsid w:val="00BF1A2A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43A1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399"/>
    <w:rsid w:val="00C45A32"/>
    <w:rsid w:val="00C51789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54A9"/>
    <w:rsid w:val="00C96982"/>
    <w:rsid w:val="00C9714D"/>
    <w:rsid w:val="00C97ABE"/>
    <w:rsid w:val="00CA23FB"/>
    <w:rsid w:val="00CA5396"/>
    <w:rsid w:val="00CB2358"/>
    <w:rsid w:val="00CB3446"/>
    <w:rsid w:val="00CB3E89"/>
    <w:rsid w:val="00CC07AC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10E3"/>
    <w:rsid w:val="00D01D97"/>
    <w:rsid w:val="00D02862"/>
    <w:rsid w:val="00D02B0E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6A6"/>
    <w:rsid w:val="00D322D4"/>
    <w:rsid w:val="00D37BF4"/>
    <w:rsid w:val="00D40822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96"/>
    <w:rsid w:val="00D57D51"/>
    <w:rsid w:val="00D61D40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5F4D"/>
    <w:rsid w:val="00DB7CE3"/>
    <w:rsid w:val="00DC108D"/>
    <w:rsid w:val="00DC535E"/>
    <w:rsid w:val="00DC6BDA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D90"/>
    <w:rsid w:val="00DE47E3"/>
    <w:rsid w:val="00DE4F32"/>
    <w:rsid w:val="00DE5874"/>
    <w:rsid w:val="00DE5B0C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5154"/>
    <w:rsid w:val="00ED596E"/>
    <w:rsid w:val="00ED6D53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883"/>
    <w:rsid w:val="00F34ECC"/>
    <w:rsid w:val="00F36B0F"/>
    <w:rsid w:val="00F374D4"/>
    <w:rsid w:val="00F401D6"/>
    <w:rsid w:val="00F41B50"/>
    <w:rsid w:val="00F43611"/>
    <w:rsid w:val="00F44439"/>
    <w:rsid w:val="00F45B6A"/>
    <w:rsid w:val="00F50761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B"/>
    <w:rsid w:val="00FB76BF"/>
    <w:rsid w:val="00FC04E0"/>
    <w:rsid w:val="00FC4182"/>
    <w:rsid w:val="00FC4A6F"/>
    <w:rsid w:val="00FC7916"/>
    <w:rsid w:val="00FC79BA"/>
    <w:rsid w:val="00FD1815"/>
    <w:rsid w:val="00FD1920"/>
    <w:rsid w:val="00FD543F"/>
    <w:rsid w:val="00FD5F7A"/>
    <w:rsid w:val="00FE01EC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wordnet.princeton.edu/" TargetMode="External"/><Relationship Id="rId15" Type="http://schemas.openxmlformats.org/officeDocument/2006/relationships/hyperlink" Target="http://www.w3.org/wiki/RdfThesaurus" TargetMode="External"/><Relationship Id="rId16" Type="http://schemas.openxmlformats.org/officeDocument/2006/relationships/hyperlink" Target="http://www.imsglobal.org/vocabularies/iso2788_relations.xml" TargetMode="External"/><Relationship Id="rId17" Type="http://schemas.openxmlformats.org/officeDocument/2006/relationships/hyperlink" Target="http://www.niso.org/schemas/iso25964/" TargetMode="External"/><Relationship Id="rId18" Type="http://schemas.openxmlformats.org/officeDocument/2006/relationships/hyperlink" Target="http://www.niso.org/schemas/iso25964/iso25964-1_v1.4.xsd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042A32-FEFA-7C48-BC1D-F39D57D8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54</Pages>
  <Words>8243</Words>
  <Characters>68421</Characters>
  <Application>Microsoft Macintosh Word</Application>
  <DocSecurity>0</DocSecurity>
  <Lines>5263</Lines>
  <Paragraphs>3333</Paragraphs>
  <ScaleCrop>false</ScaleCrop>
  <Company/>
  <LinksUpToDate>false</LinksUpToDate>
  <CharactersWithSpaces>73331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116</cp:revision>
  <cp:lastPrinted>2014-06-04T00:23:00Z</cp:lastPrinted>
  <dcterms:created xsi:type="dcterms:W3CDTF">2014-06-04T00:23:00Z</dcterms:created>
  <dcterms:modified xsi:type="dcterms:W3CDTF">2014-06-05T02:04:00Z</dcterms:modified>
</cp:coreProperties>
</file>