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6C347"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Національний університет «Києво – Могилянська академія»</w:t>
      </w:r>
    </w:p>
    <w:p w14:paraId="783E387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28"/>
          <w:lang w:val="uk-UA"/>
        </w:rPr>
        <w:t>Магістеріум факультету інформатики</w:t>
      </w:r>
    </w:p>
    <w:p w14:paraId="0608CD27" w14:textId="77777777" w:rsidR="00F23AE3" w:rsidRPr="006F284B" w:rsidRDefault="00F23AE3" w:rsidP="00F23AE3">
      <w:pPr>
        <w:pStyle w:val="normal"/>
        <w:spacing w:after="200"/>
        <w:jc w:val="center"/>
        <w:rPr>
          <w:lang w:val="uk-UA"/>
        </w:rPr>
      </w:pPr>
      <w:r w:rsidRPr="006F284B">
        <w:rPr>
          <w:noProof/>
        </w:rPr>
        <w:drawing>
          <wp:inline distT="0" distB="0" distL="0" distR="0" wp14:anchorId="087EBE91" wp14:editId="0161785A">
            <wp:extent cx="3428945" cy="2703505"/>
            <wp:effectExtent l="0" t="0" r="0" b="0"/>
            <wp:docPr id="1" name="image00.jpg" descr="C:\Documents and Settings\Katya\Рабочий стол\post-2126-1190912760_thumb.jpg"/>
            <wp:cNvGraphicFramePr/>
            <a:graphic xmlns:a="http://schemas.openxmlformats.org/drawingml/2006/main">
              <a:graphicData uri="http://schemas.openxmlformats.org/drawingml/2006/picture">
                <pic:pic xmlns:pic="http://schemas.openxmlformats.org/drawingml/2006/picture">
                  <pic:nvPicPr>
                    <pic:cNvPr id="0" name="image00.jpg" descr="C:\Documents and Settings\Katya\Рабочий стол\post-2126-1190912760_thumb.jpg"/>
                    <pic:cNvPicPr preferRelativeResize="0"/>
                  </pic:nvPicPr>
                  <pic:blipFill>
                    <a:blip r:embed="rId9"/>
                    <a:srcRect/>
                    <a:stretch>
                      <a:fillRect/>
                    </a:stretch>
                  </pic:blipFill>
                  <pic:spPr>
                    <a:xfrm>
                      <a:off x="0" y="0"/>
                      <a:ext cx="3428945" cy="2703505"/>
                    </a:xfrm>
                    <a:prstGeom prst="rect">
                      <a:avLst/>
                    </a:prstGeom>
                    <a:ln/>
                  </pic:spPr>
                </pic:pic>
              </a:graphicData>
            </a:graphic>
          </wp:inline>
        </w:drawing>
      </w:r>
    </w:p>
    <w:p w14:paraId="1AB31355"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 xml:space="preserve">Магістерська теза </w:t>
      </w:r>
    </w:p>
    <w:p w14:paraId="62F96643"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sz w:val="32"/>
          <w:lang w:val="uk-UA"/>
        </w:rPr>
        <w:t>на тему:</w:t>
      </w:r>
    </w:p>
    <w:p w14:paraId="14D515FF" w14:textId="77777777" w:rsidR="00F23AE3" w:rsidRPr="006F284B" w:rsidRDefault="00F23AE3" w:rsidP="00F23AE3">
      <w:pPr>
        <w:pStyle w:val="normal"/>
        <w:spacing w:after="200"/>
        <w:jc w:val="center"/>
        <w:rPr>
          <w:lang w:val="uk-UA"/>
        </w:rPr>
      </w:pPr>
      <w:r w:rsidRPr="006F284B">
        <w:rPr>
          <w:rFonts w:ascii="Times New Roman" w:eastAsia="Times New Roman" w:hAnsi="Times New Roman" w:cs="Times New Roman"/>
          <w:b/>
          <w:sz w:val="36"/>
          <w:lang w:val="uk-UA"/>
        </w:rPr>
        <w:t>«Розробка алгоритму ітеративної побудови термінологій в колекціях наукових текстів»</w:t>
      </w:r>
    </w:p>
    <w:p w14:paraId="4DB9A291" w14:textId="77777777" w:rsidR="00F23AE3" w:rsidRPr="006F284B" w:rsidRDefault="00F23AE3" w:rsidP="00F23AE3">
      <w:pPr>
        <w:pStyle w:val="normal"/>
        <w:spacing w:after="200"/>
        <w:jc w:val="center"/>
        <w:rPr>
          <w:lang w:val="uk-UA"/>
        </w:rPr>
      </w:pPr>
    </w:p>
    <w:p w14:paraId="659E60BA" w14:textId="77777777" w:rsidR="00F23AE3" w:rsidRPr="006F284B" w:rsidRDefault="00F23AE3" w:rsidP="00F23AE3">
      <w:pPr>
        <w:pStyle w:val="normal"/>
        <w:spacing w:after="200" w:line="240" w:lineRule="auto"/>
        <w:rPr>
          <w:lang w:val="uk-UA"/>
        </w:rPr>
      </w:pPr>
    </w:p>
    <w:p w14:paraId="07F1A76D"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Підготував:</w:t>
      </w:r>
    </w:p>
    <w:p w14:paraId="5CB0AAA2"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студент ІУСТ-2,</w:t>
      </w:r>
    </w:p>
    <w:p w14:paraId="008EDEE0"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Решетньов І.В.</w:t>
      </w:r>
    </w:p>
    <w:p w14:paraId="0408D892" w14:textId="7451711B"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i/>
          <w:sz w:val="28"/>
          <w:u w:val="single"/>
          <w:lang w:val="uk-UA"/>
        </w:rPr>
        <w:t>Науковий керівник:</w:t>
      </w:r>
    </w:p>
    <w:p w14:paraId="62691E6C" w14:textId="77777777" w:rsidR="00F23AE3" w:rsidRPr="006F284B" w:rsidRDefault="00F23AE3" w:rsidP="00F23AE3">
      <w:pPr>
        <w:pStyle w:val="normal"/>
        <w:spacing w:after="200" w:line="240" w:lineRule="auto"/>
        <w:ind w:left="6379"/>
        <w:rPr>
          <w:lang w:val="uk-UA"/>
        </w:rPr>
      </w:pPr>
      <w:r w:rsidRPr="006F284B">
        <w:rPr>
          <w:rFonts w:ascii="Times New Roman" w:eastAsia="Times New Roman" w:hAnsi="Times New Roman" w:cs="Times New Roman"/>
          <w:sz w:val="28"/>
          <w:lang w:val="uk-UA"/>
        </w:rPr>
        <w:t>А.М.Глібовець</w:t>
      </w:r>
    </w:p>
    <w:p w14:paraId="75C10236" w14:textId="77777777" w:rsidR="00F23AE3" w:rsidRPr="006F284B" w:rsidRDefault="00F23AE3" w:rsidP="00F23AE3">
      <w:pPr>
        <w:pStyle w:val="normal"/>
        <w:spacing w:after="200" w:line="240" w:lineRule="auto"/>
        <w:rPr>
          <w:lang w:val="uk-UA"/>
        </w:rPr>
      </w:pPr>
    </w:p>
    <w:p w14:paraId="3051C2A8" w14:textId="0A3BCB72" w:rsidR="00E37215" w:rsidRPr="006F284B" w:rsidRDefault="00E37215" w:rsidP="007E3575">
      <w:pPr>
        <w:rPr>
          <w:rFonts w:ascii="American Typewriter" w:hAnsi="American Typewriter"/>
          <w:sz w:val="28"/>
          <w:szCs w:val="28"/>
        </w:rPr>
      </w:pPr>
    </w:p>
    <w:p w14:paraId="68DC7CC2" w14:textId="77777777" w:rsidR="003B15EA" w:rsidRPr="006F284B" w:rsidRDefault="003B15EA" w:rsidP="007E3575">
      <w:pPr>
        <w:rPr>
          <w:rFonts w:ascii="American Typewriter" w:hAnsi="American Typewriter"/>
          <w:sz w:val="28"/>
          <w:szCs w:val="28"/>
        </w:rPr>
      </w:pPr>
    </w:p>
    <w:p w14:paraId="6DAAFCF5" w14:textId="77777777" w:rsidR="003B15EA" w:rsidRPr="006F284B" w:rsidRDefault="003B15EA" w:rsidP="007E3575">
      <w:pPr>
        <w:rPr>
          <w:rFonts w:ascii="American Typewriter" w:hAnsi="American Typewriter"/>
          <w:sz w:val="28"/>
          <w:szCs w:val="28"/>
        </w:rPr>
      </w:pPr>
    </w:p>
    <w:p w14:paraId="38E1F6B1" w14:textId="77777777" w:rsidR="003B15EA" w:rsidRPr="006F284B" w:rsidRDefault="003B15EA" w:rsidP="007E3575">
      <w:pPr>
        <w:rPr>
          <w:rFonts w:ascii="American Typewriter" w:hAnsi="American Typewriter"/>
          <w:sz w:val="28"/>
          <w:szCs w:val="28"/>
        </w:rPr>
      </w:pP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застосування алгоритмів розбору NLP (лінгвістичних аналізаторів) на реченнях і абзацах текстів, зберігання отриманих метаданих у 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ED5154">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ED5154">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ED5154">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ED5154">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ED5154">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ED5154">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ED5154">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ED5154">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ED5154">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ED5154">
        <w:rPr>
          <w:noProof/>
        </w:rPr>
        <w:t>7</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ED5154">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ED5154">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ED5154">
        <w:rPr>
          <w:noProof/>
        </w:rPr>
        <w:t>17</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ED5154">
        <w:rPr>
          <w:noProof/>
        </w:rPr>
        <w:t>17</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ED5154">
        <w:rPr>
          <w:noProof/>
        </w:rPr>
        <w:t>17</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ED5154">
        <w:rPr>
          <w:noProof/>
        </w:rPr>
        <w:t>19</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ED5154">
        <w:rPr>
          <w:noProof/>
        </w:rPr>
        <w:t>25</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ED5154">
        <w:rPr>
          <w:noProof/>
        </w:rPr>
        <w:t>25</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ED5154">
        <w:rPr>
          <w:noProof/>
        </w:rPr>
        <w:t>25</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ED5154">
        <w:rPr>
          <w:noProof/>
        </w:rPr>
        <w:t>25</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ED5154">
        <w:rPr>
          <w:noProof/>
        </w:rPr>
        <w:t>25</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ED5154">
        <w:rPr>
          <w:noProof/>
        </w:rPr>
        <w:t>25</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ED5154">
        <w:rPr>
          <w:noProof/>
        </w:rPr>
        <w:t>25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ED5154">
        <w:rPr>
          <w:noProof/>
        </w:rPr>
        <w:t>25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ED5154">
        <w:rPr>
          <w:noProof/>
        </w:rPr>
        <w:t>25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ED5154">
        <w:rPr>
          <w:noProof/>
        </w:rPr>
        <w:t>26</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ED5154">
        <w:rPr>
          <w:noProof/>
        </w:rPr>
        <w:t>27</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ED5154">
        <w:rPr>
          <w:noProof/>
        </w:rPr>
        <w:t>27</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18D847B4"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 що поєднують пов’язані між сосою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p>
    <w:p w14:paraId="01A74BCC"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Тут варто згадати експерименти, що показували, як люди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Проблема полягає у тому, що для більшості комерційних баз даних, що поширють наукову інформацію, тезауруси складаються експертами з області 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1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1">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4CE5234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 xml:space="preserve">Документарну частоту по невеликій колекції, а там паче по 1 документу, побудувати джуе важко. Набагато простіше взяти вже існуючу докумнтарну частоту терміну з пошукової системи. Як приклад було обрано пошукову систему Google, що разом з результатами звичйного пошуку завжди повертає приблизну кількість результатів. Даний показник 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інших даних. Тому в рамках окремного програмного модулю дипломної роботи було написано споживач Google Custom Search RESTful API,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0D86B914"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Кеш, як і інші дані проміжної роботи алгоритму, було вирішено зберігати в документарній базі MongoDB.</w:t>
      </w:r>
    </w:p>
    <w:p w14:paraId="0476F1C9" w14:textId="77777777" w:rsidR="006806FE" w:rsidRDefault="006806FE" w:rsidP="006B105F">
      <w:pPr>
        <w:pStyle w:val="3"/>
        <w:ind w:left="0"/>
      </w:pPr>
      <w:bookmarkStart w:id="22" w:name="h.3gh0l47gnqgi" w:colFirst="0" w:colLast="0"/>
      <w:bookmarkStart w:id="23" w:name="_Toc262896376"/>
      <w:bookmarkEnd w:id="22"/>
      <w:r w:rsidRPr="006F284B">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Слід мати на увазі те, що в кожній із галузей конкретний термін має інше семантичне значення, котре може збігатися із значенням у загальній 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DD6882">
      <w:pPr>
        <w:pStyle w:val="Bezmezer"/>
        <w:numPr>
          <w:ilvl w:val="0"/>
          <w:numId w:val="20"/>
        </w:numPr>
        <w:ind w:left="0"/>
        <w:rPr>
          <w:sz w:val="28"/>
          <w:szCs w:val="28"/>
          <w:lang w:val="uk-UA"/>
        </w:rPr>
      </w:pPr>
      <w:r w:rsidRPr="00DD6882">
        <w:rPr>
          <w:sz w:val="28"/>
          <w:szCs w:val="28"/>
          <w:lang w:val="uk-UA"/>
        </w:rPr>
        <w:t>перенесенням значення</w:t>
      </w:r>
    </w:p>
    <w:p w14:paraId="0BB1DEF9" w14:textId="59B78E0E" w:rsidR="00DD6882" w:rsidRDefault="00DD6882" w:rsidP="00DD6882">
      <w:pPr>
        <w:pStyle w:val="Bezmezer"/>
        <w:numPr>
          <w:ilvl w:val="0"/>
          <w:numId w:val="20"/>
        </w:numPr>
        <w:ind w:left="0"/>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4"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7777777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 (</w:t>
      </w:r>
      <w:r w:rsidRPr="00946EDB">
        <w:rPr>
          <w:i/>
          <w:sz w:val="28"/>
          <w:szCs w:val="28"/>
          <w:lang w:val="uk-UA"/>
        </w:rPr>
        <w:t>переклад –– М.К.</w:t>
      </w:r>
      <w:r w:rsidRPr="00946EDB">
        <w:rPr>
          <w:sz w:val="28"/>
          <w:szCs w:val="28"/>
          <w:lang w:val="uk-UA"/>
        </w:rPr>
        <w:t>).</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загальновживаних фраз, або термінологічних словосполучень, автори використали тільки модель з двослівних 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40EC8AE4"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732004">
        <w:rPr>
          <w:rFonts w:ascii="Times New Roman" w:hAnsi="Times New Roman" w:cs="Times New Roman"/>
          <w:color w:val="252525"/>
          <w:sz w:val="28"/>
          <w:szCs w:val="28"/>
        </w:rPr>
        <w:t>М. Хеарст</w:t>
      </w:r>
      <w:r w:rsidR="00C43104">
        <w:rPr>
          <w:rFonts w:ascii="Times New Roman" w:hAnsi="Times New Roman" w:cs="Times New Roman"/>
          <w:color w:val="252525"/>
          <w:sz w:val="28"/>
          <w:szCs w:val="28"/>
        </w:rPr>
        <w:t>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4EDC5226" w14:textId="77777777" w:rsidR="006806FE" w:rsidRPr="006F284B" w:rsidRDefault="006806FE" w:rsidP="006806FE">
      <w:pPr>
        <w:pStyle w:val="normal"/>
        <w:rPr>
          <w:lang w:val="uk-UA"/>
        </w:rPr>
      </w:pPr>
    </w:p>
    <w:p w14:paraId="75486021" w14:textId="77777777" w:rsidR="006806FE" w:rsidRPr="006F284B" w:rsidRDefault="006806FE" w:rsidP="006806FE">
      <w:pPr>
        <w:pStyle w:val="normal"/>
        <w:rPr>
          <w:lang w:val="uk-UA"/>
        </w:rPr>
      </w:pPr>
      <w:r w:rsidRPr="006F284B">
        <w:rPr>
          <w:lang w:val="uk-UA"/>
        </w:rPr>
        <w:t>За Gregory Grefenstette, можна вибирати тільки сполучення іменник-іменник, як варіант.</w:t>
      </w:r>
    </w:p>
    <w:p w14:paraId="749CDA81" w14:textId="77777777" w:rsidR="006806FE" w:rsidRPr="006F284B" w:rsidRDefault="006806FE" w:rsidP="006806FE">
      <w:pPr>
        <w:pStyle w:val="normal"/>
        <w:rPr>
          <w:lang w:val="uk-UA"/>
        </w:rPr>
      </w:pPr>
    </w:p>
    <w:p w14:paraId="40778545" w14:textId="77777777" w:rsidR="006806FE" w:rsidRPr="006F284B" w:rsidRDefault="006806FE" w:rsidP="006806FE">
      <w:pPr>
        <w:pStyle w:val="normal"/>
        <w:rPr>
          <w:lang w:val="uk-UA"/>
        </w:rPr>
      </w:pPr>
      <w:r w:rsidRPr="006F284B">
        <w:rPr>
          <w:lang w:val="uk-UA"/>
        </w:rPr>
        <w:t>Варто обмежетись іменниковими словосполученнями і фразами як у роботі Херста, під час пошуку і транслювання лексикографічних патернів.</w:t>
      </w:r>
    </w:p>
    <w:p w14:paraId="44406C07" w14:textId="77777777" w:rsidR="006806FE" w:rsidRPr="006F284B" w:rsidRDefault="006806FE" w:rsidP="006806FE">
      <w:pPr>
        <w:pStyle w:val="normal"/>
        <w:rPr>
          <w:lang w:val="uk-UA"/>
        </w:rPr>
      </w:pPr>
    </w:p>
    <w:p w14:paraId="767D18B7" w14:textId="77777777" w:rsidR="006806FE" w:rsidRPr="006F284B" w:rsidRDefault="006806FE" w:rsidP="006806FE">
      <w:pPr>
        <w:pStyle w:val="normal"/>
        <w:rPr>
          <w:lang w:val="uk-UA"/>
        </w:rPr>
      </w:pPr>
    </w:p>
    <w:p w14:paraId="382A0BF5" w14:textId="77777777" w:rsidR="006806FE" w:rsidRPr="006F284B" w:rsidRDefault="006806FE" w:rsidP="006806FE">
      <w:pPr>
        <w:pStyle w:val="normal"/>
        <w:rPr>
          <w:lang w:val="uk-UA"/>
        </w:rPr>
      </w:pPr>
      <w:r w:rsidRPr="006F284B">
        <w:rPr>
          <w:lang w:val="uk-UA"/>
        </w:rPr>
        <w:t>weighted Jaccard measurement</w:t>
      </w:r>
    </w:p>
    <w:p w14:paraId="40198A00" w14:textId="77777777" w:rsidR="006806FE" w:rsidRPr="006F284B" w:rsidRDefault="006806FE" w:rsidP="006806FE">
      <w:pPr>
        <w:pStyle w:val="normal"/>
        <w:rPr>
          <w:lang w:val="uk-UA"/>
        </w:rPr>
      </w:pPr>
    </w:p>
    <w:p w14:paraId="2ECFED3B" w14:textId="77777777" w:rsidR="006806FE" w:rsidRPr="006F284B" w:rsidRDefault="006806FE" w:rsidP="006806FE">
      <w:pPr>
        <w:pStyle w:val="normal"/>
        <w:rPr>
          <w:lang w:val="uk-UA"/>
        </w:rPr>
      </w:pPr>
      <w:r w:rsidRPr="006F284B">
        <w:rPr>
          <w:lang w:val="uk-UA"/>
        </w:rPr>
        <w:t>Патерни (з роботи херста)</w:t>
      </w:r>
    </w:p>
    <w:p w14:paraId="79CCB1FE" w14:textId="77777777" w:rsidR="006806FE" w:rsidRPr="006F284B" w:rsidRDefault="006806FE" w:rsidP="006806FE">
      <w:pPr>
        <w:pStyle w:val="normal"/>
        <w:rPr>
          <w:lang w:val="uk-UA"/>
        </w:rPr>
      </w:pPr>
    </w:p>
    <w:p w14:paraId="3CD55B01" w14:textId="77777777" w:rsidR="006806FE" w:rsidRPr="006F284B" w:rsidRDefault="006806FE" w:rsidP="006806FE">
      <w:pPr>
        <w:pStyle w:val="normal"/>
        <w:rPr>
          <w:lang w:val="uk-UA"/>
        </w:rPr>
      </w:pPr>
      <w:r w:rsidRPr="006F284B">
        <w:rPr>
          <w:lang w:val="uk-UA"/>
        </w:rPr>
        <w:t>such NP as {NP ,}* {(or | and)} NP</w:t>
      </w:r>
    </w:p>
    <w:p w14:paraId="60110768" w14:textId="77777777" w:rsidR="006806FE" w:rsidRPr="006F284B" w:rsidRDefault="006806FE" w:rsidP="006806FE">
      <w:pPr>
        <w:pStyle w:val="normal"/>
        <w:rPr>
          <w:lang w:val="uk-UA"/>
        </w:rPr>
      </w:pPr>
    </w:p>
    <w:p w14:paraId="08561D04" w14:textId="77777777" w:rsidR="006806FE" w:rsidRPr="006F284B" w:rsidRDefault="006806FE" w:rsidP="006806FE">
      <w:pPr>
        <w:pStyle w:val="normal"/>
        <w:rPr>
          <w:lang w:val="uk-UA"/>
        </w:rPr>
      </w:pPr>
      <w:r w:rsidRPr="006F284B">
        <w:rPr>
          <w:lang w:val="uk-UA"/>
        </w:rPr>
        <w:t>NP {, NP} * {,} or other NP</w:t>
      </w:r>
    </w:p>
    <w:p w14:paraId="6AA3DC12" w14:textId="77777777" w:rsidR="006806FE" w:rsidRPr="006F284B" w:rsidRDefault="006806FE" w:rsidP="006806FE">
      <w:pPr>
        <w:pStyle w:val="normal"/>
        <w:rPr>
          <w:lang w:val="uk-UA"/>
        </w:rPr>
      </w:pPr>
    </w:p>
    <w:p w14:paraId="2B3E9288" w14:textId="77777777" w:rsidR="006806FE" w:rsidRPr="006F284B" w:rsidRDefault="006806FE" w:rsidP="006806FE">
      <w:pPr>
        <w:pStyle w:val="normal"/>
        <w:rPr>
          <w:lang w:val="uk-UA"/>
        </w:rPr>
      </w:pPr>
      <w:r w:rsidRPr="006F284B">
        <w:rPr>
          <w:lang w:val="uk-UA"/>
        </w:rPr>
        <w:t>NP {, NP}* {,} and other NP</w:t>
      </w:r>
    </w:p>
    <w:p w14:paraId="1A8825C7" w14:textId="77777777" w:rsidR="006806FE" w:rsidRPr="006F284B" w:rsidRDefault="006806FE" w:rsidP="006806FE">
      <w:pPr>
        <w:pStyle w:val="normal"/>
        <w:rPr>
          <w:lang w:val="uk-UA"/>
        </w:rPr>
      </w:pPr>
    </w:p>
    <w:p w14:paraId="741E09DF" w14:textId="77777777" w:rsidR="006806FE" w:rsidRPr="006F284B" w:rsidRDefault="006806FE" w:rsidP="006806FE">
      <w:pPr>
        <w:pStyle w:val="normal"/>
        <w:rPr>
          <w:lang w:val="uk-UA"/>
        </w:rPr>
      </w:pPr>
      <w:r w:rsidRPr="006F284B">
        <w:rPr>
          <w:lang w:val="uk-UA"/>
        </w:rPr>
        <w:t xml:space="preserve">NP {,} (including | especially) {NP,}* {or | and} NP </w:t>
      </w:r>
    </w:p>
    <w:p w14:paraId="3F6DB443" w14:textId="77777777" w:rsidR="006806FE" w:rsidRPr="006F284B" w:rsidRDefault="006806FE" w:rsidP="006806FE">
      <w:pPr>
        <w:pStyle w:val="normal"/>
        <w:rPr>
          <w:lang w:val="uk-UA"/>
        </w:rPr>
      </w:pPr>
    </w:p>
    <w:p w14:paraId="6EA938BE" w14:textId="77777777" w:rsidR="006806FE" w:rsidRPr="006F284B" w:rsidRDefault="006806FE" w:rsidP="006806FE">
      <w:pPr>
        <w:pStyle w:val="normal"/>
        <w:rPr>
          <w:lang w:val="uk-UA"/>
        </w:rPr>
      </w:pPr>
      <w:r w:rsidRPr="006F284B">
        <w:rPr>
          <w:b/>
          <w:lang w:val="uk-UA"/>
        </w:rPr>
        <w:t>Пошук фразових іменникових словосполучень</w:t>
      </w:r>
    </w:p>
    <w:p w14:paraId="6CF2B906" w14:textId="77777777" w:rsidR="006806FE" w:rsidRPr="006F284B" w:rsidRDefault="006806FE" w:rsidP="006806FE">
      <w:pPr>
        <w:pStyle w:val="normal"/>
        <w:rPr>
          <w:lang w:val="uk-UA"/>
        </w:rPr>
      </w:pPr>
    </w:p>
    <w:p w14:paraId="36B0F984"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3E610ACE"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BE8501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0A5622C2"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2580252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401CFC64" w14:textId="09584C9E" w:rsidR="006806FE" w:rsidRPr="00D6392F" w:rsidRDefault="00C91585"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w:t>
      </w:r>
      <w:r w:rsidR="006806FE" w:rsidRPr="00D6392F">
        <w:rPr>
          <w:rFonts w:ascii="Times New Roman" w:hAnsi="Times New Roman" w:cs="Times New Roman"/>
          <w:sz w:val="28"/>
          <w:szCs w:val="28"/>
          <w:lang w:val="uk-UA"/>
        </w:rPr>
        <w:t>вого стилю на міжнародному рівні, здається  вдалою думка про локалізацію знайдених шаблонів для української мови, з доданням нових.</w:t>
      </w:r>
    </w:p>
    <w:p w14:paraId="330B51E9"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452195B"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6CA39D5C"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5BD8C270"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термінологія складається з найбільш широких зв’язків між усіма словами в реченні, потім серед іменників в реченні, потім між оточуючими ці іменники словосполученнями. </w:t>
      </w:r>
    </w:p>
    <w:p w14:paraId="25A831CF"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408B93FD"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45B916D1" w14:textId="77777777" w:rsidR="006806FE" w:rsidRPr="00D6392F" w:rsidRDefault="006806FE" w:rsidP="00D6392F">
      <w:pPr>
        <w:pStyle w:val="normal"/>
        <w:spacing w:line="360" w:lineRule="auto"/>
        <w:rPr>
          <w:rFonts w:ascii="Times New Roman" w:hAnsi="Times New Roman" w:cs="Times New Roman"/>
          <w:sz w:val="28"/>
          <w:szCs w:val="28"/>
          <w:lang w:val="uk-UA"/>
        </w:rPr>
      </w:pPr>
    </w:p>
    <w:p w14:paraId="68AD3BD2"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2B25BB6A" w14:textId="3FD6514B"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193AD4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796C03A3"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3FD48BE9"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 або інший NP</w:t>
      </w:r>
    </w:p>
    <w:p w14:paraId="580841AF"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 NP}* {,} і інші NP</w:t>
      </w:r>
    </w:p>
    <w:p w14:paraId="4FCCC0D2"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7D0E27DB" w14:textId="77777777" w:rsidR="006806FE" w:rsidRPr="00D6392F" w:rsidRDefault="006806FE" w:rsidP="00D6392F">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231BE828" w14:textId="77777777" w:rsidR="006806FE" w:rsidRPr="00D6392F" w:rsidRDefault="006806FE" w:rsidP="00D6392F">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NP є частиною NP</w:t>
      </w:r>
    </w:p>
    <w:p w14:paraId="00A61A15" w14:textId="77777777" w:rsidR="006806FE" w:rsidRPr="00D6392F" w:rsidRDefault="006806FE" w:rsidP="00D6392F">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подані шаблони розширюються синнімічними і схожими за вживанням словами в формулах шаблону. Під час співставення речень з шаблоном відбувається приведення всіх слів до нормільної форми, що дозволяє зменшити необхідну кількість варіацій шаблону. </w:t>
      </w:r>
    </w:p>
    <w:p w14:paraId="7F43390B" w14:textId="77777777" w:rsidR="006806FE" w:rsidRPr="006F284B" w:rsidRDefault="006806FE" w:rsidP="006806FE">
      <w:pPr>
        <w:pStyle w:val="normal"/>
        <w:rPr>
          <w:lang w:val="uk-UA"/>
        </w:rPr>
      </w:pPr>
    </w:p>
    <w:p w14:paraId="4EA8230E" w14:textId="77777777" w:rsidR="004A22F5" w:rsidRPr="00BA532F" w:rsidRDefault="006806FE" w:rsidP="00E66121">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50F05BA6" w14:textId="2355A296"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FF8D00A"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7751D636"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993D9DE"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819E40D" w14:textId="77777777"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44EAEB8" w14:textId="56BA3825" w:rsidR="006806FE" w:rsidRPr="00BA532F" w:rsidRDefault="006806FE" w:rsidP="00E66121">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sidR="00001DC8">
        <w:rPr>
          <w:rFonts w:ascii="Times New Roman" w:hAnsi="Times New Roman" w:cs="Times New Roman"/>
          <w:sz w:val="28"/>
          <w:szCs w:val="28"/>
          <w:lang w:val="uk-UA"/>
        </w:rPr>
        <w:t xml:space="preserve"> Тестування на тематичних колекціях</w:t>
      </w:r>
    </w:p>
    <w:p w14:paraId="0991CD8C" w14:textId="77777777" w:rsidR="006806FE" w:rsidRPr="006F284B" w:rsidRDefault="006806FE" w:rsidP="006806FE">
      <w:pPr>
        <w:pStyle w:val="normal"/>
        <w:rPr>
          <w:lang w:val="uk-UA"/>
        </w:rPr>
      </w:pPr>
    </w:p>
    <w:p w14:paraId="39871B59"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F30F49C"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p>
    <w:p w14:paraId="6424BEE4"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70BC0FD6" w14:textId="77777777" w:rsidR="006806FE" w:rsidRPr="00E66121" w:rsidRDefault="006806FE" w:rsidP="00E66121">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Таким чином для налаштування підисистеми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9B86ADE" w14:textId="77777777" w:rsidR="006806FE" w:rsidRPr="006F284B" w:rsidRDefault="006806FE" w:rsidP="006806FE">
      <w:pPr>
        <w:pStyle w:val="normal"/>
        <w:rPr>
          <w:lang w:val="uk-UA"/>
        </w:rPr>
      </w:pPr>
    </w:p>
    <w:p w14:paraId="32E8B6AB" w14:textId="77777777" w:rsidR="006806FE" w:rsidRPr="006F284B" w:rsidRDefault="006806FE" w:rsidP="006806FE">
      <w:pPr>
        <w:pStyle w:val="normal"/>
        <w:rPr>
          <w:lang w:val="uk-UA"/>
        </w:rPr>
      </w:pPr>
    </w:p>
    <w:p w14:paraId="24B486E1" w14:textId="77777777" w:rsidR="006806FE" w:rsidRPr="006F284B" w:rsidRDefault="006806FE" w:rsidP="006806FE">
      <w:pPr>
        <w:pStyle w:val="normal"/>
        <w:rPr>
          <w:lang w:val="uk-UA"/>
        </w:rPr>
      </w:pPr>
    </w:p>
    <w:p w14:paraId="3CA72787" w14:textId="77777777" w:rsidR="006806FE" w:rsidRPr="006F284B" w:rsidRDefault="006806FE" w:rsidP="006806FE">
      <w:pPr>
        <w:pStyle w:val="normal"/>
        <w:rPr>
          <w:lang w:val="uk-UA"/>
        </w:rPr>
      </w:pPr>
      <w:r w:rsidRPr="006F284B">
        <w:rPr>
          <w:lang w:val="uk-UA"/>
        </w:rPr>
        <w:t xml:space="preserve">В якості тестового словника використано </w:t>
      </w:r>
      <w:r w:rsidR="006F49E5">
        <w:fldChar w:fldCharType="begin"/>
      </w:r>
      <w:r w:rsidR="006F49E5">
        <w:instrText xml:space="preserve"> HYPERLINK "http://ipp.lp.edu.ua/Library/004/004.html" \h </w:instrText>
      </w:r>
      <w:r w:rsidR="006F49E5">
        <w:fldChar w:fldCharType="separate"/>
      </w:r>
      <w:r w:rsidRPr="006F284B">
        <w:rPr>
          <w:color w:val="1155CC"/>
          <w:u w:val="single"/>
          <w:lang w:val="uk-UA"/>
        </w:rPr>
        <w:t>http://ipp.lp.edu.ua/Library/004/004.html</w:t>
      </w:r>
      <w:r w:rsidR="006F49E5">
        <w:rPr>
          <w:color w:val="1155CC"/>
          <w:u w:val="single"/>
          <w:lang w:val="uk-UA"/>
        </w:rPr>
        <w:fldChar w:fldCharType="end"/>
      </w:r>
    </w:p>
    <w:p w14:paraId="73A42BF3"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7C36F52C" w14:textId="77777777" w:rsidR="006806FE" w:rsidRPr="006F284B" w:rsidRDefault="006806FE" w:rsidP="006806FE">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63688867" w14:textId="77777777" w:rsidR="006806FE" w:rsidRPr="006F284B" w:rsidRDefault="006806FE" w:rsidP="006806FE">
      <w:pPr>
        <w:pStyle w:val="normal"/>
        <w:rPr>
          <w:lang w:val="uk-UA"/>
        </w:rPr>
      </w:pPr>
    </w:p>
    <w:p w14:paraId="3C45B527" w14:textId="77777777" w:rsidR="006806FE" w:rsidRPr="006F284B" w:rsidRDefault="006806FE" w:rsidP="006806FE">
      <w:pPr>
        <w:pStyle w:val="normal"/>
        <w:rPr>
          <w:lang w:val="uk-UA"/>
        </w:rPr>
      </w:pPr>
    </w:p>
    <w:p w14:paraId="59437BEC" w14:textId="77777777" w:rsidR="006806FE" w:rsidRPr="006F284B" w:rsidRDefault="006806FE" w:rsidP="006806FE">
      <w:pPr>
        <w:pStyle w:val="normal"/>
        <w:rPr>
          <w:lang w:val="uk-UA"/>
        </w:rPr>
      </w:pPr>
    </w:p>
    <w:p w14:paraId="04DB082B" w14:textId="0D07FFF9" w:rsidR="006806FE" w:rsidRPr="006F284B" w:rsidRDefault="006806FE" w:rsidP="006806FE">
      <w:pPr>
        <w:pStyle w:val="normal"/>
        <w:rPr>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5FB8D71F"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TF </w:t>
      </w:r>
      <w:r w:rsidRPr="00D43F52">
        <w:rPr>
          <w:rFonts w:ascii="Wingdings" w:hAnsi="Wingdings"/>
          <w:color w:val="000000"/>
        </w:rPr>
        <w:t></w:t>
      </w:r>
      <w:r>
        <w:rPr>
          <w:rFonts w:ascii="Times New Roman" w:hAnsi="Times New Roman" w:cs="Times New Roman"/>
          <w:sz w:val="28"/>
          <w:szCs w:val="28"/>
        </w:rPr>
        <w:t xml:space="preserve"> 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тут:)</w:t>
      </w: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77777777"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TF-IDF 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1"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слів, ми обрали саме речення в 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1"/>
    </w:p>
    <w:p w14:paraId="5222022C" w14:textId="77777777" w:rsidR="006806FE" w:rsidRPr="006F284B" w:rsidRDefault="006806FE" w:rsidP="00F34ECC">
      <w:pPr>
        <w:pStyle w:val="2"/>
        <w:widowControl w:val="0"/>
        <w:spacing w:line="360" w:lineRule="auto"/>
        <w:jc w:val="both"/>
      </w:pPr>
      <w:bookmarkStart w:id="32" w:name="h.qt9biwhxrzfv" w:colFirst="0" w:colLast="0"/>
      <w:bookmarkStart w:id="33" w:name="_Toc262896381"/>
      <w:bookmarkEnd w:id="32"/>
      <w:r w:rsidRPr="006F284B">
        <w:t>2.2 Оцінка складності алгоритму</w:t>
      </w:r>
      <w:bookmarkEnd w:id="33"/>
      <w:r w:rsidRPr="006F284B">
        <w:tab/>
      </w:r>
    </w:p>
    <w:p w14:paraId="7DBA20F5" w14:textId="77777777" w:rsidR="006806FE" w:rsidRPr="006F284B" w:rsidRDefault="006806FE" w:rsidP="006806FE">
      <w:pPr>
        <w:pStyle w:val="1"/>
        <w:widowControl w:val="0"/>
        <w:spacing w:line="360" w:lineRule="auto"/>
        <w:contextualSpacing w:val="0"/>
        <w:jc w:val="both"/>
      </w:pPr>
      <w:bookmarkStart w:id="34" w:name="h.evau15qylucx" w:colFirst="0" w:colLast="0"/>
      <w:bookmarkStart w:id="35" w:name="_Toc262896382"/>
      <w:bookmarkEnd w:id="34"/>
      <w:r w:rsidRPr="006F284B">
        <w:t>Розділ III</w:t>
      </w:r>
      <w:bookmarkEnd w:id="35"/>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6" w:name="h.hdaudwmsfe87" w:colFirst="0" w:colLast="0"/>
      <w:bookmarkStart w:id="37" w:name="_Toc262896383"/>
      <w:bookmarkEnd w:id="36"/>
      <w:r w:rsidRPr="006F284B">
        <w:t>Реалізація алгоритму</w:t>
      </w:r>
      <w:bookmarkEnd w:id="37"/>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546EFC6D"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журналу Записки НаУКМА,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5"/>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77777777"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“Записки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4C99CC0C" w14:textId="6BE2FF53"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зберігається в вихідних кодах прогармної частини роботи, і має бути імпортований в нову базу на початку роботу алгоритму на новій систем</w:t>
      </w:r>
      <w:bookmarkStart w:id="38" w:name="_GoBack"/>
      <w:bookmarkEnd w:id="38"/>
      <w:r>
        <w:rPr>
          <w:rFonts w:ascii="Times New Roman" w:hAnsi="Times New Roman" w:cs="Times New Roman"/>
          <w:sz w:val="28"/>
          <w:szCs w:val="28"/>
        </w:rPr>
        <w:t xml:space="preserve">і. </w:t>
      </w:r>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5">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2. Тестування на вікіпедії. Там ми вже маємо готові зв’язки між термінами. 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6030D26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1D33B104" w14:textId="77777777" w:rsidR="00C252AA" w:rsidRDefault="00C252AA" w:rsidP="006806FE">
      <w:pPr>
        <w:pStyle w:val="1"/>
        <w:widowControl w:val="0"/>
        <w:spacing w:line="360" w:lineRule="auto"/>
        <w:contextualSpacing w:val="0"/>
        <w:jc w:val="both"/>
      </w:pPr>
      <w:bookmarkStart w:id="51" w:name="h.2pbmyh4z6mnj" w:colFirst="0" w:colLast="0"/>
      <w:bookmarkStart w:id="52" w:name="_Toc262896390"/>
      <w:bookmarkEnd w:id="51"/>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9">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20">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F03365">
      <w:footerReference w:type="even" r:id="rId21"/>
      <w:footerReference w:type="default" r:id="rId22"/>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4F7951" w:rsidRDefault="004F7951" w:rsidP="0001345A">
      <w:pPr>
        <w:spacing w:after="0" w:line="240" w:lineRule="auto"/>
      </w:pPr>
      <w:r>
        <w:separator/>
      </w:r>
    </w:p>
  </w:endnote>
  <w:endnote w:type="continuationSeparator" w:id="0">
    <w:p w14:paraId="0BB192C7" w14:textId="77777777" w:rsidR="004F7951" w:rsidRDefault="004F7951"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4F7951" w:rsidRDefault="004F7951"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4F7951" w:rsidRDefault="004F7951"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4F7951" w:rsidRDefault="004F7951"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1C3D32">
      <w:rPr>
        <w:rStyle w:val="afb"/>
        <w:noProof/>
      </w:rPr>
      <w:t>30</w:t>
    </w:r>
    <w:r>
      <w:rPr>
        <w:rStyle w:val="afb"/>
      </w:rPr>
      <w:fldChar w:fldCharType="end"/>
    </w:r>
  </w:p>
  <w:p w14:paraId="08E28BC9" w14:textId="77777777" w:rsidR="004F7951" w:rsidRDefault="004F7951"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4F7951" w:rsidRDefault="004F7951" w:rsidP="0001345A">
      <w:pPr>
        <w:spacing w:after="0" w:line="240" w:lineRule="auto"/>
      </w:pPr>
      <w:r>
        <w:separator/>
      </w:r>
    </w:p>
  </w:footnote>
  <w:footnote w:type="continuationSeparator" w:id="0">
    <w:p w14:paraId="1DA51CAE" w14:textId="77777777" w:rsidR="004F7951" w:rsidRDefault="004F7951" w:rsidP="0001345A">
      <w:pPr>
        <w:spacing w:after="0" w:line="240" w:lineRule="auto"/>
      </w:pPr>
      <w:r>
        <w:continuationSeparator/>
      </w:r>
    </w:p>
  </w:footnote>
  <w:footnote w:id="1">
    <w:p w14:paraId="6AF80D75" w14:textId="15692893" w:rsidR="004F7951" w:rsidRPr="002D63E0" w:rsidRDefault="004F7951">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4F7951" w:rsidRPr="001A58D6" w:rsidRDefault="004F7951"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4F7951" w:rsidRPr="00E463B4" w:rsidRDefault="004F7951" w:rsidP="0079298C">
      <w:pPr>
        <w:pStyle w:val="aff0"/>
        <w:rPr>
          <w:lang w:val="en-US"/>
        </w:rPr>
      </w:pPr>
    </w:p>
  </w:footnote>
  <w:footnote w:id="3">
    <w:p w14:paraId="026E4BF2" w14:textId="77777777" w:rsidR="004F7951" w:rsidRPr="00DE5134" w:rsidRDefault="004F7951"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4F7951" w:rsidRPr="00D37C2D" w:rsidRDefault="004F7951"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4F7951" w:rsidRPr="00D111C1" w:rsidRDefault="004F7951"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4F7951" w:rsidRPr="00EC5270" w:rsidRDefault="004F7951"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4F7951" w:rsidRDefault="004F7951"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4F7951" w:rsidRPr="001D2C49" w:rsidRDefault="004F7951"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8">
    <w:p w14:paraId="6D7B235B" w14:textId="67609C0A" w:rsidR="004F7951" w:rsidRPr="001D2C49" w:rsidRDefault="004F7951"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4F7951" w:rsidRPr="001D2C49" w:rsidRDefault="004F7951">
      <w:pPr>
        <w:pStyle w:val="aff0"/>
        <w:rPr>
          <w:lang w:val="en-US"/>
        </w:rPr>
      </w:pPr>
    </w:p>
  </w:footnote>
  <w:footnote w:id="9">
    <w:p w14:paraId="288771B9" w14:textId="704A571D" w:rsidR="004F7951" w:rsidRPr="00EB14F0" w:rsidRDefault="004F7951">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4F7951" w:rsidRPr="001F1670" w:rsidRDefault="004F7951">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1">
    <w:p w14:paraId="6307B0DC" w14:textId="08ED4390" w:rsidR="004F7951" w:rsidRPr="00736182" w:rsidRDefault="004F7951">
      <w:pPr>
        <w:pStyle w:val="aff0"/>
        <w:rPr>
          <w:lang w:val="en-US"/>
        </w:rPr>
      </w:pPr>
      <w:r>
        <w:rPr>
          <w:rStyle w:val="aff2"/>
        </w:rPr>
        <w:footnoteRef/>
      </w:r>
      <w:r>
        <w:t xml:space="preserve"> </w:t>
      </w:r>
    </w:p>
  </w:footnote>
  <w:footnote w:id="12">
    <w:p w14:paraId="2172DBCE" w14:textId="15EF8A79" w:rsidR="004F7951" w:rsidRPr="0089780C" w:rsidRDefault="004F7951">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3">
    <w:p w14:paraId="09ECF521" w14:textId="6284A749" w:rsidR="004F7951" w:rsidRPr="008018AC" w:rsidRDefault="004F7951"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4F7951" w:rsidRPr="00874359" w:rsidRDefault="004F7951"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4F7951" w:rsidRPr="00290CE7" w:rsidRDefault="004F7951">
      <w:pPr>
        <w:pStyle w:val="aff0"/>
        <w:rPr>
          <w:lang w:val="en-US"/>
        </w:rPr>
      </w:pPr>
    </w:p>
  </w:footnote>
  <w:footnote w:id="15">
    <w:p w14:paraId="6816E2BA" w14:textId="112BD7FE" w:rsidR="004F7951" w:rsidRDefault="004F7951">
      <w:pPr>
        <w:pStyle w:val="aff0"/>
      </w:pPr>
      <w:r>
        <w:rPr>
          <w:rStyle w:val="aff2"/>
        </w:rPr>
        <w:footnoteRef/>
      </w:r>
      <w:r>
        <w:t xml:space="preserve"> </w:t>
      </w:r>
      <w:hyperlink r:id="rId2" w:history="1">
        <w:r w:rsidR="00BB7455" w:rsidRPr="005E2DDE">
          <w:rPr>
            <w:rStyle w:val="afe"/>
          </w:rPr>
          <w:t>http://nz.ukma.edu.ua/index.php?option=com_content&amp;task=section&amp;id=10&amp;Itemid=47</w:t>
        </w:r>
      </w:hyperlink>
      <w:r w:rsidR="00BB7455">
        <w:t xml:space="preserve"> і </w:t>
      </w:r>
      <w:hyperlink r:id="rId3" w:history="1">
        <w:r w:rsidR="00BB7455" w:rsidRPr="005E2DDE">
          <w:rPr>
            <w:rStyle w:val="afe"/>
          </w:rPr>
          <w:t>http://www.ekmair.ukma.kiev.ua/</w:t>
        </w:r>
      </w:hyperlink>
    </w:p>
    <w:p w14:paraId="255F20B9" w14:textId="77777777" w:rsidR="00BB7455" w:rsidRPr="004F7951" w:rsidRDefault="00BB7455">
      <w:pPr>
        <w:pStyle w:val="aff0"/>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9">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7">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8"/>
  </w:num>
  <w:num w:numId="2">
    <w:abstractNumId w:val="12"/>
  </w:num>
  <w:num w:numId="3">
    <w:abstractNumId w:val="20"/>
  </w:num>
  <w:num w:numId="4">
    <w:abstractNumId w:val="4"/>
  </w:num>
  <w:num w:numId="5">
    <w:abstractNumId w:val="17"/>
  </w:num>
  <w:num w:numId="6">
    <w:abstractNumId w:val="6"/>
  </w:num>
  <w:num w:numId="7">
    <w:abstractNumId w:val="11"/>
  </w:num>
  <w:num w:numId="8">
    <w:abstractNumId w:val="5"/>
  </w:num>
  <w:num w:numId="9">
    <w:abstractNumId w:val="19"/>
  </w:num>
  <w:num w:numId="10">
    <w:abstractNumId w:val="10"/>
  </w:num>
  <w:num w:numId="11">
    <w:abstractNumId w:val="23"/>
  </w:num>
  <w:num w:numId="12">
    <w:abstractNumId w:val="21"/>
  </w:num>
  <w:num w:numId="13">
    <w:abstractNumId w:val="9"/>
  </w:num>
  <w:num w:numId="14">
    <w:abstractNumId w:val="14"/>
  </w:num>
  <w:num w:numId="15">
    <w:abstractNumId w:val="2"/>
  </w:num>
  <w:num w:numId="16">
    <w:abstractNumId w:val="18"/>
  </w:num>
  <w:num w:numId="17">
    <w:abstractNumId w:val="1"/>
  </w:num>
  <w:num w:numId="18">
    <w:abstractNumId w:val="22"/>
  </w:num>
  <w:num w:numId="19">
    <w:abstractNumId w:val="16"/>
  </w:num>
  <w:num w:numId="20">
    <w:abstractNumId w:val="24"/>
  </w:num>
  <w:num w:numId="21">
    <w:abstractNumId w:val="0"/>
  </w:num>
  <w:num w:numId="22">
    <w:abstractNumId w:val="13"/>
  </w:num>
  <w:num w:numId="23">
    <w:abstractNumId w:val="3"/>
  </w:num>
  <w:num w:numId="24">
    <w:abstractNumId w:val="7"/>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69B"/>
    <w:rsid w:val="00011B02"/>
    <w:rsid w:val="00011C8D"/>
    <w:rsid w:val="0001345A"/>
    <w:rsid w:val="00020AB0"/>
    <w:rsid w:val="00022942"/>
    <w:rsid w:val="00057634"/>
    <w:rsid w:val="0006475B"/>
    <w:rsid w:val="00072CAF"/>
    <w:rsid w:val="00076700"/>
    <w:rsid w:val="000834D1"/>
    <w:rsid w:val="00093C28"/>
    <w:rsid w:val="00094D9D"/>
    <w:rsid w:val="000A236E"/>
    <w:rsid w:val="000A5B38"/>
    <w:rsid w:val="000B37B0"/>
    <w:rsid w:val="000B44D3"/>
    <w:rsid w:val="000C245C"/>
    <w:rsid w:val="000D1CEF"/>
    <w:rsid w:val="000E0E56"/>
    <w:rsid w:val="000E4EF5"/>
    <w:rsid w:val="000F0C7A"/>
    <w:rsid w:val="0010123C"/>
    <w:rsid w:val="00106FFC"/>
    <w:rsid w:val="001200B6"/>
    <w:rsid w:val="00127F5C"/>
    <w:rsid w:val="00134107"/>
    <w:rsid w:val="00137A6A"/>
    <w:rsid w:val="00146E53"/>
    <w:rsid w:val="00150776"/>
    <w:rsid w:val="00151E43"/>
    <w:rsid w:val="001705E8"/>
    <w:rsid w:val="00180AD8"/>
    <w:rsid w:val="001829E0"/>
    <w:rsid w:val="001842C5"/>
    <w:rsid w:val="00185C2F"/>
    <w:rsid w:val="001906EC"/>
    <w:rsid w:val="00193678"/>
    <w:rsid w:val="001948B3"/>
    <w:rsid w:val="00196BD3"/>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32888"/>
    <w:rsid w:val="00232A29"/>
    <w:rsid w:val="00240F6A"/>
    <w:rsid w:val="00243B18"/>
    <w:rsid w:val="00246A81"/>
    <w:rsid w:val="0024711A"/>
    <w:rsid w:val="00251098"/>
    <w:rsid w:val="002511B0"/>
    <w:rsid w:val="00254FFD"/>
    <w:rsid w:val="00280E0A"/>
    <w:rsid w:val="00282B27"/>
    <w:rsid w:val="0028361E"/>
    <w:rsid w:val="00290CE7"/>
    <w:rsid w:val="002958A2"/>
    <w:rsid w:val="00296A9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6A2F"/>
    <w:rsid w:val="003D0D63"/>
    <w:rsid w:val="003D564B"/>
    <w:rsid w:val="003E39B0"/>
    <w:rsid w:val="003F2F4E"/>
    <w:rsid w:val="004014E9"/>
    <w:rsid w:val="004032F1"/>
    <w:rsid w:val="00411D5D"/>
    <w:rsid w:val="004144AE"/>
    <w:rsid w:val="00414B02"/>
    <w:rsid w:val="00421492"/>
    <w:rsid w:val="00422671"/>
    <w:rsid w:val="00431BD8"/>
    <w:rsid w:val="004344E1"/>
    <w:rsid w:val="00435CD6"/>
    <w:rsid w:val="004360E7"/>
    <w:rsid w:val="004409DB"/>
    <w:rsid w:val="00452A99"/>
    <w:rsid w:val="00460C2C"/>
    <w:rsid w:val="00464BDC"/>
    <w:rsid w:val="004665B9"/>
    <w:rsid w:val="00466FFD"/>
    <w:rsid w:val="00475065"/>
    <w:rsid w:val="004760CA"/>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22B4A"/>
    <w:rsid w:val="00526244"/>
    <w:rsid w:val="00526951"/>
    <w:rsid w:val="00526A81"/>
    <w:rsid w:val="005301FE"/>
    <w:rsid w:val="0053319D"/>
    <w:rsid w:val="00537970"/>
    <w:rsid w:val="005448DD"/>
    <w:rsid w:val="00555D5B"/>
    <w:rsid w:val="005575FA"/>
    <w:rsid w:val="00557D15"/>
    <w:rsid w:val="00576292"/>
    <w:rsid w:val="0058274B"/>
    <w:rsid w:val="00583142"/>
    <w:rsid w:val="0058760F"/>
    <w:rsid w:val="00590082"/>
    <w:rsid w:val="00596B5F"/>
    <w:rsid w:val="005B095A"/>
    <w:rsid w:val="005B6277"/>
    <w:rsid w:val="005C60BF"/>
    <w:rsid w:val="005D25ED"/>
    <w:rsid w:val="005E0BF5"/>
    <w:rsid w:val="005F795B"/>
    <w:rsid w:val="0060017B"/>
    <w:rsid w:val="00603209"/>
    <w:rsid w:val="00603D3F"/>
    <w:rsid w:val="006040AF"/>
    <w:rsid w:val="006107CC"/>
    <w:rsid w:val="006117E0"/>
    <w:rsid w:val="00616F12"/>
    <w:rsid w:val="00621357"/>
    <w:rsid w:val="00624EDA"/>
    <w:rsid w:val="0063696B"/>
    <w:rsid w:val="0063720A"/>
    <w:rsid w:val="00642F4C"/>
    <w:rsid w:val="00650DD3"/>
    <w:rsid w:val="00661AEF"/>
    <w:rsid w:val="00677BCF"/>
    <w:rsid w:val="006806FE"/>
    <w:rsid w:val="00690B7B"/>
    <w:rsid w:val="006918F2"/>
    <w:rsid w:val="006976AC"/>
    <w:rsid w:val="006B105F"/>
    <w:rsid w:val="006B560F"/>
    <w:rsid w:val="006B6CA4"/>
    <w:rsid w:val="006C2DF6"/>
    <w:rsid w:val="006C31B8"/>
    <w:rsid w:val="006D3D55"/>
    <w:rsid w:val="006E4D4C"/>
    <w:rsid w:val="006F284B"/>
    <w:rsid w:val="006F49E5"/>
    <w:rsid w:val="0071179D"/>
    <w:rsid w:val="007264B8"/>
    <w:rsid w:val="00731EC2"/>
    <w:rsid w:val="00732004"/>
    <w:rsid w:val="00732079"/>
    <w:rsid w:val="00736182"/>
    <w:rsid w:val="0074421B"/>
    <w:rsid w:val="00745105"/>
    <w:rsid w:val="0074628C"/>
    <w:rsid w:val="00750C88"/>
    <w:rsid w:val="0076036F"/>
    <w:rsid w:val="00764366"/>
    <w:rsid w:val="007658C7"/>
    <w:rsid w:val="00773BD3"/>
    <w:rsid w:val="007763FC"/>
    <w:rsid w:val="00776754"/>
    <w:rsid w:val="00781127"/>
    <w:rsid w:val="00784544"/>
    <w:rsid w:val="00785873"/>
    <w:rsid w:val="007865C7"/>
    <w:rsid w:val="0079237A"/>
    <w:rsid w:val="0079298C"/>
    <w:rsid w:val="00795A2A"/>
    <w:rsid w:val="00795B61"/>
    <w:rsid w:val="007A136F"/>
    <w:rsid w:val="007A7872"/>
    <w:rsid w:val="007C0770"/>
    <w:rsid w:val="007C33C6"/>
    <w:rsid w:val="007C3CC2"/>
    <w:rsid w:val="007C6B00"/>
    <w:rsid w:val="007D1BAC"/>
    <w:rsid w:val="007D4BC1"/>
    <w:rsid w:val="007D5DE4"/>
    <w:rsid w:val="007D6706"/>
    <w:rsid w:val="007D69AC"/>
    <w:rsid w:val="007E1AB3"/>
    <w:rsid w:val="007E3575"/>
    <w:rsid w:val="007E5B36"/>
    <w:rsid w:val="007F790C"/>
    <w:rsid w:val="008018AC"/>
    <w:rsid w:val="00803217"/>
    <w:rsid w:val="00812678"/>
    <w:rsid w:val="00813161"/>
    <w:rsid w:val="00816295"/>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D6DAD"/>
    <w:rsid w:val="008E0C3D"/>
    <w:rsid w:val="008E5A79"/>
    <w:rsid w:val="008F0726"/>
    <w:rsid w:val="008F1195"/>
    <w:rsid w:val="008F7FB7"/>
    <w:rsid w:val="00900759"/>
    <w:rsid w:val="00913A4E"/>
    <w:rsid w:val="00923F88"/>
    <w:rsid w:val="009256A6"/>
    <w:rsid w:val="00934609"/>
    <w:rsid w:val="0093731F"/>
    <w:rsid w:val="00946873"/>
    <w:rsid w:val="00946EDB"/>
    <w:rsid w:val="00950D15"/>
    <w:rsid w:val="00951A15"/>
    <w:rsid w:val="00961489"/>
    <w:rsid w:val="009620DC"/>
    <w:rsid w:val="00967FBD"/>
    <w:rsid w:val="0097682B"/>
    <w:rsid w:val="00987168"/>
    <w:rsid w:val="00996C1F"/>
    <w:rsid w:val="009A1AE3"/>
    <w:rsid w:val="009A798A"/>
    <w:rsid w:val="009B7DAE"/>
    <w:rsid w:val="009C67D9"/>
    <w:rsid w:val="009C72E2"/>
    <w:rsid w:val="009E087B"/>
    <w:rsid w:val="009E2165"/>
    <w:rsid w:val="009F18CE"/>
    <w:rsid w:val="009F6C94"/>
    <w:rsid w:val="00A002E2"/>
    <w:rsid w:val="00A07DEB"/>
    <w:rsid w:val="00A14804"/>
    <w:rsid w:val="00A1732B"/>
    <w:rsid w:val="00A208CE"/>
    <w:rsid w:val="00A3320E"/>
    <w:rsid w:val="00A37159"/>
    <w:rsid w:val="00A37EA6"/>
    <w:rsid w:val="00A446BB"/>
    <w:rsid w:val="00A5449F"/>
    <w:rsid w:val="00A54D6B"/>
    <w:rsid w:val="00A554D1"/>
    <w:rsid w:val="00A60C3A"/>
    <w:rsid w:val="00A65E08"/>
    <w:rsid w:val="00A72CB0"/>
    <w:rsid w:val="00A72FE5"/>
    <w:rsid w:val="00A80F6C"/>
    <w:rsid w:val="00A8204E"/>
    <w:rsid w:val="00A82BE7"/>
    <w:rsid w:val="00A839BE"/>
    <w:rsid w:val="00A9198D"/>
    <w:rsid w:val="00AA63F9"/>
    <w:rsid w:val="00AB0103"/>
    <w:rsid w:val="00AB6B49"/>
    <w:rsid w:val="00AB74D1"/>
    <w:rsid w:val="00AD5A57"/>
    <w:rsid w:val="00AE566B"/>
    <w:rsid w:val="00AF0944"/>
    <w:rsid w:val="00AF39C6"/>
    <w:rsid w:val="00B05B99"/>
    <w:rsid w:val="00B12694"/>
    <w:rsid w:val="00B12DE9"/>
    <w:rsid w:val="00B14764"/>
    <w:rsid w:val="00B22BCB"/>
    <w:rsid w:val="00B23086"/>
    <w:rsid w:val="00B26636"/>
    <w:rsid w:val="00B27E84"/>
    <w:rsid w:val="00B30CB7"/>
    <w:rsid w:val="00B33064"/>
    <w:rsid w:val="00B3677D"/>
    <w:rsid w:val="00B42F95"/>
    <w:rsid w:val="00B566AD"/>
    <w:rsid w:val="00B60876"/>
    <w:rsid w:val="00B72AA0"/>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23219"/>
    <w:rsid w:val="00C252AA"/>
    <w:rsid w:val="00C31585"/>
    <w:rsid w:val="00C41B84"/>
    <w:rsid w:val="00C43104"/>
    <w:rsid w:val="00C43B48"/>
    <w:rsid w:val="00C51789"/>
    <w:rsid w:val="00C8113D"/>
    <w:rsid w:val="00C856B2"/>
    <w:rsid w:val="00C90EE7"/>
    <w:rsid w:val="00C91585"/>
    <w:rsid w:val="00C94BAB"/>
    <w:rsid w:val="00C954A9"/>
    <w:rsid w:val="00CA5396"/>
    <w:rsid w:val="00CC423B"/>
    <w:rsid w:val="00CC70F6"/>
    <w:rsid w:val="00CD539B"/>
    <w:rsid w:val="00CE0DEA"/>
    <w:rsid w:val="00CE3BDC"/>
    <w:rsid w:val="00CE6A9F"/>
    <w:rsid w:val="00CF4DCA"/>
    <w:rsid w:val="00D02862"/>
    <w:rsid w:val="00D15F67"/>
    <w:rsid w:val="00D17439"/>
    <w:rsid w:val="00D22B07"/>
    <w:rsid w:val="00D30352"/>
    <w:rsid w:val="00D322D4"/>
    <w:rsid w:val="00D37BF4"/>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6882"/>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7AB4"/>
    <w:rsid w:val="00EB14F0"/>
    <w:rsid w:val="00EB1E97"/>
    <w:rsid w:val="00EB4562"/>
    <w:rsid w:val="00EB4B24"/>
    <w:rsid w:val="00EB58D0"/>
    <w:rsid w:val="00EB7E27"/>
    <w:rsid w:val="00EC3D40"/>
    <w:rsid w:val="00EC6AC1"/>
    <w:rsid w:val="00ED5154"/>
    <w:rsid w:val="00ED596E"/>
    <w:rsid w:val="00EF42AC"/>
    <w:rsid w:val="00EF4CDE"/>
    <w:rsid w:val="00EF5565"/>
    <w:rsid w:val="00F03365"/>
    <w:rsid w:val="00F05249"/>
    <w:rsid w:val="00F1204B"/>
    <w:rsid w:val="00F23AE3"/>
    <w:rsid w:val="00F33883"/>
    <w:rsid w:val="00F34ECC"/>
    <w:rsid w:val="00F401D6"/>
    <w:rsid w:val="00F53D2A"/>
    <w:rsid w:val="00F637C1"/>
    <w:rsid w:val="00F66510"/>
    <w:rsid w:val="00F72AD6"/>
    <w:rsid w:val="00F75943"/>
    <w:rsid w:val="00F81DD1"/>
    <w:rsid w:val="00F82F43"/>
    <w:rsid w:val="00F8588C"/>
    <w:rsid w:val="00F858A2"/>
    <w:rsid w:val="00F86F76"/>
    <w:rsid w:val="00F87169"/>
    <w:rsid w:val="00F927E0"/>
    <w:rsid w:val="00FB093D"/>
    <w:rsid w:val="00FB201A"/>
    <w:rsid w:val="00FC04E0"/>
    <w:rsid w:val="00FC4182"/>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ww.niso.org/schemas/iso25964/iso25964-1_v1.4.xsd"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niso.org/schemas/iso25964/iso25964-1_v1.4.xsd" TargetMode="External"/><Relationship Id="rId11" Type="http://schemas.openxmlformats.org/officeDocument/2006/relationships/hyperlink" Target="http://json-ld.org/playground/"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uk.wikipedia.org/wiki/%D0%93%D1%80%D0%B5%D1%86%D1%8C%D0%BA%D0%B0_%D0%BC%D0%BE%D0%B2%D0%B0" TargetMode="External"/><Relationship Id="rId15" Type="http://schemas.openxmlformats.org/officeDocument/2006/relationships/hyperlink" Target="http://bits-and-kites.blogspot.com/2014/01/spring-mongodb-tutorial.html" TargetMode="External"/><Relationship Id="rId16" Type="http://schemas.openxmlformats.org/officeDocument/2006/relationships/hyperlink" Target="http://wordnet.princeton.edu/" TargetMode="External"/><Relationship Id="rId17" Type="http://schemas.openxmlformats.org/officeDocument/2006/relationships/hyperlink" Target="http://www.w3.org/wiki/RdfThesaurus" TargetMode="External"/><Relationship Id="rId18" Type="http://schemas.openxmlformats.org/officeDocument/2006/relationships/hyperlink" Target="http://www.imsglobal.org/vocabularies/iso2788_relations.xml" TargetMode="External"/><Relationship Id="rId19" Type="http://schemas.openxmlformats.org/officeDocument/2006/relationships/hyperlink" Target="http://www.niso.org/schemas/iso2596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A2416-7F65-754D-8F79-7ED46C58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34</Pages>
  <Words>5437</Words>
  <Characters>45129</Characters>
  <Application>Microsoft Macintosh Word</Application>
  <DocSecurity>0</DocSecurity>
  <Lines>3471</Lines>
  <Paragraphs>2198</Paragraphs>
  <ScaleCrop>false</ScaleCrop>
  <Company/>
  <LinksUpToDate>false</LinksUpToDate>
  <CharactersWithSpaces>48368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498</cp:revision>
  <dcterms:created xsi:type="dcterms:W3CDTF">2014-05-28T08:37:00Z</dcterms:created>
  <dcterms:modified xsi:type="dcterms:W3CDTF">2014-06-01T07:30:00Z</dcterms:modified>
</cp:coreProperties>
</file>