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4"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40EC8AE4"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732004">
        <w:rPr>
          <w:rFonts w:ascii="Times New Roman" w:hAnsi="Times New Roman" w:cs="Times New Roman"/>
          <w:color w:val="252525"/>
          <w:sz w:val="28"/>
          <w:szCs w:val="28"/>
        </w:rPr>
        <w:t>М. Хеарст</w:t>
      </w:r>
      <w:r w:rsidR="00C43104">
        <w:rPr>
          <w:rFonts w:ascii="Times New Roman" w:hAnsi="Times New Roman" w:cs="Times New Roman"/>
          <w:color w:val="252525"/>
          <w:sz w:val="28"/>
          <w:szCs w:val="28"/>
        </w:rPr>
        <w:t>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56BA3825"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sidR="00001DC8">
        <w:rPr>
          <w:rFonts w:ascii="Times New Roman" w:hAnsi="Times New Roman" w:cs="Times New Roman"/>
          <w:sz w:val="28"/>
          <w:szCs w:val="28"/>
          <w:lang w:val="uk-UA"/>
        </w:rPr>
        <w:t xml:space="preserve"> Тестування на тематичних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r w:rsidR="006F49E5">
        <w:fldChar w:fldCharType="begin"/>
      </w:r>
      <w:r w:rsidR="006F49E5">
        <w:instrText xml:space="preserve"> HYPERLINK "http://ipp.lp.edu.ua/Library/004/004.html" \h </w:instrText>
      </w:r>
      <w:r w:rsidR="006F49E5">
        <w:fldChar w:fldCharType="separate"/>
      </w:r>
      <w:r w:rsidRPr="006F284B">
        <w:rPr>
          <w:color w:val="1155CC"/>
          <w:u w:val="single"/>
          <w:lang w:val="uk-UA"/>
        </w:rPr>
        <w:t>http://ipp.lp.edu.ua/Library/004/004.html</w:t>
      </w:r>
      <w:r w:rsidR="006F49E5">
        <w:rPr>
          <w:color w:val="1155CC"/>
          <w:u w:val="single"/>
          <w:lang w:val="uk-UA"/>
        </w:rPr>
        <w:fldChar w:fldCharType="end"/>
      </w:r>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1"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1"/>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2896381"/>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2896382"/>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2896383"/>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5"/>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45E97FDE"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дампі нараховується близько 156000 термінів.</w:t>
      </w:r>
      <w:bookmarkStart w:id="38" w:name="_GoBack"/>
      <w:bookmarkEnd w:id="38"/>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5">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1D33B104" w14:textId="77777777" w:rsidR="00C252AA" w:rsidRDefault="00C252AA" w:rsidP="006806FE">
      <w:pPr>
        <w:pStyle w:val="1"/>
        <w:widowControl w:val="0"/>
        <w:spacing w:line="360" w:lineRule="auto"/>
        <w:contextualSpacing w:val="0"/>
        <w:jc w:val="both"/>
      </w:pPr>
      <w:bookmarkStart w:id="51" w:name="h.2pbmyh4z6mnj" w:colFirst="0" w:colLast="0"/>
      <w:bookmarkStart w:id="52" w:name="_Toc262896390"/>
      <w:bookmarkEnd w:id="51"/>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1"/>
      <w:footerReference w:type="default" r:id="rId2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BC6DA0" w:rsidRDefault="00BC6DA0" w:rsidP="0001345A">
      <w:pPr>
        <w:spacing w:after="0" w:line="240" w:lineRule="auto"/>
      </w:pPr>
      <w:r>
        <w:separator/>
      </w:r>
    </w:p>
  </w:endnote>
  <w:endnote w:type="continuationSeparator" w:id="0">
    <w:p w14:paraId="0BB192C7" w14:textId="77777777" w:rsidR="00BC6DA0" w:rsidRDefault="00BC6DA0"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BC6DA0" w:rsidRDefault="00BC6DA0"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BC6DA0" w:rsidRDefault="00BC6DA0"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BC6DA0" w:rsidRDefault="00BC6DA0"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C269C7">
      <w:rPr>
        <w:rStyle w:val="afb"/>
        <w:noProof/>
      </w:rPr>
      <w:t>31</w:t>
    </w:r>
    <w:r>
      <w:rPr>
        <w:rStyle w:val="afb"/>
      </w:rPr>
      <w:fldChar w:fldCharType="end"/>
    </w:r>
  </w:p>
  <w:p w14:paraId="08E28BC9" w14:textId="77777777" w:rsidR="00BC6DA0" w:rsidRDefault="00BC6DA0"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BC6DA0" w:rsidRDefault="00BC6DA0" w:rsidP="0001345A">
      <w:pPr>
        <w:spacing w:after="0" w:line="240" w:lineRule="auto"/>
      </w:pPr>
      <w:r>
        <w:separator/>
      </w:r>
    </w:p>
  </w:footnote>
  <w:footnote w:type="continuationSeparator" w:id="0">
    <w:p w14:paraId="1DA51CAE" w14:textId="77777777" w:rsidR="00BC6DA0" w:rsidRDefault="00BC6DA0" w:rsidP="0001345A">
      <w:pPr>
        <w:spacing w:after="0" w:line="240" w:lineRule="auto"/>
      </w:pPr>
      <w:r>
        <w:continuationSeparator/>
      </w:r>
    </w:p>
  </w:footnote>
  <w:footnote w:id="1">
    <w:p w14:paraId="6AF80D75" w14:textId="15692893" w:rsidR="00BC6DA0" w:rsidRPr="002D63E0" w:rsidRDefault="00BC6DA0">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BC6DA0" w:rsidRPr="001A58D6" w:rsidRDefault="00BC6DA0"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BC6DA0" w:rsidRPr="00E463B4" w:rsidRDefault="00BC6DA0" w:rsidP="0079298C">
      <w:pPr>
        <w:pStyle w:val="aff0"/>
        <w:rPr>
          <w:lang w:val="en-US"/>
        </w:rPr>
      </w:pPr>
    </w:p>
  </w:footnote>
  <w:footnote w:id="3">
    <w:p w14:paraId="026E4BF2" w14:textId="77777777" w:rsidR="00BC6DA0" w:rsidRPr="00DE5134" w:rsidRDefault="00BC6DA0"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BC6DA0" w:rsidRPr="00D37C2D" w:rsidRDefault="00BC6DA0"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BC6DA0" w:rsidRPr="00D111C1" w:rsidRDefault="00BC6DA0"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BC6DA0" w:rsidRPr="00EC5270" w:rsidRDefault="00BC6DA0"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BC6DA0" w:rsidRDefault="00BC6DA0"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BC6DA0" w:rsidRPr="001D2C49" w:rsidRDefault="00BC6DA0"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8">
    <w:p w14:paraId="6D7B235B" w14:textId="67609C0A" w:rsidR="00BC6DA0" w:rsidRPr="001D2C49" w:rsidRDefault="00BC6DA0"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BC6DA0" w:rsidRPr="001D2C49" w:rsidRDefault="00BC6DA0">
      <w:pPr>
        <w:pStyle w:val="aff0"/>
        <w:rPr>
          <w:lang w:val="en-US"/>
        </w:rPr>
      </w:pPr>
    </w:p>
  </w:footnote>
  <w:footnote w:id="9">
    <w:p w14:paraId="288771B9" w14:textId="704A571D" w:rsidR="00BC6DA0" w:rsidRPr="00EB14F0" w:rsidRDefault="00BC6DA0">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BC6DA0" w:rsidRPr="001F1670" w:rsidRDefault="00BC6DA0">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1">
    <w:p w14:paraId="6307B0DC" w14:textId="08ED4390" w:rsidR="00BC6DA0" w:rsidRPr="00736182" w:rsidRDefault="00BC6DA0">
      <w:pPr>
        <w:pStyle w:val="aff0"/>
        <w:rPr>
          <w:lang w:val="en-US"/>
        </w:rPr>
      </w:pPr>
      <w:r>
        <w:rPr>
          <w:rStyle w:val="aff2"/>
        </w:rPr>
        <w:footnoteRef/>
      </w:r>
      <w:r>
        <w:t xml:space="preserve"> </w:t>
      </w:r>
    </w:p>
  </w:footnote>
  <w:footnote w:id="12">
    <w:p w14:paraId="2172DBCE" w14:textId="15EF8A79" w:rsidR="00BC6DA0" w:rsidRPr="0089780C" w:rsidRDefault="00BC6DA0">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3">
    <w:p w14:paraId="09ECF521" w14:textId="6284A749" w:rsidR="00BC6DA0" w:rsidRPr="008018AC" w:rsidRDefault="00BC6DA0"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BC6DA0" w:rsidRPr="00874359" w:rsidRDefault="00BC6DA0"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BC6DA0" w:rsidRPr="00290CE7" w:rsidRDefault="00BC6DA0">
      <w:pPr>
        <w:pStyle w:val="aff0"/>
        <w:rPr>
          <w:lang w:val="en-US"/>
        </w:rPr>
      </w:pPr>
    </w:p>
  </w:footnote>
  <w:footnote w:id="15">
    <w:p w14:paraId="6816E2BA" w14:textId="112BD7FE" w:rsidR="00BC6DA0" w:rsidRDefault="00BC6DA0">
      <w:pPr>
        <w:pStyle w:val="aff0"/>
      </w:pPr>
      <w:r>
        <w:rPr>
          <w:rStyle w:val="aff2"/>
        </w:rPr>
        <w:footnoteRef/>
      </w:r>
      <w:r>
        <w:t xml:space="preserve"> </w:t>
      </w:r>
      <w:hyperlink r:id="rId2" w:history="1">
        <w:r w:rsidRPr="005E2DDE">
          <w:rPr>
            <w:rStyle w:val="afe"/>
          </w:rPr>
          <w:t>http://nz.ukma.edu.ua/index.php?option=com_content&amp;task=section&amp;id=10&amp;Itemid=47</w:t>
        </w:r>
      </w:hyperlink>
      <w:r>
        <w:t xml:space="preserve"> і </w:t>
      </w:r>
      <w:hyperlink r:id="rId3" w:history="1">
        <w:r w:rsidRPr="005E2DDE">
          <w:rPr>
            <w:rStyle w:val="afe"/>
          </w:rPr>
          <w:t>http://www.ekmair.ukma.kiev.ua/</w:t>
        </w:r>
      </w:hyperlink>
    </w:p>
    <w:p w14:paraId="255F20B9" w14:textId="77777777" w:rsidR="00BC6DA0" w:rsidRPr="004F7951" w:rsidRDefault="00BC6DA0">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9">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8"/>
  </w:num>
  <w:num w:numId="2">
    <w:abstractNumId w:val="12"/>
  </w:num>
  <w:num w:numId="3">
    <w:abstractNumId w:val="20"/>
  </w:num>
  <w:num w:numId="4">
    <w:abstractNumId w:val="4"/>
  </w:num>
  <w:num w:numId="5">
    <w:abstractNumId w:val="17"/>
  </w:num>
  <w:num w:numId="6">
    <w:abstractNumId w:val="6"/>
  </w:num>
  <w:num w:numId="7">
    <w:abstractNumId w:val="11"/>
  </w:num>
  <w:num w:numId="8">
    <w:abstractNumId w:val="5"/>
  </w:num>
  <w:num w:numId="9">
    <w:abstractNumId w:val="19"/>
  </w:num>
  <w:num w:numId="10">
    <w:abstractNumId w:val="10"/>
  </w:num>
  <w:num w:numId="11">
    <w:abstractNumId w:val="23"/>
  </w:num>
  <w:num w:numId="12">
    <w:abstractNumId w:val="21"/>
  </w:num>
  <w:num w:numId="13">
    <w:abstractNumId w:val="9"/>
  </w:num>
  <w:num w:numId="14">
    <w:abstractNumId w:val="14"/>
  </w:num>
  <w:num w:numId="15">
    <w:abstractNumId w:val="2"/>
  </w:num>
  <w:num w:numId="16">
    <w:abstractNumId w:val="18"/>
  </w:num>
  <w:num w:numId="17">
    <w:abstractNumId w:val="1"/>
  </w:num>
  <w:num w:numId="18">
    <w:abstractNumId w:val="22"/>
  </w:num>
  <w:num w:numId="19">
    <w:abstractNumId w:val="16"/>
  </w:num>
  <w:num w:numId="20">
    <w:abstractNumId w:val="24"/>
  </w:num>
  <w:num w:numId="21">
    <w:abstractNumId w:val="0"/>
  </w:num>
  <w:num w:numId="22">
    <w:abstractNumId w:val="13"/>
  </w:num>
  <w:num w:numId="23">
    <w:abstractNumId w:val="3"/>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69B"/>
    <w:rsid w:val="00011B02"/>
    <w:rsid w:val="00011C8D"/>
    <w:rsid w:val="0001345A"/>
    <w:rsid w:val="00020AB0"/>
    <w:rsid w:val="00022942"/>
    <w:rsid w:val="00057634"/>
    <w:rsid w:val="0006475B"/>
    <w:rsid w:val="00072CAF"/>
    <w:rsid w:val="00076700"/>
    <w:rsid w:val="000834D1"/>
    <w:rsid w:val="00093C28"/>
    <w:rsid w:val="00094D9D"/>
    <w:rsid w:val="000A236E"/>
    <w:rsid w:val="000A5B38"/>
    <w:rsid w:val="000B37B0"/>
    <w:rsid w:val="000B44D3"/>
    <w:rsid w:val="000C245C"/>
    <w:rsid w:val="000D1CEF"/>
    <w:rsid w:val="000E0E56"/>
    <w:rsid w:val="000E4EF5"/>
    <w:rsid w:val="000F0C7A"/>
    <w:rsid w:val="0010123C"/>
    <w:rsid w:val="00106FFC"/>
    <w:rsid w:val="001200B6"/>
    <w:rsid w:val="00127F5C"/>
    <w:rsid w:val="00134107"/>
    <w:rsid w:val="00137A6A"/>
    <w:rsid w:val="00146E53"/>
    <w:rsid w:val="00150776"/>
    <w:rsid w:val="00151E43"/>
    <w:rsid w:val="001705E8"/>
    <w:rsid w:val="00180AD8"/>
    <w:rsid w:val="001829E0"/>
    <w:rsid w:val="001842C5"/>
    <w:rsid w:val="00185C2F"/>
    <w:rsid w:val="001906EC"/>
    <w:rsid w:val="00193678"/>
    <w:rsid w:val="001948B3"/>
    <w:rsid w:val="00196BD3"/>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32888"/>
    <w:rsid w:val="00232A29"/>
    <w:rsid w:val="00240F6A"/>
    <w:rsid w:val="00243B18"/>
    <w:rsid w:val="00246A81"/>
    <w:rsid w:val="0024711A"/>
    <w:rsid w:val="00251098"/>
    <w:rsid w:val="002511B0"/>
    <w:rsid w:val="00254FFD"/>
    <w:rsid w:val="00280E0A"/>
    <w:rsid w:val="00282B27"/>
    <w:rsid w:val="0028361E"/>
    <w:rsid w:val="00290CE7"/>
    <w:rsid w:val="002958A2"/>
    <w:rsid w:val="00296A9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2BD9"/>
    <w:rsid w:val="003C6A2F"/>
    <w:rsid w:val="003D0D63"/>
    <w:rsid w:val="003D564B"/>
    <w:rsid w:val="003E39B0"/>
    <w:rsid w:val="003F2F4E"/>
    <w:rsid w:val="004014E9"/>
    <w:rsid w:val="004032F1"/>
    <w:rsid w:val="004048D3"/>
    <w:rsid w:val="00411D5D"/>
    <w:rsid w:val="004144AE"/>
    <w:rsid w:val="00414B02"/>
    <w:rsid w:val="00421492"/>
    <w:rsid w:val="00422671"/>
    <w:rsid w:val="00431BD8"/>
    <w:rsid w:val="004344E1"/>
    <w:rsid w:val="00435CD6"/>
    <w:rsid w:val="004360E7"/>
    <w:rsid w:val="004409DB"/>
    <w:rsid w:val="00452A99"/>
    <w:rsid w:val="00460C2C"/>
    <w:rsid w:val="00464BDC"/>
    <w:rsid w:val="004665B9"/>
    <w:rsid w:val="00466FFD"/>
    <w:rsid w:val="00475065"/>
    <w:rsid w:val="004760CA"/>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22B4A"/>
    <w:rsid w:val="00526244"/>
    <w:rsid w:val="00526951"/>
    <w:rsid w:val="00526A81"/>
    <w:rsid w:val="005301FE"/>
    <w:rsid w:val="0053319D"/>
    <w:rsid w:val="00537970"/>
    <w:rsid w:val="005448DD"/>
    <w:rsid w:val="00555D5B"/>
    <w:rsid w:val="005575FA"/>
    <w:rsid w:val="00557D15"/>
    <w:rsid w:val="00576292"/>
    <w:rsid w:val="0058274B"/>
    <w:rsid w:val="00583142"/>
    <w:rsid w:val="0058760F"/>
    <w:rsid w:val="00590082"/>
    <w:rsid w:val="00596B5F"/>
    <w:rsid w:val="005B095A"/>
    <w:rsid w:val="005B6277"/>
    <w:rsid w:val="005B65B7"/>
    <w:rsid w:val="005C60BF"/>
    <w:rsid w:val="005D25ED"/>
    <w:rsid w:val="005E0BF5"/>
    <w:rsid w:val="005F795B"/>
    <w:rsid w:val="0060017B"/>
    <w:rsid w:val="00603209"/>
    <w:rsid w:val="00603D3F"/>
    <w:rsid w:val="006040AF"/>
    <w:rsid w:val="006107CC"/>
    <w:rsid w:val="006117E0"/>
    <w:rsid w:val="00616F12"/>
    <w:rsid w:val="00621357"/>
    <w:rsid w:val="00624EDA"/>
    <w:rsid w:val="0063696B"/>
    <w:rsid w:val="0063720A"/>
    <w:rsid w:val="00642F4C"/>
    <w:rsid w:val="00650DD3"/>
    <w:rsid w:val="00661AEF"/>
    <w:rsid w:val="00677BCF"/>
    <w:rsid w:val="006806FE"/>
    <w:rsid w:val="00690B7B"/>
    <w:rsid w:val="006918F2"/>
    <w:rsid w:val="006976AC"/>
    <w:rsid w:val="006B105F"/>
    <w:rsid w:val="006B560F"/>
    <w:rsid w:val="006B6CA4"/>
    <w:rsid w:val="006C2DF6"/>
    <w:rsid w:val="006C31B8"/>
    <w:rsid w:val="006D3D55"/>
    <w:rsid w:val="006E4D4C"/>
    <w:rsid w:val="006F284B"/>
    <w:rsid w:val="006F49E5"/>
    <w:rsid w:val="0071179D"/>
    <w:rsid w:val="007264B8"/>
    <w:rsid w:val="00731EC2"/>
    <w:rsid w:val="00732004"/>
    <w:rsid w:val="00732079"/>
    <w:rsid w:val="00736182"/>
    <w:rsid w:val="0074421B"/>
    <w:rsid w:val="00745105"/>
    <w:rsid w:val="0074628C"/>
    <w:rsid w:val="00750C88"/>
    <w:rsid w:val="0076036F"/>
    <w:rsid w:val="00764366"/>
    <w:rsid w:val="007658C7"/>
    <w:rsid w:val="00773BD3"/>
    <w:rsid w:val="007763FC"/>
    <w:rsid w:val="00776754"/>
    <w:rsid w:val="00781127"/>
    <w:rsid w:val="00784544"/>
    <w:rsid w:val="00785873"/>
    <w:rsid w:val="007865C7"/>
    <w:rsid w:val="0079237A"/>
    <w:rsid w:val="0079298C"/>
    <w:rsid w:val="00795A2A"/>
    <w:rsid w:val="00795B61"/>
    <w:rsid w:val="00795E7B"/>
    <w:rsid w:val="007A136F"/>
    <w:rsid w:val="007A7872"/>
    <w:rsid w:val="007C0770"/>
    <w:rsid w:val="007C33C6"/>
    <w:rsid w:val="007C3CC2"/>
    <w:rsid w:val="007C4472"/>
    <w:rsid w:val="007C6B00"/>
    <w:rsid w:val="007D1BAC"/>
    <w:rsid w:val="007D4BC1"/>
    <w:rsid w:val="007D5DE4"/>
    <w:rsid w:val="007D6706"/>
    <w:rsid w:val="007D69AC"/>
    <w:rsid w:val="007E1AB3"/>
    <w:rsid w:val="007E3575"/>
    <w:rsid w:val="007E5B36"/>
    <w:rsid w:val="007F790C"/>
    <w:rsid w:val="008018AC"/>
    <w:rsid w:val="00803217"/>
    <w:rsid w:val="00812678"/>
    <w:rsid w:val="00813161"/>
    <w:rsid w:val="00816295"/>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D6DAD"/>
    <w:rsid w:val="008D7DB3"/>
    <w:rsid w:val="008E0C3D"/>
    <w:rsid w:val="008E5A79"/>
    <w:rsid w:val="008F0726"/>
    <w:rsid w:val="008F1195"/>
    <w:rsid w:val="008F7FB7"/>
    <w:rsid w:val="00900759"/>
    <w:rsid w:val="00913A4E"/>
    <w:rsid w:val="00923F88"/>
    <w:rsid w:val="009256A6"/>
    <w:rsid w:val="00934609"/>
    <w:rsid w:val="0093731F"/>
    <w:rsid w:val="00946873"/>
    <w:rsid w:val="00946EDB"/>
    <w:rsid w:val="00950D15"/>
    <w:rsid w:val="00951A15"/>
    <w:rsid w:val="00961489"/>
    <w:rsid w:val="009620DC"/>
    <w:rsid w:val="00967FBD"/>
    <w:rsid w:val="0097682B"/>
    <w:rsid w:val="00987168"/>
    <w:rsid w:val="00996C1F"/>
    <w:rsid w:val="009A1AE3"/>
    <w:rsid w:val="009A665B"/>
    <w:rsid w:val="009A798A"/>
    <w:rsid w:val="009B7DAE"/>
    <w:rsid w:val="009C67D9"/>
    <w:rsid w:val="009C72E2"/>
    <w:rsid w:val="009E087B"/>
    <w:rsid w:val="009E2165"/>
    <w:rsid w:val="009F18CE"/>
    <w:rsid w:val="009F6C94"/>
    <w:rsid w:val="00A002E2"/>
    <w:rsid w:val="00A07DEB"/>
    <w:rsid w:val="00A14804"/>
    <w:rsid w:val="00A1732B"/>
    <w:rsid w:val="00A208CE"/>
    <w:rsid w:val="00A3320E"/>
    <w:rsid w:val="00A37159"/>
    <w:rsid w:val="00A37EA6"/>
    <w:rsid w:val="00A446BB"/>
    <w:rsid w:val="00A5449F"/>
    <w:rsid w:val="00A54D6B"/>
    <w:rsid w:val="00A554D1"/>
    <w:rsid w:val="00A60C3A"/>
    <w:rsid w:val="00A65E08"/>
    <w:rsid w:val="00A72CB0"/>
    <w:rsid w:val="00A72FE5"/>
    <w:rsid w:val="00A80F6C"/>
    <w:rsid w:val="00A8204E"/>
    <w:rsid w:val="00A82BE7"/>
    <w:rsid w:val="00A839BE"/>
    <w:rsid w:val="00A9198D"/>
    <w:rsid w:val="00A93338"/>
    <w:rsid w:val="00AA63F9"/>
    <w:rsid w:val="00AB0103"/>
    <w:rsid w:val="00AB6B49"/>
    <w:rsid w:val="00AB74D1"/>
    <w:rsid w:val="00AD5A57"/>
    <w:rsid w:val="00AE566B"/>
    <w:rsid w:val="00AF0944"/>
    <w:rsid w:val="00AF39C6"/>
    <w:rsid w:val="00B05B99"/>
    <w:rsid w:val="00B12694"/>
    <w:rsid w:val="00B12DE9"/>
    <w:rsid w:val="00B14764"/>
    <w:rsid w:val="00B22BCB"/>
    <w:rsid w:val="00B23086"/>
    <w:rsid w:val="00B26636"/>
    <w:rsid w:val="00B27E84"/>
    <w:rsid w:val="00B30CB7"/>
    <w:rsid w:val="00B33064"/>
    <w:rsid w:val="00B3677D"/>
    <w:rsid w:val="00B42F95"/>
    <w:rsid w:val="00B566AD"/>
    <w:rsid w:val="00B60876"/>
    <w:rsid w:val="00B72AA0"/>
    <w:rsid w:val="00B7372C"/>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C6DA0"/>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23219"/>
    <w:rsid w:val="00C252AA"/>
    <w:rsid w:val="00C269C7"/>
    <w:rsid w:val="00C31585"/>
    <w:rsid w:val="00C41B84"/>
    <w:rsid w:val="00C43104"/>
    <w:rsid w:val="00C43B48"/>
    <w:rsid w:val="00C51789"/>
    <w:rsid w:val="00C8113D"/>
    <w:rsid w:val="00C856B2"/>
    <w:rsid w:val="00C90EE7"/>
    <w:rsid w:val="00C91585"/>
    <w:rsid w:val="00C94BAB"/>
    <w:rsid w:val="00C954A9"/>
    <w:rsid w:val="00CA5396"/>
    <w:rsid w:val="00CC423B"/>
    <w:rsid w:val="00CC70F6"/>
    <w:rsid w:val="00CD539B"/>
    <w:rsid w:val="00CE0DEA"/>
    <w:rsid w:val="00CE3BDC"/>
    <w:rsid w:val="00CE5A8C"/>
    <w:rsid w:val="00CE6A9F"/>
    <w:rsid w:val="00CF4DCA"/>
    <w:rsid w:val="00D02862"/>
    <w:rsid w:val="00D15F67"/>
    <w:rsid w:val="00D17439"/>
    <w:rsid w:val="00D22B07"/>
    <w:rsid w:val="00D30352"/>
    <w:rsid w:val="00D322D4"/>
    <w:rsid w:val="00D37BF4"/>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6882"/>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7AB4"/>
    <w:rsid w:val="00EB14F0"/>
    <w:rsid w:val="00EB1E97"/>
    <w:rsid w:val="00EB4562"/>
    <w:rsid w:val="00EB4B24"/>
    <w:rsid w:val="00EB58D0"/>
    <w:rsid w:val="00EB7E27"/>
    <w:rsid w:val="00EC3D40"/>
    <w:rsid w:val="00EC6AC1"/>
    <w:rsid w:val="00ED5154"/>
    <w:rsid w:val="00ED596E"/>
    <w:rsid w:val="00EF42AC"/>
    <w:rsid w:val="00EF4CDE"/>
    <w:rsid w:val="00EF5565"/>
    <w:rsid w:val="00F03365"/>
    <w:rsid w:val="00F05249"/>
    <w:rsid w:val="00F1204B"/>
    <w:rsid w:val="00F23AE3"/>
    <w:rsid w:val="00F33883"/>
    <w:rsid w:val="00F34ECC"/>
    <w:rsid w:val="00F401D6"/>
    <w:rsid w:val="00F53D2A"/>
    <w:rsid w:val="00F637C1"/>
    <w:rsid w:val="00F66510"/>
    <w:rsid w:val="00F72AD6"/>
    <w:rsid w:val="00F75943"/>
    <w:rsid w:val="00F81DD1"/>
    <w:rsid w:val="00F82F43"/>
    <w:rsid w:val="00F8588C"/>
    <w:rsid w:val="00F858A2"/>
    <w:rsid w:val="00F86F76"/>
    <w:rsid w:val="00F87169"/>
    <w:rsid w:val="00F927E0"/>
    <w:rsid w:val="00FB093D"/>
    <w:rsid w:val="00FB201A"/>
    <w:rsid w:val="00FC04E0"/>
    <w:rsid w:val="00FC4182"/>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niso.org/schemas/iso25964/iso25964-1_v1.4.xs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bits-and-kites.blogspot.com/2014/01/spring-mongodb-tutorial.html" TargetMode="External"/><Relationship Id="rId16" Type="http://schemas.openxmlformats.org/officeDocument/2006/relationships/hyperlink" Target="http://wordnet.princeton.edu/" TargetMode="External"/><Relationship Id="rId17" Type="http://schemas.openxmlformats.org/officeDocument/2006/relationships/hyperlink" Target="http://www.w3.org/wiki/RdfThesaurus" TargetMode="External"/><Relationship Id="rId18" Type="http://schemas.openxmlformats.org/officeDocument/2006/relationships/hyperlink" Target="http://www.imsglobal.org/vocabularies/iso2788_relations.xml" TargetMode="External"/><Relationship Id="rId19" Type="http://schemas.openxmlformats.org/officeDocument/2006/relationships/hyperlink" Target="http://www.niso.org/schemas/iso2596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49D5-7089-594E-B100-449017BE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35</Pages>
  <Words>5473</Words>
  <Characters>45430</Characters>
  <Application>Microsoft Macintosh Word</Application>
  <DocSecurity>0</DocSecurity>
  <Lines>3494</Lines>
  <Paragraphs>2213</Paragraphs>
  <ScaleCrop>false</ScaleCrop>
  <Company/>
  <LinksUpToDate>false</LinksUpToDate>
  <CharactersWithSpaces>48690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512</cp:revision>
  <dcterms:created xsi:type="dcterms:W3CDTF">2014-05-28T08:37:00Z</dcterms:created>
  <dcterms:modified xsi:type="dcterms:W3CDTF">2014-06-01T15:41:00Z</dcterms:modified>
</cp:coreProperties>
</file>