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03AE9D" w14:textId="4E949A2C" w:rsidR="00934862" w:rsidRPr="00EC2D81" w:rsidRDefault="00934862">
      <w:pPr>
        <w:rPr>
          <w:rFonts w:ascii="Times New Roman" w:hAnsi="Times New Roman" w:cs="Times New Roman"/>
          <w:sz w:val="24"/>
          <w:szCs w:val="24"/>
        </w:rPr>
      </w:pPr>
      <w:bookmarkStart w:id="0" w:name="_GoBack"/>
      <w:bookmarkEnd w:id="0"/>
      <w:r w:rsidRPr="00EC2D81">
        <w:rPr>
          <w:rFonts w:ascii="Times New Roman" w:hAnsi="Times New Roman" w:cs="Times New Roman"/>
          <w:sz w:val="24"/>
          <w:szCs w:val="24"/>
        </w:rPr>
        <w:t>Seeds of Corruption: The Intersection of Organized Crime and the Agriculture Industry</w:t>
      </w:r>
    </w:p>
    <w:p w14:paraId="7796BCAD" w14:textId="77777777" w:rsidR="008F45C9" w:rsidRPr="00EC2D81" w:rsidRDefault="008F45C9">
      <w:pPr>
        <w:rPr>
          <w:rFonts w:ascii="Times New Roman" w:hAnsi="Times New Roman" w:cs="Times New Roman"/>
          <w:sz w:val="24"/>
          <w:szCs w:val="24"/>
        </w:rPr>
      </w:pPr>
    </w:p>
    <w:p w14:paraId="75A0D14E" w14:textId="4F85CC2F" w:rsidR="00A57B70" w:rsidRPr="00EC2D81" w:rsidRDefault="00A57B70" w:rsidP="001A26E6">
      <w:pPr>
        <w:spacing w:after="0" w:line="240" w:lineRule="auto"/>
        <w:ind w:firstLine="720"/>
        <w:jc w:val="both"/>
        <w:rPr>
          <w:rFonts w:ascii="Times New Roman" w:eastAsia="Times New Roman" w:hAnsi="Times New Roman" w:cs="Times New Roman"/>
          <w:sz w:val="24"/>
          <w:szCs w:val="24"/>
        </w:rPr>
      </w:pPr>
      <w:r w:rsidRPr="00EC2D81">
        <w:rPr>
          <w:rFonts w:ascii="Times New Roman" w:eastAsia="Times New Roman" w:hAnsi="Times New Roman" w:cs="Times New Roman"/>
          <w:sz w:val="24"/>
          <w:szCs w:val="24"/>
        </w:rPr>
        <w:t xml:space="preserve">The food and beverage industry are one of the largest sectors of the global economy. It is often considered </w:t>
      </w:r>
      <w:r w:rsidR="00C760CE" w:rsidRPr="00EC2D81">
        <w:rPr>
          <w:rFonts w:ascii="Times New Roman" w:eastAsia="Times New Roman" w:hAnsi="Times New Roman" w:cs="Times New Roman"/>
          <w:sz w:val="24"/>
          <w:szCs w:val="24"/>
        </w:rPr>
        <w:t xml:space="preserve">to bring in a greater </w:t>
      </w:r>
      <w:r w:rsidRPr="00EC2D81">
        <w:rPr>
          <w:rFonts w:ascii="Times New Roman" w:eastAsia="Times New Roman" w:hAnsi="Times New Roman" w:cs="Times New Roman"/>
          <w:sz w:val="24"/>
          <w:szCs w:val="24"/>
        </w:rPr>
        <w:t xml:space="preserve">revenue </w:t>
      </w:r>
      <w:r w:rsidR="00C760CE" w:rsidRPr="00EC2D81">
        <w:rPr>
          <w:rFonts w:ascii="Times New Roman" w:eastAsia="Times New Roman" w:hAnsi="Times New Roman" w:cs="Times New Roman"/>
          <w:sz w:val="24"/>
          <w:szCs w:val="24"/>
        </w:rPr>
        <w:t xml:space="preserve">than </w:t>
      </w:r>
      <w:r w:rsidRPr="00EC2D81">
        <w:rPr>
          <w:rFonts w:ascii="Times New Roman" w:eastAsia="Times New Roman" w:hAnsi="Times New Roman" w:cs="Times New Roman"/>
          <w:sz w:val="24"/>
          <w:szCs w:val="24"/>
        </w:rPr>
        <w:t>even the automobile and pharmaceutical industries. This </w:t>
      </w:r>
      <w:r w:rsidRPr="00EC2D81">
        <w:rPr>
          <w:rStyle w:val="FootnoteReference"/>
          <w:rFonts w:ascii="Times New Roman" w:eastAsia="Times New Roman" w:hAnsi="Times New Roman" w:cs="Times New Roman"/>
          <w:sz w:val="24"/>
          <w:szCs w:val="24"/>
        </w:rPr>
        <w:footnoteReference w:id="1"/>
      </w:r>
      <w:r w:rsidRPr="00EC2D81">
        <w:rPr>
          <w:rFonts w:ascii="Times New Roman" w:eastAsia="Times New Roman" w:hAnsi="Times New Roman" w:cs="Times New Roman"/>
          <w:sz w:val="24"/>
          <w:szCs w:val="24"/>
        </w:rPr>
        <w:t xml:space="preserve">market has grown strongly in recent years, ‘from $6576.96 billion in 2023 to $7000.88 billion in 2024.’ </w:t>
      </w:r>
      <w:r w:rsidR="00C760CE" w:rsidRPr="00EC2D81">
        <w:rPr>
          <w:rFonts w:ascii="Times New Roman" w:eastAsia="Times New Roman" w:hAnsi="Times New Roman" w:cs="Times New Roman"/>
          <w:sz w:val="24"/>
          <w:szCs w:val="24"/>
        </w:rPr>
        <w:t>Likewise</w:t>
      </w:r>
      <w:r w:rsidRPr="00EC2D81">
        <w:rPr>
          <w:rFonts w:ascii="Times New Roman" w:eastAsia="Times New Roman" w:hAnsi="Times New Roman" w:cs="Times New Roman"/>
          <w:sz w:val="24"/>
          <w:szCs w:val="24"/>
        </w:rPr>
        <w:t>, the global food trade</w:t>
      </w:r>
      <w:r w:rsidR="00C760CE" w:rsidRPr="00EC2D81">
        <w:rPr>
          <w:rFonts w:ascii="Times New Roman" w:eastAsia="Times New Roman" w:hAnsi="Times New Roman" w:cs="Times New Roman"/>
          <w:sz w:val="24"/>
          <w:szCs w:val="24"/>
        </w:rPr>
        <w:t xml:space="preserve"> also</w:t>
      </w:r>
      <w:r w:rsidRPr="00EC2D81">
        <w:rPr>
          <w:rFonts w:ascii="Times New Roman" w:eastAsia="Times New Roman" w:hAnsi="Times New Roman" w:cs="Times New Roman"/>
          <w:sz w:val="24"/>
          <w:szCs w:val="24"/>
        </w:rPr>
        <w:t xml:space="preserve"> brings in big profits that benefit both privatized companies and countries. According to the UN Trade and Development, ‘Global trade in food grew by 350% from 2000 to 2021, reaching a total value of $1.7 trillion.’ With this in mind, it is important to know that the vast profits generated by the global food trade have also attracted organized crime syndicates, who exploit weaknesses in the supply chain for illicit gains. One of the examples is food fraud, which costs the global food industry billions annually. </w:t>
      </w:r>
      <w:r w:rsidR="00625CE1" w:rsidRPr="00EC2D81">
        <w:rPr>
          <w:rStyle w:val="FootnoteReference"/>
          <w:rFonts w:ascii="Times New Roman" w:eastAsia="Times New Roman" w:hAnsi="Times New Roman" w:cs="Times New Roman"/>
          <w:sz w:val="24"/>
          <w:szCs w:val="24"/>
        </w:rPr>
        <w:footnoteReference w:id="2"/>
      </w:r>
      <w:r w:rsidR="000B698D" w:rsidRPr="00EC2D81">
        <w:rPr>
          <w:rFonts w:ascii="Times New Roman" w:eastAsia="Times New Roman" w:hAnsi="Times New Roman" w:cs="Times New Roman"/>
          <w:sz w:val="24"/>
          <w:szCs w:val="24"/>
        </w:rPr>
        <w:t>Figure B in the World Economic Forum Global Risks, ranks crime and illicit economic activity, 14</w:t>
      </w:r>
      <w:r w:rsidR="000B698D" w:rsidRPr="00EC2D81">
        <w:rPr>
          <w:rFonts w:ascii="Times New Roman" w:eastAsia="Times New Roman" w:hAnsi="Times New Roman" w:cs="Times New Roman"/>
          <w:sz w:val="24"/>
          <w:szCs w:val="24"/>
          <w:vertAlign w:val="superscript"/>
        </w:rPr>
        <w:t>th</w:t>
      </w:r>
      <w:r w:rsidR="000B698D" w:rsidRPr="00EC2D81">
        <w:rPr>
          <w:rFonts w:ascii="Times New Roman" w:eastAsia="Times New Roman" w:hAnsi="Times New Roman" w:cs="Times New Roman"/>
          <w:sz w:val="24"/>
          <w:szCs w:val="24"/>
        </w:rPr>
        <w:t xml:space="preserve"> among 32 other current global risks. </w:t>
      </w:r>
      <w:r w:rsidR="00165156" w:rsidRPr="00EC2D81">
        <w:rPr>
          <w:rStyle w:val="FootnoteReference"/>
          <w:rFonts w:ascii="Times New Roman" w:eastAsia="Times New Roman" w:hAnsi="Times New Roman" w:cs="Times New Roman"/>
          <w:sz w:val="24"/>
          <w:szCs w:val="24"/>
        </w:rPr>
        <w:footnoteReference w:id="3"/>
      </w:r>
      <w:r w:rsidR="00590E4A" w:rsidRPr="00EC2D81">
        <w:rPr>
          <w:rFonts w:ascii="Times New Roman" w:eastAsia="Times New Roman" w:hAnsi="Times New Roman" w:cs="Times New Roman"/>
          <w:sz w:val="24"/>
          <w:szCs w:val="24"/>
        </w:rPr>
        <w:t xml:space="preserve">According to the European Commission, </w:t>
      </w:r>
      <w:r w:rsidR="008D5AE6" w:rsidRPr="00EC2D81">
        <w:rPr>
          <w:rFonts w:ascii="Times New Roman" w:eastAsia="Times New Roman" w:hAnsi="Times New Roman" w:cs="Times New Roman"/>
          <w:sz w:val="24"/>
          <w:szCs w:val="24"/>
        </w:rPr>
        <w:t>every year, the adulteration of food causes a loss of between 8 and 12 billion euros.</w:t>
      </w:r>
    </w:p>
    <w:p w14:paraId="4945F596" w14:textId="72C6E82B" w:rsidR="00273688" w:rsidRPr="00EC2D81" w:rsidRDefault="00273688" w:rsidP="00A57B70">
      <w:pPr>
        <w:spacing w:after="0" w:line="240" w:lineRule="auto"/>
        <w:rPr>
          <w:rFonts w:ascii="Times New Roman" w:eastAsia="Times New Roman" w:hAnsi="Times New Roman" w:cs="Times New Roman"/>
          <w:sz w:val="24"/>
          <w:szCs w:val="24"/>
        </w:rPr>
      </w:pPr>
    </w:p>
    <w:p w14:paraId="2E4EACDC" w14:textId="1A8B18FF" w:rsidR="00664D5F" w:rsidRPr="00EC2D81" w:rsidRDefault="004003DF" w:rsidP="00664D5F">
      <w:pPr>
        <w:ind w:firstLine="720"/>
        <w:jc w:val="both"/>
        <w:rPr>
          <w:rFonts w:ascii="Times New Roman" w:hAnsi="Times New Roman" w:cs="Times New Roman"/>
          <w:sz w:val="24"/>
          <w:szCs w:val="24"/>
        </w:rPr>
      </w:pPr>
      <w:r w:rsidRPr="00EC2D81">
        <w:rPr>
          <w:rFonts w:ascii="Times New Roman" w:hAnsi="Times New Roman" w:cs="Times New Roman"/>
          <w:sz w:val="24"/>
          <w:szCs w:val="24"/>
          <w:shd w:val="clear" w:color="auto" w:fill="FFFFFF"/>
        </w:rPr>
        <w:t xml:space="preserve">The relationship between organized crime and the food industry directly impacts the safety, quality, and sustainability of the food supply. Food fraud, exploitation of workers, unsafe food practices, and environmental </w:t>
      </w:r>
      <w:r w:rsidR="009F3BD9" w:rsidRPr="00EC2D81">
        <w:rPr>
          <w:rFonts w:ascii="Times New Roman" w:hAnsi="Times New Roman" w:cs="Times New Roman"/>
          <w:sz w:val="24"/>
          <w:szCs w:val="24"/>
          <w:shd w:val="clear" w:color="auto" w:fill="FFFFFF"/>
        </w:rPr>
        <w:t>loss</w:t>
      </w:r>
      <w:r w:rsidRPr="00EC2D81">
        <w:rPr>
          <w:rFonts w:ascii="Times New Roman" w:hAnsi="Times New Roman" w:cs="Times New Roman"/>
          <w:sz w:val="24"/>
          <w:szCs w:val="24"/>
          <w:shd w:val="clear" w:color="auto" w:fill="FFFFFF"/>
        </w:rPr>
        <w:t xml:space="preserve"> all contribute to health risks that affect individuals and communities worldwide. One of the ways </w:t>
      </w:r>
      <w:r w:rsidR="0043179E" w:rsidRPr="00EC2D81">
        <w:rPr>
          <w:rFonts w:ascii="Times New Roman" w:hAnsi="Times New Roman" w:cs="Times New Roman"/>
          <w:sz w:val="24"/>
          <w:szCs w:val="24"/>
          <w:shd w:val="clear" w:color="auto" w:fill="FFFFFF"/>
        </w:rPr>
        <w:t>we see this,</w:t>
      </w:r>
      <w:r w:rsidRPr="00EC2D81">
        <w:rPr>
          <w:rFonts w:ascii="Times New Roman" w:hAnsi="Times New Roman" w:cs="Times New Roman"/>
          <w:sz w:val="24"/>
          <w:szCs w:val="24"/>
          <w:shd w:val="clear" w:color="auto" w:fill="FFFFFF"/>
        </w:rPr>
        <w:t xml:space="preserve"> is through the smuggling of counterfeit or substandard food products, which are often sold in place of authentic, regulated items. If a product is counterfeit, then it could lack proper labeling or health certifications, which could mislead a consumer into knowing the origin of the food contents. For example, food items may be contaminated with harmful chemicals or substituted with lower-quality, potentially dangerous ingredients. This poses serious health risks to consumers who unknowingly ingest unsafe products. It also opens the door for criminal organizations to flood markets with unsafe or unhealthy products, including fake medicines, contaminated food, or unregulated meat and dairy. </w:t>
      </w:r>
      <w:r w:rsidR="009542F4" w:rsidRPr="00EC2D81">
        <w:rPr>
          <w:rFonts w:ascii="Times New Roman" w:hAnsi="Times New Roman" w:cs="Times New Roman"/>
          <w:sz w:val="24"/>
          <w:szCs w:val="24"/>
          <w:shd w:val="clear" w:color="auto" w:fill="FFFFFF"/>
        </w:rPr>
        <w:t xml:space="preserve">As a result of </w:t>
      </w:r>
      <w:r w:rsidR="00BD44D8" w:rsidRPr="00EC2D81">
        <w:rPr>
          <w:rStyle w:val="FootnoteReference"/>
          <w:rFonts w:ascii="Times New Roman" w:hAnsi="Times New Roman" w:cs="Times New Roman"/>
          <w:sz w:val="24"/>
          <w:szCs w:val="24"/>
          <w:shd w:val="clear" w:color="auto" w:fill="FFFFFF"/>
        </w:rPr>
        <w:footnoteReference w:id="4"/>
      </w:r>
      <w:r w:rsidR="009542F4" w:rsidRPr="00EC2D81">
        <w:rPr>
          <w:rFonts w:ascii="Times New Roman" w:hAnsi="Times New Roman" w:cs="Times New Roman"/>
          <w:sz w:val="24"/>
          <w:szCs w:val="24"/>
          <w:shd w:val="clear" w:color="auto" w:fill="FFFFFF"/>
        </w:rPr>
        <w:t>globalization, consumers connect food with corporations</w:t>
      </w:r>
      <w:r w:rsidR="00D91302" w:rsidRPr="00EC2D81">
        <w:rPr>
          <w:rFonts w:ascii="Times New Roman" w:hAnsi="Times New Roman" w:cs="Times New Roman"/>
          <w:sz w:val="24"/>
          <w:szCs w:val="24"/>
          <w:shd w:val="clear" w:color="auto" w:fill="FFFFFF"/>
        </w:rPr>
        <w:t xml:space="preserve">, who now </w:t>
      </w:r>
      <w:r w:rsidR="009542F4" w:rsidRPr="00EC2D81">
        <w:rPr>
          <w:rFonts w:ascii="Times New Roman" w:hAnsi="Times New Roman" w:cs="Times New Roman"/>
          <w:sz w:val="24"/>
          <w:szCs w:val="24"/>
          <w:shd w:val="clear" w:color="auto" w:fill="FFFFFF"/>
        </w:rPr>
        <w:t>control the production and distribution chains</w:t>
      </w:r>
      <w:r w:rsidR="00D91302" w:rsidRPr="00EC2D81">
        <w:rPr>
          <w:rFonts w:ascii="Times New Roman" w:hAnsi="Times New Roman" w:cs="Times New Roman"/>
          <w:sz w:val="24"/>
          <w:szCs w:val="24"/>
          <w:shd w:val="clear" w:color="auto" w:fill="FFFFFF"/>
        </w:rPr>
        <w:t xml:space="preserve">. </w:t>
      </w:r>
      <w:r w:rsidR="00BD44D8" w:rsidRPr="00EC2D81">
        <w:rPr>
          <w:rFonts w:ascii="Times New Roman" w:hAnsi="Times New Roman" w:cs="Times New Roman"/>
          <w:sz w:val="24"/>
          <w:szCs w:val="24"/>
          <w:shd w:val="clear" w:color="auto" w:fill="FFFFFF"/>
        </w:rPr>
        <w:t xml:space="preserve">However, this system can also be exploited by organized crime. </w:t>
      </w:r>
      <w:r w:rsidRPr="00EC2D81">
        <w:rPr>
          <w:rFonts w:ascii="Times New Roman" w:hAnsi="Times New Roman" w:cs="Times New Roman"/>
          <w:sz w:val="24"/>
          <w:szCs w:val="24"/>
          <w:shd w:val="clear" w:color="auto" w:fill="FFFFFF"/>
        </w:rPr>
        <w:t>Smuggling and illicit food trafficking undermine both public health and the integrity of global food systems. This side of the food industry is hidden from the media and the world, but they have a strong impact on rural businesses and neighboring communities. They exploit workers both illegally and through underpayment employment; almost bordering on the line of enslavement</w:t>
      </w:r>
      <w:r w:rsidR="00664D5F" w:rsidRPr="00EC2D81">
        <w:rPr>
          <w:rFonts w:ascii="Times New Roman" w:hAnsi="Times New Roman" w:cs="Times New Roman"/>
          <w:sz w:val="24"/>
          <w:szCs w:val="24"/>
        </w:rPr>
        <w:t xml:space="preserve">. </w:t>
      </w:r>
    </w:p>
    <w:p w14:paraId="222FBAB3" w14:textId="0FE13AF4" w:rsidR="00D814E1" w:rsidRDefault="004003DF" w:rsidP="00765102">
      <w:pPr>
        <w:spacing w:after="0" w:line="240" w:lineRule="auto"/>
        <w:ind w:firstLine="720"/>
        <w:jc w:val="both"/>
        <w:rPr>
          <w:rFonts w:ascii="Times New Roman" w:eastAsia="Times New Roman" w:hAnsi="Times New Roman" w:cs="Times New Roman"/>
          <w:sz w:val="24"/>
          <w:szCs w:val="24"/>
        </w:rPr>
      </w:pPr>
      <w:r w:rsidRPr="00EC2D81">
        <w:rPr>
          <w:rFonts w:ascii="Times New Roman" w:eastAsia="Times New Roman" w:hAnsi="Times New Roman" w:cs="Times New Roman"/>
          <w:sz w:val="24"/>
          <w:szCs w:val="24"/>
        </w:rPr>
        <w:t xml:space="preserve">One of the main areas </w:t>
      </w:r>
      <w:r w:rsidR="00CC7BE1" w:rsidRPr="00EC2D81">
        <w:rPr>
          <w:rFonts w:ascii="Times New Roman" w:eastAsia="Times New Roman" w:hAnsi="Times New Roman" w:cs="Times New Roman"/>
          <w:sz w:val="24"/>
          <w:szCs w:val="24"/>
        </w:rPr>
        <w:t>I want to</w:t>
      </w:r>
      <w:r w:rsidRPr="00EC2D81">
        <w:rPr>
          <w:rFonts w:ascii="Times New Roman" w:eastAsia="Times New Roman" w:hAnsi="Times New Roman" w:cs="Times New Roman"/>
          <w:sz w:val="24"/>
          <w:szCs w:val="24"/>
        </w:rPr>
        <w:t xml:space="preserve"> concentrate on is Italy. There are </w:t>
      </w:r>
      <w:r w:rsidR="00CC7BE1" w:rsidRPr="00EC2D81">
        <w:rPr>
          <w:rFonts w:ascii="Times New Roman" w:eastAsia="Times New Roman" w:hAnsi="Times New Roman" w:cs="Times New Roman"/>
          <w:sz w:val="24"/>
          <w:szCs w:val="24"/>
        </w:rPr>
        <w:t xml:space="preserve">various </w:t>
      </w:r>
      <w:r w:rsidRPr="00EC2D81">
        <w:rPr>
          <w:rFonts w:ascii="Times New Roman" w:eastAsia="Times New Roman" w:hAnsi="Times New Roman" w:cs="Times New Roman"/>
          <w:sz w:val="24"/>
          <w:szCs w:val="24"/>
        </w:rPr>
        <w:t>articles about the </w:t>
      </w:r>
      <w:r w:rsidRPr="00EC2D81">
        <w:rPr>
          <w:rStyle w:val="FootnoteReference"/>
          <w:rFonts w:ascii="Times New Roman" w:eastAsia="Times New Roman" w:hAnsi="Times New Roman" w:cs="Times New Roman"/>
          <w:sz w:val="24"/>
          <w:szCs w:val="24"/>
        </w:rPr>
        <w:footnoteReference w:id="5"/>
      </w:r>
      <w:r w:rsidRPr="00EC2D81">
        <w:rPr>
          <w:rFonts w:ascii="Times New Roman" w:eastAsia="Times New Roman" w:hAnsi="Times New Roman" w:cs="Times New Roman"/>
          <w:sz w:val="24"/>
          <w:szCs w:val="24"/>
        </w:rPr>
        <w:t>environmental crimes perpetrated by the Camorra, the Neapolitan Mafia, at the expense of farming communities in the metropolitan areas of Naples and Caserta, in Italy. </w:t>
      </w:r>
      <w:r w:rsidR="002F2C97" w:rsidRPr="00EC2D81">
        <w:rPr>
          <w:rFonts w:ascii="Times New Roman" w:eastAsia="Times New Roman" w:hAnsi="Times New Roman" w:cs="Times New Roman"/>
          <w:sz w:val="24"/>
          <w:szCs w:val="24"/>
        </w:rPr>
        <w:t xml:space="preserve">The </w:t>
      </w:r>
      <w:r w:rsidR="00DA17E4" w:rsidRPr="00EC2D81">
        <w:rPr>
          <w:rStyle w:val="FootnoteReference"/>
          <w:rFonts w:ascii="Times New Roman" w:eastAsia="Times New Roman" w:hAnsi="Times New Roman" w:cs="Times New Roman"/>
          <w:sz w:val="24"/>
          <w:szCs w:val="24"/>
        </w:rPr>
        <w:footnoteReference w:id="6"/>
      </w:r>
      <w:r w:rsidR="002F2C97" w:rsidRPr="00EC2D81">
        <w:rPr>
          <w:rFonts w:ascii="Times New Roman" w:eastAsia="Times New Roman" w:hAnsi="Times New Roman" w:cs="Times New Roman"/>
          <w:sz w:val="24"/>
          <w:szCs w:val="24"/>
        </w:rPr>
        <w:t xml:space="preserve">food industry contributes to global terrestrial acidification (~32%) and eutrophication (~78%), emphasizing their environmental impact. This is further exploited by mafia organizations, who profit from territorial </w:t>
      </w:r>
      <w:r w:rsidR="002F2C97" w:rsidRPr="00EC2D81">
        <w:rPr>
          <w:rFonts w:ascii="Times New Roman" w:eastAsia="Times New Roman" w:hAnsi="Times New Roman" w:cs="Times New Roman"/>
          <w:sz w:val="24"/>
          <w:szCs w:val="24"/>
        </w:rPr>
        <w:lastRenderedPageBreak/>
        <w:t xml:space="preserve">control by illegally using farmlands as toxic waste disposal sites. </w:t>
      </w:r>
      <w:r w:rsidRPr="00EC2D81">
        <w:rPr>
          <w:rStyle w:val="FootnoteReference"/>
          <w:rFonts w:ascii="Times New Roman" w:eastAsia="Times New Roman" w:hAnsi="Times New Roman" w:cs="Times New Roman"/>
          <w:sz w:val="24"/>
          <w:szCs w:val="24"/>
        </w:rPr>
        <w:footnoteReference w:id="7"/>
      </w:r>
      <w:r w:rsidRPr="00EC2D81">
        <w:rPr>
          <w:rFonts w:ascii="Times New Roman" w:eastAsia="Times New Roman" w:hAnsi="Times New Roman" w:cs="Times New Roman"/>
          <w:sz w:val="24"/>
          <w:szCs w:val="24"/>
        </w:rPr>
        <w:t xml:space="preserve">The illegal activities of the Camorra were often based on their ability to control the territory using diffused violence and intimidation, profiting from other forms of illegal economies, including </w:t>
      </w:r>
      <w:r w:rsidR="0066192B" w:rsidRPr="00EC2D81">
        <w:rPr>
          <w:rFonts w:ascii="Times New Roman" w:eastAsia="Times New Roman" w:hAnsi="Times New Roman" w:cs="Times New Roman"/>
          <w:sz w:val="24"/>
          <w:szCs w:val="24"/>
        </w:rPr>
        <w:t>their</w:t>
      </w:r>
      <w:r w:rsidRPr="00EC2D81">
        <w:rPr>
          <w:rFonts w:ascii="Times New Roman" w:eastAsia="Times New Roman" w:hAnsi="Times New Roman" w:cs="Times New Roman"/>
          <w:sz w:val="24"/>
          <w:szCs w:val="24"/>
        </w:rPr>
        <w:t xml:space="preserve"> infiltration in tourism and agribusiness.</w:t>
      </w:r>
      <w:r w:rsidR="00735330" w:rsidRPr="00EC2D81">
        <w:rPr>
          <w:rFonts w:ascii="Times New Roman" w:eastAsia="Times New Roman" w:hAnsi="Times New Roman" w:cs="Times New Roman"/>
          <w:sz w:val="24"/>
          <w:szCs w:val="24"/>
        </w:rPr>
        <w:t xml:space="preserve"> </w:t>
      </w:r>
      <w:r w:rsidRPr="00EC2D81">
        <w:rPr>
          <w:rFonts w:ascii="Times New Roman" w:eastAsia="Times New Roman" w:hAnsi="Times New Roman" w:cs="Times New Roman"/>
          <w:sz w:val="24"/>
          <w:szCs w:val="24"/>
        </w:rPr>
        <w:t xml:space="preserve">The farms in Naples and Caserta are also described as the Land of Fire, in connection to waste being illegally landfilled and burnt in peri-urban farmlands. Farmers that are situated in this area are more prone to land exploitation, illegal burning, and dumping. The article I read and have used as case study investigates how farmers develop place-based relations when subject to structural conditions of violence and environmental crimes. </w:t>
      </w:r>
      <w:r w:rsidR="008013CE" w:rsidRPr="00EC2D81">
        <w:rPr>
          <w:rFonts w:ascii="Times New Roman" w:eastAsia="Times New Roman" w:hAnsi="Times New Roman" w:cs="Times New Roman"/>
          <w:sz w:val="24"/>
          <w:szCs w:val="24"/>
        </w:rPr>
        <w:t>F</w:t>
      </w:r>
      <w:r w:rsidRPr="00EC2D81">
        <w:rPr>
          <w:rFonts w:ascii="Times New Roman" w:eastAsia="Times New Roman" w:hAnsi="Times New Roman" w:cs="Times New Roman"/>
          <w:sz w:val="24"/>
          <w:szCs w:val="24"/>
        </w:rPr>
        <w:t>armlands in Naples and Caserta are becoming illegal landfill sites for cheap disposal of toxic industrial waste. </w:t>
      </w:r>
      <w:r w:rsidRPr="00EC2D81">
        <w:rPr>
          <w:rStyle w:val="FootnoteReference"/>
          <w:rFonts w:ascii="Times New Roman" w:eastAsia="Times New Roman" w:hAnsi="Times New Roman" w:cs="Times New Roman"/>
          <w:sz w:val="24"/>
          <w:szCs w:val="24"/>
        </w:rPr>
        <w:footnoteReference w:id="8"/>
      </w:r>
      <w:r w:rsidRPr="00EC2D81">
        <w:rPr>
          <w:rFonts w:ascii="Times New Roman" w:eastAsia="Times New Roman" w:hAnsi="Times New Roman" w:cs="Times New Roman"/>
          <w:sz w:val="24"/>
          <w:szCs w:val="24"/>
        </w:rPr>
        <w:t xml:space="preserve">In the early </w:t>
      </w:r>
      <w:r w:rsidR="00D92F8C">
        <w:rPr>
          <w:rFonts w:ascii="Times New Roman" w:eastAsia="Times New Roman" w:hAnsi="Times New Roman" w:cs="Times New Roman"/>
          <w:sz w:val="24"/>
          <w:szCs w:val="24"/>
        </w:rPr>
        <w:t>19</w:t>
      </w:r>
      <w:r w:rsidRPr="00EC2D81">
        <w:rPr>
          <w:rFonts w:ascii="Times New Roman" w:eastAsia="Times New Roman" w:hAnsi="Times New Roman" w:cs="Times New Roman"/>
          <w:sz w:val="24"/>
          <w:szCs w:val="24"/>
        </w:rPr>
        <w:t>80s all the Camorra families were involved in businesses related to building and construction, profiting from rebuilding houses after the Earthquake of 1980, and winning public tenders through corruption and infiltration. Many families were involved in the mozzarella business, as a form of money laundering, as well as in managing restaurants and hotels. They already had control of the territory. Using farmland as illegal dumps was just too easy a win for them [Activist #2].</w:t>
      </w:r>
      <w:r w:rsidR="008013CE" w:rsidRPr="00EC2D81">
        <w:rPr>
          <w:rFonts w:ascii="Times New Roman" w:eastAsia="Times New Roman" w:hAnsi="Times New Roman" w:cs="Times New Roman"/>
          <w:sz w:val="24"/>
          <w:szCs w:val="24"/>
        </w:rPr>
        <w:t xml:space="preserve"> </w:t>
      </w:r>
      <w:r w:rsidR="00635F72" w:rsidRPr="00EC2D81">
        <w:rPr>
          <w:rFonts w:ascii="Times New Roman" w:eastAsia="Times New Roman" w:hAnsi="Times New Roman" w:cs="Times New Roman"/>
          <w:sz w:val="24"/>
          <w:szCs w:val="24"/>
        </w:rPr>
        <w:t>In</w:t>
      </w:r>
      <w:r w:rsidR="00054BF3" w:rsidRPr="00EC2D81">
        <w:rPr>
          <w:rStyle w:val="FootnoteReference"/>
          <w:rFonts w:ascii="Times New Roman" w:eastAsia="Times New Roman" w:hAnsi="Times New Roman" w:cs="Times New Roman"/>
          <w:sz w:val="24"/>
          <w:szCs w:val="24"/>
        </w:rPr>
        <w:footnoteReference w:id="9"/>
      </w:r>
      <w:r w:rsidR="00635F72" w:rsidRPr="00EC2D81">
        <w:rPr>
          <w:rFonts w:ascii="Times New Roman" w:eastAsia="Times New Roman" w:hAnsi="Times New Roman" w:cs="Times New Roman"/>
          <w:sz w:val="24"/>
          <w:szCs w:val="24"/>
        </w:rPr>
        <w:t xml:space="preserve"> sealing</w:t>
      </w:r>
      <w:r w:rsidR="00E83702" w:rsidRPr="00EC2D81">
        <w:rPr>
          <w:rFonts w:ascii="Times New Roman" w:eastAsia="Times New Roman" w:hAnsi="Times New Roman" w:cs="Times New Roman"/>
          <w:sz w:val="24"/>
          <w:szCs w:val="24"/>
        </w:rPr>
        <w:t xml:space="preserve"> the ownership of the land/farm, land-owners are reduced to </w:t>
      </w:r>
      <w:r w:rsidR="00765102">
        <w:rPr>
          <w:rFonts w:ascii="Times New Roman" w:eastAsia="Times New Roman" w:hAnsi="Times New Roman" w:cs="Times New Roman"/>
          <w:sz w:val="24"/>
          <w:szCs w:val="24"/>
        </w:rPr>
        <w:t>be</w:t>
      </w:r>
      <w:r w:rsidR="00E83702" w:rsidRPr="00EC2D81">
        <w:rPr>
          <w:rFonts w:ascii="Times New Roman" w:eastAsia="Times New Roman" w:hAnsi="Times New Roman" w:cs="Times New Roman"/>
          <w:sz w:val="24"/>
          <w:szCs w:val="24"/>
        </w:rPr>
        <w:t xml:space="preserve"> destitute.</w:t>
      </w:r>
      <w:r w:rsidR="00D814E1">
        <w:rPr>
          <w:rFonts w:ascii="Times New Roman" w:eastAsia="Times New Roman" w:hAnsi="Times New Roman" w:cs="Times New Roman"/>
          <w:sz w:val="24"/>
          <w:szCs w:val="24"/>
        </w:rPr>
        <w:t xml:space="preserve">  </w:t>
      </w:r>
    </w:p>
    <w:p w14:paraId="3B3ED4B6" w14:textId="37931F97" w:rsidR="004003DF" w:rsidRPr="00EC2D81" w:rsidRDefault="00D814E1" w:rsidP="00765102">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F11C887" w14:textId="407AC1F6" w:rsidR="00055172" w:rsidRPr="00EC2D81" w:rsidRDefault="004003DF" w:rsidP="00D921FD">
      <w:pPr>
        <w:ind w:firstLine="720"/>
        <w:jc w:val="both"/>
        <w:rPr>
          <w:rFonts w:ascii="Times New Roman" w:hAnsi="Times New Roman" w:cs="Times New Roman"/>
          <w:sz w:val="24"/>
          <w:szCs w:val="24"/>
        </w:rPr>
      </w:pPr>
      <w:r w:rsidRPr="00EC2D81">
        <w:rPr>
          <w:rFonts w:ascii="Times New Roman" w:hAnsi="Times New Roman" w:cs="Times New Roman"/>
          <w:sz w:val="24"/>
          <w:szCs w:val="24"/>
        </w:rPr>
        <w:t>Today farmers are struggling to protect their farmland from illegal dumping that is done by Camorra associates in control of the territory. The article provides an excerpt from someone within the Mafia business, “My brother and I were considered the law here. Businesses from the North (of Italy), and local businesspersons, all needed to get rid of stuff they did not want to pay for. We had our offices in this building, close to the farm, just over here really, and we were burying all sorts of rubbish, waste that made us rich. We had used our farms and others, even if they did not want that. Nobody could say no to us! [former Mafia boss—TV documentary].” Before this, Naples Caserta was known for its high-quality horticultural and dairy products; it was home to Mozzarella di Buffalo Campana (Buffalo mozzarella cheese), a product that is within the EU Protected Designation of Origin (PDO) label. It has been recorded that these places are one of the most fertile farmlands, with rich soils due to the presence of several volcanoes. And now these farmlands have become new infrastructures and places to stock waste in bulk. Farmers are becoming more and more passive accepters in this crisis, but they are concerned by the loss of their sense of place and identity and the exploitation of their resources.</w:t>
      </w:r>
    </w:p>
    <w:p w14:paraId="11A5FF3E" w14:textId="2381A24E" w:rsidR="004003DF" w:rsidRPr="00EC2D81" w:rsidRDefault="004003DF" w:rsidP="004003DF">
      <w:pPr>
        <w:spacing w:line="256" w:lineRule="auto"/>
        <w:ind w:firstLine="720"/>
        <w:jc w:val="both"/>
        <w:rPr>
          <w:rFonts w:ascii="Times New Roman" w:eastAsia="Times New Roman" w:hAnsi="Times New Roman" w:cs="Times New Roman"/>
          <w:sz w:val="24"/>
          <w:szCs w:val="24"/>
        </w:rPr>
      </w:pPr>
      <w:r w:rsidRPr="00EC2D81">
        <w:rPr>
          <w:rFonts w:ascii="Times New Roman" w:eastAsia="Times New Roman" w:hAnsi="Times New Roman" w:cs="Times New Roman"/>
          <w:sz w:val="24"/>
          <w:szCs w:val="24"/>
        </w:rPr>
        <w:t xml:space="preserve">Another case study I want to include is written by Giuseppe </w:t>
      </w:r>
      <w:proofErr w:type="spellStart"/>
      <w:r w:rsidRPr="00EC2D81">
        <w:rPr>
          <w:rFonts w:ascii="Times New Roman" w:eastAsia="Times New Roman" w:hAnsi="Times New Roman" w:cs="Times New Roman"/>
          <w:sz w:val="24"/>
          <w:szCs w:val="24"/>
        </w:rPr>
        <w:t>Muti</w:t>
      </w:r>
      <w:proofErr w:type="spellEnd"/>
      <w:r w:rsidRPr="00EC2D81">
        <w:rPr>
          <w:rFonts w:ascii="Times New Roman" w:eastAsia="Times New Roman" w:hAnsi="Times New Roman" w:cs="Times New Roman"/>
          <w:sz w:val="24"/>
          <w:szCs w:val="24"/>
        </w:rPr>
        <w:t>; The fight against agribusiness crime and the regeneration of agricultural land confiscated from organized crime groups in Italy. One of the regions they concentrate on is Sicily, a region that is well known for growing fruit, particularly grapes, olives, and citrus fruits. This is due to the favorable conditions brought about by the volcanic soil and warm climate. On the other hand, the Sicilian agribusiness industry is home to two organized crime groups. The</w:t>
      </w:r>
      <w:r w:rsidR="00F94F28" w:rsidRPr="00EC2D81">
        <w:rPr>
          <w:rFonts w:ascii="Times New Roman" w:eastAsia="Times New Roman" w:hAnsi="Times New Roman" w:cs="Times New Roman"/>
          <w:sz w:val="24"/>
          <w:szCs w:val="24"/>
        </w:rPr>
        <w:t xml:space="preserve"> </w:t>
      </w:r>
      <w:r w:rsidR="00F94F28" w:rsidRPr="00EC2D81">
        <w:rPr>
          <w:rStyle w:val="FootnoteReference"/>
          <w:rFonts w:ascii="Times New Roman" w:eastAsia="Times New Roman" w:hAnsi="Times New Roman" w:cs="Times New Roman"/>
          <w:sz w:val="24"/>
          <w:szCs w:val="24"/>
        </w:rPr>
        <w:footnoteReference w:id="10"/>
      </w:r>
      <w:r w:rsidRPr="00EC2D81">
        <w:rPr>
          <w:rFonts w:ascii="Times New Roman" w:eastAsia="Times New Roman" w:hAnsi="Times New Roman" w:cs="Times New Roman"/>
          <w:sz w:val="24"/>
          <w:szCs w:val="24"/>
        </w:rPr>
        <w:t xml:space="preserve">“latifundia mafias” have traditionally exploited their geographical remove from institutional oversight to wedge their way in as brokers and in key specialized agricultural spaces such as the citrus groves, where the “market garden mafias” have exploited the combination of delicate crops and high-profit margins to gain control of the sector. There is also the “agrarian mafias” that have deployed violence and intimidation to </w:t>
      </w:r>
      <w:r w:rsidRPr="00EC2D81">
        <w:rPr>
          <w:rFonts w:ascii="Times New Roman" w:eastAsia="Times New Roman" w:hAnsi="Times New Roman" w:cs="Times New Roman"/>
          <w:sz w:val="24"/>
          <w:szCs w:val="24"/>
        </w:rPr>
        <w:lastRenderedPageBreak/>
        <w:t xml:space="preserve">guarantee the “protection” of land, produce, and equipment/machinery, to control the distribution of water, and to ensure a supply of underpaid agricultural labor. Similar environments of organized crime are seen in the agricultural areas of Campania around Naples and in the specialized agricultural areas of Calabria. This has allowed these groups to obtain massive resources as well as a large number of agricultural holdings and activities. </w:t>
      </w:r>
    </w:p>
    <w:p w14:paraId="012B36FB" w14:textId="747E334E" w:rsidR="005E66EC" w:rsidRPr="00EC2D81" w:rsidRDefault="005E66EC" w:rsidP="005E66EC">
      <w:pPr>
        <w:spacing w:line="256" w:lineRule="auto"/>
        <w:ind w:firstLine="720"/>
        <w:jc w:val="both"/>
        <w:rPr>
          <w:rFonts w:ascii="Times New Roman" w:eastAsia="Times New Roman" w:hAnsi="Times New Roman" w:cs="Times New Roman"/>
          <w:sz w:val="24"/>
          <w:szCs w:val="24"/>
        </w:rPr>
      </w:pPr>
      <w:r w:rsidRPr="00EC2D81">
        <w:rPr>
          <w:rFonts w:ascii="Times New Roman" w:eastAsia="Times New Roman" w:hAnsi="Times New Roman" w:cs="Times New Roman"/>
          <w:sz w:val="24"/>
          <w:szCs w:val="24"/>
        </w:rPr>
        <w:t>It is important to know that the profit income gained through the agrarian mafias is significantly higher than other illegal enterprises such as drug trafficking</w:t>
      </w:r>
      <w:r w:rsidR="00D56F38">
        <w:rPr>
          <w:rFonts w:ascii="Times New Roman" w:eastAsia="Times New Roman" w:hAnsi="Times New Roman" w:cs="Times New Roman"/>
          <w:sz w:val="24"/>
          <w:szCs w:val="24"/>
        </w:rPr>
        <w:t>. As well as</w:t>
      </w:r>
      <w:r w:rsidRPr="00EC2D81">
        <w:rPr>
          <w:rFonts w:ascii="Times New Roman" w:eastAsia="Times New Roman" w:hAnsi="Times New Roman" w:cs="Times New Roman"/>
          <w:sz w:val="24"/>
          <w:szCs w:val="24"/>
        </w:rPr>
        <w:t xml:space="preserve"> sectors where illegal activities may be mixed in with legal ones, for example, construction and infrastructure. These are financial investments that are interlinked with money-laundering, where the agriculture industry or the agri-food chain is locked in through abuse of agriculture land or in the catering industry; with an inconsistency of opening and closing restaurants. Consequently, rural areas have seen severe consumption and speculation, as well as often irreversible environmental and social damage. And since it is done through a group of criminals, one can expect them to violate the rules, cheat the competition, abuse workers, and even harm the environment.” Reading over the reports of the Observatory on Crime in Agriculture, we see that commit agri-food fraud with four different categories. It includes: </w:t>
      </w:r>
      <w:r w:rsidRPr="00EC2D81">
        <w:rPr>
          <w:rStyle w:val="FootnoteReference"/>
          <w:rFonts w:ascii="Times New Roman" w:eastAsia="Times New Roman" w:hAnsi="Times New Roman" w:cs="Times New Roman"/>
          <w:sz w:val="24"/>
          <w:szCs w:val="24"/>
        </w:rPr>
        <w:footnoteReference w:id="11"/>
      </w:r>
      <w:r w:rsidRPr="00EC2D81">
        <w:rPr>
          <w:rFonts w:ascii="Times New Roman" w:eastAsia="Times New Roman" w:hAnsi="Times New Roman" w:cs="Times New Roman"/>
          <w:sz w:val="24"/>
          <w:szCs w:val="24"/>
        </w:rPr>
        <w:t xml:space="preserve">“a) the adulteration of produce by adding other substances or removing ingredients; b) the sophistication of produce in terms of enhancing its appearance and camouflaging defects; c) falsification, i.e. the substitution of one foodstuff with another; d) the counterfeiting of names or trademarks with a view to misleading the consumer; e) the deterioration of produce due to incorrect storage.” They conduct their businesses in a grey area, between the grounds of legality and illegality. The profits that are accumulated from the agriculture business, tell us why this sector attracts criminal groups. We read in the case study that “between 2019 and 2020, the agri-food sector – with its over 1.4 million workers and 1.2 million businesses – generated € 200bn in turnover (70% from the food and beverage industries), € 45bn in exports, and € 60bn in added value. The </w:t>
      </w:r>
      <w:r w:rsidR="00C00FF2">
        <w:rPr>
          <w:rStyle w:val="FootnoteReference"/>
          <w:rFonts w:ascii="Times New Roman" w:eastAsia="Times New Roman" w:hAnsi="Times New Roman" w:cs="Times New Roman"/>
          <w:sz w:val="24"/>
          <w:szCs w:val="24"/>
        </w:rPr>
        <w:footnoteReference w:id="12"/>
      </w:r>
      <w:r w:rsidRPr="00EC2D81">
        <w:rPr>
          <w:rFonts w:ascii="Times New Roman" w:eastAsia="Times New Roman" w:hAnsi="Times New Roman" w:cs="Times New Roman"/>
          <w:sz w:val="24"/>
          <w:szCs w:val="24"/>
        </w:rPr>
        <w:t>Italian agricultural supply chain boasts 300 EU quality certifications and over 80,000 certified operators.</w:t>
      </w:r>
    </w:p>
    <w:p w14:paraId="4147E5F6" w14:textId="5B3BCA18" w:rsidR="00AA1CD2" w:rsidRPr="00EC2D81" w:rsidRDefault="00B9244F" w:rsidP="00AE4286">
      <w:pPr>
        <w:spacing w:after="0" w:line="240" w:lineRule="auto"/>
        <w:ind w:firstLine="720"/>
        <w:jc w:val="both"/>
        <w:rPr>
          <w:rFonts w:ascii="Times New Roman" w:eastAsia="Times New Roman" w:hAnsi="Times New Roman" w:cs="Times New Roman"/>
          <w:sz w:val="24"/>
          <w:szCs w:val="24"/>
        </w:rPr>
      </w:pPr>
      <w:r w:rsidRPr="00EC2D81">
        <w:rPr>
          <w:rFonts w:ascii="Times New Roman" w:eastAsia="Times New Roman" w:hAnsi="Times New Roman" w:cs="Times New Roman"/>
          <w:sz w:val="24"/>
          <w:szCs w:val="24"/>
        </w:rPr>
        <w:t xml:space="preserve">While the problem does seem considerably large, Italy has taken effective measures to break up the power of criminal groups. Anti-mafia legislation has been put into place and law enforcement agencies are monitoring since the 1990s. Seeing its success, the UN Convention against Transnational Organized Crime has accepted the Italian system's policies on combating the agrarian mafia. Currently, the fight against organized crime in the agri-food sector, is fought at an institutional level, through tackling local organized crime networks, money laundering operations, the reinvestment of illicit profits, and racketeering. And this sector is controlled by the Ministry of the Interior via the National Anti-Mafia and Counter-Terrorism Directorates, and the Anti-Mafia Investigative Directorate. They deal with fraud scams and illegal employment and are operated through the Ministry of Agricultural Policies which investigates and follows up on fraud in the agri-food sector. On the other hand, the </w:t>
      </w:r>
      <w:r w:rsidRPr="00EC2D81">
        <w:rPr>
          <w:rStyle w:val="FootnoteReference"/>
          <w:rFonts w:ascii="Times New Roman" w:eastAsia="Times New Roman" w:hAnsi="Times New Roman" w:cs="Times New Roman"/>
          <w:sz w:val="24"/>
          <w:szCs w:val="24"/>
        </w:rPr>
        <w:footnoteReference w:id="13"/>
      </w:r>
      <w:r w:rsidRPr="00EC2D81">
        <w:rPr>
          <w:rFonts w:ascii="Times New Roman" w:eastAsia="Times New Roman" w:hAnsi="Times New Roman" w:cs="Times New Roman"/>
          <w:sz w:val="24"/>
          <w:szCs w:val="24"/>
        </w:rPr>
        <w:t xml:space="preserve">Ministry of Health operates to defend food safety through the Directorate General for Hygiene and Food Safety. Last but not least, the Ministry of Labor works through the technical panel that was established in 2018 to address exploitation and unlawful employment in the agriculture industry. A few NGOs have also been key players in </w:t>
      </w:r>
      <w:r w:rsidRPr="00EC2D81">
        <w:rPr>
          <w:rFonts w:ascii="Times New Roman" w:eastAsia="Times New Roman" w:hAnsi="Times New Roman" w:cs="Times New Roman"/>
          <w:sz w:val="24"/>
          <w:szCs w:val="24"/>
        </w:rPr>
        <w:lastRenderedPageBreak/>
        <w:t xml:space="preserve">tackling this problem. A prominent group is the Observatory on Crime in Agriculture and the Agri-food System (OCA), it was founded by </w:t>
      </w:r>
      <w:proofErr w:type="spellStart"/>
      <w:r w:rsidRPr="00EC2D81">
        <w:rPr>
          <w:rFonts w:ascii="Times New Roman" w:eastAsia="Times New Roman" w:hAnsi="Times New Roman" w:cs="Times New Roman"/>
          <w:sz w:val="24"/>
          <w:szCs w:val="24"/>
        </w:rPr>
        <w:t>Coldiretti</w:t>
      </w:r>
      <w:proofErr w:type="spellEnd"/>
      <w:r w:rsidRPr="00EC2D81">
        <w:rPr>
          <w:rFonts w:ascii="Times New Roman" w:eastAsia="Times New Roman" w:hAnsi="Times New Roman" w:cs="Times New Roman"/>
          <w:sz w:val="24"/>
          <w:szCs w:val="24"/>
        </w:rPr>
        <w:t xml:space="preserve">, an Italian farmers’ association. They monitor illegal practices and have helped write new laws on crimes in the agri-food sector. They drafted a report that took two years of research and investigation about the infiltration of mafias in the agri-food supply chain and working conditions in the sector. It was released in 2018, to bring to light the illegal economy in the food sector. Another important NGO is the </w:t>
      </w:r>
      <w:proofErr w:type="spellStart"/>
      <w:r w:rsidRPr="00EC2D81">
        <w:rPr>
          <w:rFonts w:ascii="Times New Roman" w:eastAsia="Times New Roman" w:hAnsi="Times New Roman" w:cs="Times New Roman"/>
          <w:sz w:val="24"/>
          <w:szCs w:val="24"/>
        </w:rPr>
        <w:t>Legambiente</w:t>
      </w:r>
      <w:proofErr w:type="spellEnd"/>
      <w:r w:rsidRPr="00EC2D81">
        <w:rPr>
          <w:rFonts w:ascii="Times New Roman" w:eastAsia="Times New Roman" w:hAnsi="Times New Roman" w:cs="Times New Roman"/>
          <w:sz w:val="24"/>
          <w:szCs w:val="24"/>
        </w:rPr>
        <w:t>, an Italian environmentalist association that organized civic campaigns against waste trafficking, back in 2001, that helped establish the first Italian law against environmental crime and crime groups. Their research helped draft an overview of organized crime in the agri-food sector. And according to their stats, we can see that “</w:t>
      </w:r>
      <w:r w:rsidR="00D52C56">
        <w:rPr>
          <w:rStyle w:val="FootnoteReference"/>
          <w:rFonts w:ascii="Times New Roman" w:eastAsia="Times New Roman" w:hAnsi="Times New Roman" w:cs="Times New Roman"/>
          <w:sz w:val="24"/>
          <w:szCs w:val="24"/>
        </w:rPr>
        <w:footnoteReference w:id="14"/>
      </w:r>
      <w:r w:rsidRPr="00EC2D81">
        <w:rPr>
          <w:rFonts w:ascii="Times New Roman" w:eastAsia="Times New Roman" w:hAnsi="Times New Roman" w:cs="Times New Roman"/>
          <w:sz w:val="24"/>
          <w:szCs w:val="24"/>
        </w:rPr>
        <w:t xml:space="preserve">In 2019, law enforcement agencies carried out 614,840 inspections. Identified crimes and regulatory violations numbered 69,369; prosecutions, fines, and injunctions: 31,332; arrests: 193; confiscations based on criminal or procedural violations: 11,975; criminal and administrative sanctions: 59,036.” </w:t>
      </w:r>
    </w:p>
    <w:p w14:paraId="45A96A2D" w14:textId="77777777" w:rsidR="00AE4286" w:rsidRPr="00EC2D81" w:rsidRDefault="00AE4286" w:rsidP="00AE4286">
      <w:pPr>
        <w:spacing w:after="0" w:line="240" w:lineRule="auto"/>
        <w:jc w:val="both"/>
        <w:rPr>
          <w:rFonts w:ascii="Times New Roman" w:eastAsia="Times New Roman" w:hAnsi="Times New Roman" w:cs="Times New Roman"/>
          <w:sz w:val="24"/>
          <w:szCs w:val="24"/>
        </w:rPr>
      </w:pPr>
    </w:p>
    <w:p w14:paraId="53FCB044" w14:textId="3B3E9A00" w:rsidR="00956C23" w:rsidRPr="00EC2D81" w:rsidRDefault="00956C23" w:rsidP="00AE4286">
      <w:pPr>
        <w:ind w:firstLine="720"/>
        <w:jc w:val="both"/>
        <w:rPr>
          <w:rFonts w:ascii="Times New Roman" w:hAnsi="Times New Roman" w:cs="Times New Roman"/>
          <w:sz w:val="24"/>
          <w:szCs w:val="24"/>
          <w:shd w:val="clear" w:color="auto" w:fill="FFFFFF"/>
        </w:rPr>
      </w:pPr>
      <w:r w:rsidRPr="00EC2D81">
        <w:rPr>
          <w:rFonts w:ascii="Times New Roman" w:hAnsi="Times New Roman" w:cs="Times New Roman"/>
          <w:sz w:val="24"/>
          <w:szCs w:val="24"/>
        </w:rPr>
        <w:t xml:space="preserve"> </w:t>
      </w:r>
      <w:r w:rsidR="000944C5" w:rsidRPr="00EC2D81">
        <w:rPr>
          <w:rFonts w:ascii="Times New Roman" w:hAnsi="Times New Roman" w:cs="Times New Roman"/>
          <w:sz w:val="24"/>
          <w:szCs w:val="24"/>
          <w:shd w:val="clear" w:color="auto" w:fill="FFFFFF"/>
        </w:rPr>
        <w:t>Another successful idea for demolishing this stronghold is to confiscate illegal assets and redeploy them to benefit communities. Certain assets are confiscated, by law, if there is no proof of legal ownership. But it was only after 1995, that Libera, an NGO organization, launched a petition signed by one million citizens, to repurpose the confiscated assets for public purposes or to serve the needs of local communities. This is run by the National Agency for Seized and Confiscated Assets (ANBSC) and we can see how successful this project is because, “</w:t>
      </w:r>
      <w:r w:rsidR="00D62714">
        <w:rPr>
          <w:rStyle w:val="FootnoteReference"/>
          <w:rFonts w:ascii="Times New Roman" w:hAnsi="Times New Roman" w:cs="Times New Roman"/>
          <w:sz w:val="24"/>
          <w:szCs w:val="24"/>
          <w:shd w:val="clear" w:color="auto" w:fill="FFFFFF"/>
        </w:rPr>
        <w:footnoteReference w:id="15"/>
      </w:r>
      <w:r w:rsidR="000944C5" w:rsidRPr="00EC2D81">
        <w:rPr>
          <w:rFonts w:ascii="Times New Roman" w:hAnsi="Times New Roman" w:cs="Times New Roman"/>
          <w:sz w:val="24"/>
          <w:szCs w:val="24"/>
          <w:shd w:val="clear" w:color="auto" w:fill="FFFFFF"/>
        </w:rPr>
        <w:t>as of June 2022, confiscated real estate assets numbered 44,571, of which 25,278 were being managed by ANBSC and 19,195 had been allocated to local authorities for redeployment in social projects. Companies that had been seized numbered 5,470, of which 1,726 had already been allocated and 3,744 continued to be managed by the agency. Of all the real estate allocated between 1982 and 2022, 70% was allocated over the last decade and almost 50% over the last five years.” Most of these assets have been seized from criminal organizations, especially mafia-style groups and this has opened a door of trust between the citizens and public institutions and now bears the flag of hope in this fight against organized crime. </w:t>
      </w:r>
      <w:r w:rsidR="00317D20" w:rsidRPr="00317D20">
        <w:rPr>
          <w:rFonts w:ascii="Times New Roman" w:hAnsi="Times New Roman" w:cs="Times New Roman"/>
          <w:sz w:val="24"/>
          <w:szCs w:val="24"/>
          <w:shd w:val="clear" w:color="auto" w:fill="FFFFFF"/>
        </w:rPr>
        <w:t xml:space="preserve"> </w:t>
      </w:r>
    </w:p>
    <w:p w14:paraId="60C74215" w14:textId="2B39D727" w:rsidR="00273688" w:rsidRPr="00EC2D81" w:rsidRDefault="004635CC" w:rsidP="00AE4286">
      <w:pPr>
        <w:ind w:firstLine="720"/>
        <w:jc w:val="both"/>
        <w:rPr>
          <w:rFonts w:ascii="Times New Roman" w:hAnsi="Times New Roman" w:cs="Times New Roman"/>
          <w:sz w:val="24"/>
          <w:szCs w:val="24"/>
        </w:rPr>
      </w:pPr>
      <w:r w:rsidRPr="00EC2D81">
        <w:rPr>
          <w:rFonts w:ascii="Times New Roman" w:hAnsi="Times New Roman" w:cs="Times New Roman"/>
          <w:sz w:val="24"/>
          <w:szCs w:val="24"/>
        </w:rPr>
        <w:t>In conclusion, we can see</w:t>
      </w:r>
      <w:r w:rsidR="00FC6FC8">
        <w:rPr>
          <w:rFonts w:ascii="Times New Roman" w:hAnsi="Times New Roman" w:cs="Times New Roman"/>
          <w:sz w:val="24"/>
          <w:szCs w:val="24"/>
        </w:rPr>
        <w:t xml:space="preserve"> that</w:t>
      </w:r>
      <w:r w:rsidRPr="00EC2D81">
        <w:rPr>
          <w:rFonts w:ascii="Times New Roman" w:hAnsi="Times New Roman" w:cs="Times New Roman"/>
          <w:sz w:val="24"/>
          <w:szCs w:val="24"/>
        </w:rPr>
        <w:t xml:space="preserve"> the economic profits of the food and beverage industry, </w:t>
      </w:r>
      <w:r w:rsidR="00AE4286" w:rsidRPr="00EC2D81">
        <w:rPr>
          <w:rFonts w:ascii="Times New Roman" w:hAnsi="Times New Roman" w:cs="Times New Roman"/>
          <w:sz w:val="24"/>
          <w:szCs w:val="24"/>
        </w:rPr>
        <w:t>and</w:t>
      </w:r>
      <w:r w:rsidRPr="00EC2D81">
        <w:rPr>
          <w:rFonts w:ascii="Times New Roman" w:hAnsi="Times New Roman" w:cs="Times New Roman"/>
          <w:sz w:val="24"/>
          <w:szCs w:val="24"/>
        </w:rPr>
        <w:t xml:space="preserve"> its ties to organized crime, pose considerable challenges to public health and food security on a global scale. The situations in Italy, particularly the exploitation of agricultural land in Naples and Caserta by the Camorra, as well as the infiltration of the agricultural sector by mafia groups in Sicily, </w:t>
      </w:r>
      <w:r w:rsidR="00AE4286" w:rsidRPr="00EC2D81">
        <w:rPr>
          <w:rFonts w:ascii="Times New Roman" w:hAnsi="Times New Roman" w:cs="Times New Roman"/>
          <w:sz w:val="24"/>
          <w:szCs w:val="24"/>
        </w:rPr>
        <w:t>bring to light</w:t>
      </w:r>
      <w:r w:rsidRPr="00EC2D81">
        <w:rPr>
          <w:rFonts w:ascii="Times New Roman" w:hAnsi="Times New Roman" w:cs="Times New Roman"/>
          <w:sz w:val="24"/>
          <w:szCs w:val="24"/>
        </w:rPr>
        <w:t xml:space="preserve"> how these illicit activities severely compromise food safety, environmental sustainability, and the rights of workers. The trafficking of counterfeit or contaminated food items and the exploitation of vulnerable laborers not only create immediate health hazards for consumers but also jeopardize the integrity of both local and international food systems. These criminal organizations take advantage of regulatory loopholes and insufficient institutional oversight, adversely affecting the environment and the livelihoods of farmers, especially in rural regions. Nevertheless, there are encouraging signs in the response to this issue. Coordinated initiatives involving law enforcement, non-governmental organizations, and anti-mafia legislation are making headway in the battle against food-related organized crime, particularly in Italy, where </w:t>
      </w:r>
      <w:r w:rsidRPr="00EC2D81">
        <w:rPr>
          <w:rFonts w:ascii="Times New Roman" w:hAnsi="Times New Roman" w:cs="Times New Roman"/>
          <w:sz w:val="24"/>
          <w:szCs w:val="24"/>
        </w:rPr>
        <w:lastRenderedPageBreak/>
        <w:t>reforms such as asset confiscation and reinvestment in local communities are yielding positive outcomes. These initiatives underscore the necessity of collaboration among various sectors—government, civil society, and the private sector—to ensure the safety, sustainability, and equity of the global food supply. As public health threats continue to emerge from these unlawful activities, it is imperative for governments around the world to implement more comprehensive and multifaceted strategies to address the intersection of organized crime and the food industry, thereby protecting the welfare of consumers and workers alike.</w:t>
      </w:r>
      <w:r w:rsidR="006F200B">
        <w:rPr>
          <w:rFonts w:ascii="Times New Roman" w:hAnsi="Times New Roman" w:cs="Times New Roman"/>
          <w:sz w:val="24"/>
          <w:szCs w:val="24"/>
        </w:rPr>
        <w:t xml:space="preserve"> </w:t>
      </w:r>
      <w:r w:rsidR="009D4AAD">
        <w:rPr>
          <w:rStyle w:val="FootnoteReference"/>
          <w:rFonts w:ascii="Times New Roman" w:hAnsi="Times New Roman" w:cs="Times New Roman"/>
          <w:sz w:val="24"/>
          <w:szCs w:val="24"/>
        </w:rPr>
        <w:footnoteReference w:id="16"/>
      </w:r>
      <w:r w:rsidR="006F200B">
        <w:rPr>
          <w:rFonts w:ascii="Times New Roman" w:hAnsi="Times New Roman" w:cs="Times New Roman"/>
          <w:sz w:val="24"/>
          <w:szCs w:val="24"/>
          <w:shd w:val="clear" w:color="auto" w:fill="FFFFFF"/>
        </w:rPr>
        <w:t xml:space="preserve">One can even draw a connection between crime and social wellbeing. It is time, Italy rebuilds a community where farmers have the right to own land and live safely, and in doing so, they also produce </w:t>
      </w:r>
      <w:r w:rsidR="006F200B" w:rsidRPr="00317D20">
        <w:rPr>
          <w:rFonts w:ascii="Times New Roman" w:hAnsi="Times New Roman" w:cs="Times New Roman"/>
          <w:sz w:val="24"/>
          <w:szCs w:val="24"/>
          <w:shd w:val="clear" w:color="auto" w:fill="FFFFFF"/>
        </w:rPr>
        <w:t xml:space="preserve">health, happiness, and prosperity. </w:t>
      </w:r>
      <w:r w:rsidR="00273688" w:rsidRPr="00EC2D81">
        <w:rPr>
          <w:rFonts w:ascii="Times New Roman" w:hAnsi="Times New Roman" w:cs="Times New Roman"/>
          <w:sz w:val="24"/>
          <w:szCs w:val="24"/>
        </w:rPr>
        <w:br w:type="page"/>
      </w:r>
    </w:p>
    <w:p w14:paraId="2D503414" w14:textId="4263436B" w:rsidR="000A1239" w:rsidRPr="00EC2D81" w:rsidRDefault="00273688" w:rsidP="00755FDC">
      <w:pPr>
        <w:jc w:val="center"/>
        <w:rPr>
          <w:rFonts w:ascii="Times New Roman" w:hAnsi="Times New Roman" w:cs="Times New Roman"/>
          <w:sz w:val="24"/>
          <w:szCs w:val="24"/>
          <w:u w:val="single"/>
        </w:rPr>
      </w:pPr>
      <w:r w:rsidRPr="00EC2D81">
        <w:rPr>
          <w:rFonts w:ascii="Times New Roman" w:hAnsi="Times New Roman" w:cs="Times New Roman"/>
          <w:sz w:val="24"/>
          <w:szCs w:val="24"/>
          <w:u w:val="single"/>
        </w:rPr>
        <w:lastRenderedPageBreak/>
        <w:t>Bibliography</w:t>
      </w:r>
    </w:p>
    <w:p w14:paraId="751E3776" w14:textId="77777777" w:rsidR="00755FDC" w:rsidRPr="00EC2D81" w:rsidRDefault="00755FDC" w:rsidP="00755FDC">
      <w:pPr>
        <w:jc w:val="center"/>
        <w:rPr>
          <w:rFonts w:ascii="Times New Roman" w:hAnsi="Times New Roman" w:cs="Times New Roman"/>
          <w:sz w:val="24"/>
          <w:szCs w:val="24"/>
          <w:u w:val="single"/>
        </w:rPr>
      </w:pPr>
    </w:p>
    <w:p w14:paraId="643DD933" w14:textId="242DFAB5" w:rsidR="003D5E4B" w:rsidRPr="00CB5AEB" w:rsidRDefault="003D5E4B" w:rsidP="003D5E4B">
      <w:pPr>
        <w:spacing w:after="0" w:line="240" w:lineRule="auto"/>
        <w:rPr>
          <w:rFonts w:ascii="Times New Roman" w:eastAsia="Times New Roman" w:hAnsi="Times New Roman" w:cs="Times New Roman"/>
          <w:sz w:val="24"/>
          <w:szCs w:val="24"/>
        </w:rPr>
      </w:pPr>
      <w:proofErr w:type="spellStart"/>
      <w:r w:rsidRPr="003D5E4B">
        <w:rPr>
          <w:rFonts w:ascii="Times New Roman" w:eastAsia="Times New Roman" w:hAnsi="Times New Roman" w:cs="Times New Roman"/>
          <w:sz w:val="24"/>
          <w:szCs w:val="24"/>
        </w:rPr>
        <w:t>Panico</w:t>
      </w:r>
      <w:proofErr w:type="spellEnd"/>
      <w:r w:rsidRPr="003D5E4B">
        <w:rPr>
          <w:rFonts w:ascii="Times New Roman" w:eastAsia="Times New Roman" w:hAnsi="Times New Roman" w:cs="Times New Roman"/>
          <w:sz w:val="24"/>
          <w:szCs w:val="24"/>
        </w:rPr>
        <w:t xml:space="preserve">, T., </w:t>
      </w:r>
      <w:proofErr w:type="spellStart"/>
      <w:r w:rsidRPr="003D5E4B">
        <w:rPr>
          <w:rFonts w:ascii="Times New Roman" w:eastAsia="Times New Roman" w:hAnsi="Times New Roman" w:cs="Times New Roman"/>
          <w:sz w:val="24"/>
          <w:szCs w:val="24"/>
        </w:rPr>
        <w:t>Pascucci</w:t>
      </w:r>
      <w:proofErr w:type="spellEnd"/>
      <w:r w:rsidRPr="003D5E4B">
        <w:rPr>
          <w:rFonts w:ascii="Times New Roman" w:eastAsia="Times New Roman" w:hAnsi="Times New Roman" w:cs="Times New Roman"/>
          <w:sz w:val="24"/>
          <w:szCs w:val="24"/>
        </w:rPr>
        <w:t xml:space="preserve">, S., </w:t>
      </w:r>
      <w:proofErr w:type="spellStart"/>
      <w:r w:rsidRPr="003D5E4B">
        <w:rPr>
          <w:rFonts w:ascii="Times New Roman" w:eastAsia="Times New Roman" w:hAnsi="Times New Roman" w:cs="Times New Roman"/>
          <w:sz w:val="24"/>
          <w:szCs w:val="24"/>
        </w:rPr>
        <w:t>Cicia</w:t>
      </w:r>
      <w:proofErr w:type="spellEnd"/>
      <w:r w:rsidRPr="003D5E4B">
        <w:rPr>
          <w:rFonts w:ascii="Times New Roman" w:eastAsia="Times New Roman" w:hAnsi="Times New Roman" w:cs="Times New Roman"/>
          <w:sz w:val="24"/>
          <w:szCs w:val="24"/>
        </w:rPr>
        <w:t xml:space="preserve">, G., &amp; Del Giudice, T. (2024). Farming in the shadow of violent organizations: understanding farmers’ relational place-making in socio-ecological crises. </w:t>
      </w:r>
      <w:r w:rsidRPr="003D5E4B">
        <w:rPr>
          <w:rFonts w:ascii="Times New Roman" w:eastAsia="Times New Roman" w:hAnsi="Times New Roman" w:cs="Times New Roman"/>
          <w:i/>
          <w:iCs/>
          <w:sz w:val="24"/>
          <w:szCs w:val="24"/>
        </w:rPr>
        <w:t>Sustainability Science</w:t>
      </w:r>
      <w:r w:rsidRPr="003D5E4B">
        <w:rPr>
          <w:rFonts w:ascii="Times New Roman" w:eastAsia="Times New Roman" w:hAnsi="Times New Roman" w:cs="Times New Roman"/>
          <w:sz w:val="24"/>
          <w:szCs w:val="24"/>
        </w:rPr>
        <w:t xml:space="preserve">, </w:t>
      </w:r>
      <w:r w:rsidRPr="003D5E4B">
        <w:rPr>
          <w:rFonts w:ascii="Times New Roman" w:eastAsia="Times New Roman" w:hAnsi="Times New Roman" w:cs="Times New Roman"/>
          <w:i/>
          <w:iCs/>
          <w:sz w:val="24"/>
          <w:szCs w:val="24"/>
        </w:rPr>
        <w:t>19</w:t>
      </w:r>
      <w:r w:rsidRPr="003D5E4B">
        <w:rPr>
          <w:rFonts w:ascii="Times New Roman" w:eastAsia="Times New Roman" w:hAnsi="Times New Roman" w:cs="Times New Roman"/>
          <w:sz w:val="24"/>
          <w:szCs w:val="24"/>
        </w:rPr>
        <w:t xml:space="preserve">(3), 1003–1020. </w:t>
      </w:r>
      <w:hyperlink r:id="rId7" w:history="1">
        <w:r w:rsidRPr="003D5E4B">
          <w:rPr>
            <w:rStyle w:val="Hyperlink"/>
            <w:rFonts w:ascii="Times New Roman" w:eastAsia="Times New Roman" w:hAnsi="Times New Roman" w:cs="Times New Roman"/>
            <w:sz w:val="24"/>
            <w:szCs w:val="24"/>
          </w:rPr>
          <w:t>https://doi.org/10.1007/s11625-024-01499-1</w:t>
        </w:r>
      </w:hyperlink>
    </w:p>
    <w:p w14:paraId="1A789BF9" w14:textId="77777777" w:rsidR="003D5E4B" w:rsidRPr="003D5E4B" w:rsidRDefault="003D5E4B" w:rsidP="003D5E4B">
      <w:pPr>
        <w:spacing w:after="0" w:line="240" w:lineRule="auto"/>
        <w:ind w:hanging="720"/>
        <w:rPr>
          <w:rFonts w:ascii="Times New Roman" w:eastAsia="Times New Roman" w:hAnsi="Times New Roman" w:cs="Times New Roman"/>
          <w:sz w:val="24"/>
          <w:szCs w:val="24"/>
        </w:rPr>
      </w:pPr>
    </w:p>
    <w:p w14:paraId="59161573" w14:textId="37B43E56" w:rsidR="002B4C90" w:rsidRPr="00CB5AEB" w:rsidRDefault="002B4C90" w:rsidP="002B4C90">
      <w:pPr>
        <w:spacing w:after="0" w:line="240" w:lineRule="auto"/>
        <w:rPr>
          <w:rFonts w:ascii="Times New Roman" w:eastAsia="Times New Roman" w:hAnsi="Times New Roman" w:cs="Times New Roman"/>
          <w:sz w:val="24"/>
          <w:szCs w:val="24"/>
        </w:rPr>
      </w:pPr>
      <w:proofErr w:type="spellStart"/>
      <w:r w:rsidRPr="002B4C90">
        <w:rPr>
          <w:rFonts w:ascii="Times New Roman" w:eastAsia="Times New Roman" w:hAnsi="Times New Roman" w:cs="Times New Roman"/>
          <w:sz w:val="24"/>
          <w:szCs w:val="24"/>
        </w:rPr>
        <w:t>Muti</w:t>
      </w:r>
      <w:proofErr w:type="spellEnd"/>
      <w:r w:rsidRPr="002B4C90">
        <w:rPr>
          <w:rFonts w:ascii="Times New Roman" w:eastAsia="Times New Roman" w:hAnsi="Times New Roman" w:cs="Times New Roman"/>
          <w:sz w:val="24"/>
          <w:szCs w:val="24"/>
        </w:rPr>
        <w:t xml:space="preserve">, G. (2022). The fight against agribusiness crime and the regeneration of agricultural land confiscated from </w:t>
      </w:r>
      <w:proofErr w:type="spellStart"/>
      <w:r w:rsidRPr="002B4C90">
        <w:rPr>
          <w:rFonts w:ascii="Times New Roman" w:eastAsia="Times New Roman" w:hAnsi="Times New Roman" w:cs="Times New Roman"/>
          <w:sz w:val="24"/>
          <w:szCs w:val="24"/>
        </w:rPr>
        <w:t>organised</w:t>
      </w:r>
      <w:proofErr w:type="spellEnd"/>
      <w:r w:rsidRPr="002B4C90">
        <w:rPr>
          <w:rFonts w:ascii="Times New Roman" w:eastAsia="Times New Roman" w:hAnsi="Times New Roman" w:cs="Times New Roman"/>
          <w:sz w:val="24"/>
          <w:szCs w:val="24"/>
        </w:rPr>
        <w:t xml:space="preserve"> crime groups in Italy. </w:t>
      </w:r>
      <w:r w:rsidRPr="002B4C90">
        <w:rPr>
          <w:rFonts w:ascii="Times New Roman" w:eastAsia="Times New Roman" w:hAnsi="Times New Roman" w:cs="Times New Roman"/>
          <w:i/>
          <w:iCs/>
          <w:sz w:val="24"/>
          <w:szCs w:val="24"/>
        </w:rPr>
        <w:t>BELGEO</w:t>
      </w:r>
      <w:r w:rsidRPr="002B4C90">
        <w:rPr>
          <w:rFonts w:ascii="Times New Roman" w:eastAsia="Times New Roman" w:hAnsi="Times New Roman" w:cs="Times New Roman"/>
          <w:sz w:val="24"/>
          <w:szCs w:val="24"/>
        </w:rPr>
        <w:t xml:space="preserve">, </w:t>
      </w:r>
      <w:r w:rsidRPr="002B4C90">
        <w:rPr>
          <w:rFonts w:ascii="Times New Roman" w:eastAsia="Times New Roman" w:hAnsi="Times New Roman" w:cs="Times New Roman"/>
          <w:i/>
          <w:iCs/>
          <w:sz w:val="24"/>
          <w:szCs w:val="24"/>
        </w:rPr>
        <w:t>4</w:t>
      </w:r>
      <w:r w:rsidRPr="002B4C90">
        <w:rPr>
          <w:rFonts w:ascii="Times New Roman" w:eastAsia="Times New Roman" w:hAnsi="Times New Roman" w:cs="Times New Roman"/>
          <w:sz w:val="24"/>
          <w:szCs w:val="24"/>
        </w:rPr>
        <w:t xml:space="preserve">. </w:t>
      </w:r>
      <w:hyperlink r:id="rId8" w:history="1">
        <w:r w:rsidR="00E8383F" w:rsidRPr="002B4C90">
          <w:rPr>
            <w:rStyle w:val="Hyperlink"/>
            <w:rFonts w:ascii="Times New Roman" w:eastAsia="Times New Roman" w:hAnsi="Times New Roman" w:cs="Times New Roman"/>
            <w:sz w:val="24"/>
            <w:szCs w:val="24"/>
          </w:rPr>
          <w:t>https://doi.org/10.4000/belgeo.58516</w:t>
        </w:r>
      </w:hyperlink>
    </w:p>
    <w:p w14:paraId="71958FEE" w14:textId="77777777" w:rsidR="00E8383F" w:rsidRPr="002B4C90" w:rsidRDefault="00E8383F" w:rsidP="002B4C90">
      <w:pPr>
        <w:spacing w:after="0" w:line="240" w:lineRule="auto"/>
        <w:rPr>
          <w:rFonts w:ascii="Times New Roman" w:eastAsia="Times New Roman" w:hAnsi="Times New Roman" w:cs="Times New Roman"/>
          <w:sz w:val="24"/>
          <w:szCs w:val="24"/>
        </w:rPr>
      </w:pPr>
    </w:p>
    <w:p w14:paraId="143FD749" w14:textId="08378909" w:rsidR="00E8383F" w:rsidRPr="00CB5AEB" w:rsidRDefault="00E8383F" w:rsidP="00E8383F">
      <w:pPr>
        <w:spacing w:after="0" w:line="240" w:lineRule="auto"/>
        <w:rPr>
          <w:rFonts w:ascii="Times New Roman" w:eastAsia="Times New Roman" w:hAnsi="Times New Roman" w:cs="Times New Roman"/>
          <w:sz w:val="24"/>
          <w:szCs w:val="24"/>
        </w:rPr>
      </w:pPr>
      <w:r w:rsidRPr="00E8383F">
        <w:rPr>
          <w:rFonts w:ascii="Times New Roman" w:eastAsia="Times New Roman" w:hAnsi="Times New Roman" w:cs="Times New Roman"/>
          <w:sz w:val="24"/>
          <w:szCs w:val="24"/>
        </w:rPr>
        <w:t xml:space="preserve">Reports, V. M. (2025). Food and Beverages Market Outlook | Key drivers &amp; Industry Overview in the United States. In </w:t>
      </w:r>
      <w:r w:rsidRPr="00E8383F">
        <w:rPr>
          <w:rFonts w:ascii="Times New Roman" w:eastAsia="Times New Roman" w:hAnsi="Times New Roman" w:cs="Times New Roman"/>
          <w:i/>
          <w:iCs/>
          <w:sz w:val="24"/>
          <w:szCs w:val="24"/>
        </w:rPr>
        <w:t>Verified Market Reports</w:t>
      </w:r>
      <w:r w:rsidRPr="00E8383F">
        <w:rPr>
          <w:rFonts w:ascii="Times New Roman" w:eastAsia="Times New Roman" w:hAnsi="Times New Roman" w:cs="Times New Roman"/>
          <w:sz w:val="24"/>
          <w:szCs w:val="24"/>
        </w:rPr>
        <w:t xml:space="preserve">. </w:t>
      </w:r>
      <w:hyperlink r:id="rId9" w:history="1">
        <w:r w:rsidRPr="00E8383F">
          <w:rPr>
            <w:rStyle w:val="Hyperlink"/>
            <w:rFonts w:ascii="Times New Roman" w:eastAsia="Times New Roman" w:hAnsi="Times New Roman" w:cs="Times New Roman"/>
            <w:sz w:val="24"/>
            <w:szCs w:val="24"/>
          </w:rPr>
          <w:t>https://www.verifiedmarketreports.com/product/food-and-beverages-market/</w:t>
        </w:r>
      </w:hyperlink>
    </w:p>
    <w:p w14:paraId="5A5417AD" w14:textId="7C4BCC75" w:rsidR="008404DA" w:rsidRPr="00CB5AEB" w:rsidRDefault="008404DA" w:rsidP="008404DA">
      <w:pPr>
        <w:spacing w:before="100" w:beforeAutospacing="1" w:after="100" w:afterAutospacing="1" w:line="240" w:lineRule="auto"/>
        <w:rPr>
          <w:rFonts w:ascii="Times New Roman" w:eastAsia="Times New Roman" w:hAnsi="Times New Roman" w:cs="Times New Roman"/>
          <w:sz w:val="24"/>
          <w:szCs w:val="24"/>
        </w:rPr>
      </w:pPr>
      <w:r w:rsidRPr="00CB5AEB">
        <w:rPr>
          <w:rFonts w:ascii="Times New Roman" w:eastAsia="Times New Roman" w:hAnsi="Times New Roman" w:cs="Times New Roman"/>
          <w:sz w:val="24"/>
          <w:szCs w:val="24"/>
        </w:rPr>
        <w:t xml:space="preserve">New </w:t>
      </w:r>
      <w:proofErr w:type="spellStart"/>
      <w:r w:rsidRPr="00CB5AEB">
        <w:rPr>
          <w:rFonts w:ascii="Times New Roman" w:eastAsia="Times New Roman" w:hAnsi="Times New Roman" w:cs="Times New Roman"/>
          <w:sz w:val="24"/>
          <w:szCs w:val="24"/>
        </w:rPr>
        <w:t>Unctad</w:t>
      </w:r>
      <w:proofErr w:type="spellEnd"/>
      <w:r w:rsidRPr="00CB5AEB">
        <w:rPr>
          <w:rFonts w:ascii="Times New Roman" w:eastAsia="Times New Roman" w:hAnsi="Times New Roman" w:cs="Times New Roman"/>
          <w:sz w:val="24"/>
          <w:szCs w:val="24"/>
        </w:rPr>
        <w:t xml:space="preserve">-who analysis reveals trends in Processed Foods trade | Unctad. Accessed December 7, 2024. </w:t>
      </w:r>
      <w:hyperlink r:id="rId10" w:history="1">
        <w:r w:rsidRPr="00CB5AEB">
          <w:rPr>
            <w:rStyle w:val="Hyperlink"/>
            <w:rFonts w:ascii="Times New Roman" w:eastAsia="Times New Roman" w:hAnsi="Times New Roman" w:cs="Times New Roman"/>
            <w:color w:val="0070C0"/>
            <w:sz w:val="24"/>
            <w:szCs w:val="24"/>
          </w:rPr>
          <w:t>https://unctad.org/news/new-unctad-who-analysis-reveals-trends-processed-foods-trade</w:t>
        </w:r>
      </w:hyperlink>
      <w:r w:rsidRPr="00CB5AEB">
        <w:rPr>
          <w:rFonts w:ascii="Times New Roman" w:eastAsia="Times New Roman" w:hAnsi="Times New Roman" w:cs="Times New Roman"/>
          <w:sz w:val="24"/>
          <w:szCs w:val="24"/>
        </w:rPr>
        <w:t>.</w:t>
      </w:r>
    </w:p>
    <w:p w14:paraId="2B7AFD80" w14:textId="77777777" w:rsidR="004249B4" w:rsidRPr="004249B4" w:rsidRDefault="004249B4" w:rsidP="004249B4">
      <w:pPr>
        <w:spacing w:after="0" w:line="240" w:lineRule="auto"/>
        <w:rPr>
          <w:rFonts w:ascii="Times New Roman" w:eastAsia="Times New Roman" w:hAnsi="Times New Roman" w:cs="Times New Roman"/>
          <w:sz w:val="24"/>
          <w:szCs w:val="24"/>
        </w:rPr>
      </w:pPr>
      <w:proofErr w:type="spellStart"/>
      <w:r w:rsidRPr="004249B4">
        <w:rPr>
          <w:rFonts w:ascii="Times New Roman" w:eastAsia="Times New Roman" w:hAnsi="Times New Roman" w:cs="Times New Roman"/>
          <w:sz w:val="24"/>
          <w:szCs w:val="24"/>
        </w:rPr>
        <w:t>Iannuli</w:t>
      </w:r>
      <w:proofErr w:type="spellEnd"/>
      <w:r w:rsidRPr="004249B4">
        <w:rPr>
          <w:rFonts w:ascii="Times New Roman" w:eastAsia="Times New Roman" w:hAnsi="Times New Roman" w:cs="Times New Roman"/>
          <w:sz w:val="24"/>
          <w:szCs w:val="24"/>
        </w:rPr>
        <w:t xml:space="preserve">, F., &amp; Alliance. (2023, March 11). </w:t>
      </w:r>
      <w:r w:rsidRPr="004249B4">
        <w:rPr>
          <w:rFonts w:ascii="Times New Roman" w:eastAsia="Times New Roman" w:hAnsi="Times New Roman" w:cs="Times New Roman"/>
          <w:i/>
          <w:iCs/>
          <w:sz w:val="24"/>
          <w:szCs w:val="24"/>
        </w:rPr>
        <w:t>Food Frauds: Economic loss and health hazard</w:t>
      </w:r>
      <w:r w:rsidRPr="004249B4">
        <w:rPr>
          <w:rFonts w:ascii="Times New Roman" w:eastAsia="Times New Roman" w:hAnsi="Times New Roman" w:cs="Times New Roman"/>
          <w:sz w:val="24"/>
          <w:szCs w:val="24"/>
        </w:rPr>
        <w:t>. Alliance. https://alliance-heu-project.eu/articles/food-frauds-economic-loss-and-health-hazard</w:t>
      </w:r>
    </w:p>
    <w:p w14:paraId="30213223" w14:textId="6D9C71F7" w:rsidR="00A81FCF" w:rsidRPr="00CB5AEB" w:rsidRDefault="00A81FCF" w:rsidP="00367A5A">
      <w:pPr>
        <w:spacing w:before="100" w:beforeAutospacing="1" w:after="100" w:afterAutospacing="1" w:line="240" w:lineRule="auto"/>
        <w:rPr>
          <w:rFonts w:ascii="Times New Roman" w:eastAsia="Times New Roman" w:hAnsi="Times New Roman" w:cs="Times New Roman"/>
          <w:sz w:val="24"/>
          <w:szCs w:val="24"/>
        </w:rPr>
      </w:pPr>
      <w:proofErr w:type="spellStart"/>
      <w:r w:rsidRPr="00CB5AEB">
        <w:rPr>
          <w:rFonts w:ascii="Times New Roman" w:hAnsi="Times New Roman" w:cs="Times New Roman"/>
          <w:color w:val="222222"/>
          <w:sz w:val="24"/>
          <w:szCs w:val="24"/>
          <w:shd w:val="clear" w:color="auto" w:fill="FFFFFF"/>
        </w:rPr>
        <w:t>Poore</w:t>
      </w:r>
      <w:proofErr w:type="spellEnd"/>
      <w:r w:rsidRPr="00CB5AEB">
        <w:rPr>
          <w:rFonts w:ascii="Times New Roman" w:hAnsi="Times New Roman" w:cs="Times New Roman"/>
          <w:color w:val="222222"/>
          <w:sz w:val="24"/>
          <w:szCs w:val="24"/>
          <w:shd w:val="clear" w:color="auto" w:fill="FFFFFF"/>
        </w:rPr>
        <w:t xml:space="preserve">, J., &amp; </w:t>
      </w:r>
      <w:proofErr w:type="spellStart"/>
      <w:r w:rsidRPr="00CB5AEB">
        <w:rPr>
          <w:rFonts w:ascii="Times New Roman" w:hAnsi="Times New Roman" w:cs="Times New Roman"/>
          <w:color w:val="222222"/>
          <w:sz w:val="24"/>
          <w:szCs w:val="24"/>
          <w:shd w:val="clear" w:color="auto" w:fill="FFFFFF"/>
        </w:rPr>
        <w:t>Nemecek</w:t>
      </w:r>
      <w:proofErr w:type="spellEnd"/>
      <w:r w:rsidRPr="00CB5AEB">
        <w:rPr>
          <w:rFonts w:ascii="Times New Roman" w:hAnsi="Times New Roman" w:cs="Times New Roman"/>
          <w:color w:val="222222"/>
          <w:sz w:val="24"/>
          <w:szCs w:val="24"/>
          <w:shd w:val="clear" w:color="auto" w:fill="FFFFFF"/>
        </w:rPr>
        <w:t>, T. (2018). Reducing food’s environmental impacts through producers and consumers. </w:t>
      </w:r>
      <w:r w:rsidRPr="00CB5AEB">
        <w:rPr>
          <w:rFonts w:ascii="Times New Roman" w:hAnsi="Times New Roman" w:cs="Times New Roman"/>
          <w:i/>
          <w:iCs/>
          <w:color w:val="222222"/>
          <w:sz w:val="24"/>
          <w:szCs w:val="24"/>
          <w:shd w:val="clear" w:color="auto" w:fill="FFFFFF"/>
        </w:rPr>
        <w:t>Science</w:t>
      </w:r>
      <w:r w:rsidRPr="00CB5AEB">
        <w:rPr>
          <w:rFonts w:ascii="Times New Roman" w:hAnsi="Times New Roman" w:cs="Times New Roman"/>
          <w:color w:val="222222"/>
          <w:sz w:val="24"/>
          <w:szCs w:val="24"/>
          <w:shd w:val="clear" w:color="auto" w:fill="FFFFFF"/>
        </w:rPr>
        <w:t>, </w:t>
      </w:r>
      <w:r w:rsidRPr="00CB5AEB">
        <w:rPr>
          <w:rFonts w:ascii="Times New Roman" w:hAnsi="Times New Roman" w:cs="Times New Roman"/>
          <w:i/>
          <w:iCs/>
          <w:color w:val="222222"/>
          <w:sz w:val="24"/>
          <w:szCs w:val="24"/>
          <w:shd w:val="clear" w:color="auto" w:fill="FFFFFF"/>
        </w:rPr>
        <w:t>360</w:t>
      </w:r>
      <w:r w:rsidRPr="00CB5AEB">
        <w:rPr>
          <w:rFonts w:ascii="Times New Roman" w:hAnsi="Times New Roman" w:cs="Times New Roman"/>
          <w:color w:val="222222"/>
          <w:sz w:val="24"/>
          <w:szCs w:val="24"/>
          <w:shd w:val="clear" w:color="auto" w:fill="FFFFFF"/>
        </w:rPr>
        <w:t>(6392), 987-992.</w:t>
      </w:r>
    </w:p>
    <w:p w14:paraId="2F986565" w14:textId="25B0D2C8" w:rsidR="00367A5A" w:rsidRPr="00CB5AEB" w:rsidRDefault="001D70A7" w:rsidP="00EC2D81">
      <w:pPr>
        <w:spacing w:before="100" w:beforeAutospacing="1" w:after="100" w:afterAutospacing="1" w:line="240" w:lineRule="auto"/>
        <w:rPr>
          <w:rFonts w:ascii="Times New Roman" w:hAnsi="Times New Roman" w:cs="Times New Roman"/>
          <w:color w:val="222222"/>
          <w:sz w:val="24"/>
          <w:szCs w:val="24"/>
          <w:shd w:val="clear" w:color="auto" w:fill="FFFFFF"/>
        </w:rPr>
      </w:pPr>
      <w:r w:rsidRPr="00CB5AEB">
        <w:rPr>
          <w:rFonts w:ascii="Times New Roman" w:hAnsi="Times New Roman" w:cs="Times New Roman"/>
          <w:color w:val="222222"/>
          <w:sz w:val="24"/>
          <w:szCs w:val="24"/>
          <w:shd w:val="clear" w:color="auto" w:fill="FFFFFF"/>
        </w:rPr>
        <w:t xml:space="preserve">McLennan, M. (2025). The global risks report 2025 20th edition. </w:t>
      </w:r>
      <w:proofErr w:type="spellStart"/>
      <w:r w:rsidRPr="00CB5AEB">
        <w:rPr>
          <w:rFonts w:ascii="Times New Roman" w:hAnsi="Times New Roman" w:cs="Times New Roman"/>
          <w:color w:val="222222"/>
          <w:sz w:val="24"/>
          <w:szCs w:val="24"/>
          <w:shd w:val="clear" w:color="auto" w:fill="FFFFFF"/>
        </w:rPr>
        <w:t>Cologny</w:t>
      </w:r>
      <w:proofErr w:type="spellEnd"/>
      <w:r w:rsidRPr="00CB5AEB">
        <w:rPr>
          <w:rFonts w:ascii="Times New Roman" w:hAnsi="Times New Roman" w:cs="Times New Roman"/>
          <w:color w:val="222222"/>
          <w:sz w:val="24"/>
          <w:szCs w:val="24"/>
          <w:shd w:val="clear" w:color="auto" w:fill="FFFFFF"/>
        </w:rPr>
        <w:t>, Switzerland: World Economic Forum.</w:t>
      </w:r>
    </w:p>
    <w:p w14:paraId="50AF0948" w14:textId="43930398" w:rsidR="001209D1" w:rsidRPr="00CB5AEB" w:rsidRDefault="00A81FCF" w:rsidP="00EC2D81">
      <w:pPr>
        <w:spacing w:before="100" w:beforeAutospacing="1" w:after="100" w:afterAutospacing="1" w:line="240" w:lineRule="auto"/>
        <w:rPr>
          <w:rFonts w:ascii="Times New Roman" w:eastAsia="Times New Roman" w:hAnsi="Times New Roman" w:cs="Times New Roman"/>
          <w:sz w:val="24"/>
          <w:szCs w:val="24"/>
        </w:rPr>
      </w:pPr>
      <w:proofErr w:type="spellStart"/>
      <w:r w:rsidRPr="00CB5AEB">
        <w:rPr>
          <w:rFonts w:ascii="Times New Roman" w:hAnsi="Times New Roman" w:cs="Times New Roman"/>
          <w:color w:val="222222"/>
          <w:sz w:val="24"/>
          <w:szCs w:val="24"/>
          <w:shd w:val="clear" w:color="auto" w:fill="FFFFFF"/>
        </w:rPr>
        <w:t>Caraher</w:t>
      </w:r>
      <w:proofErr w:type="spellEnd"/>
      <w:r w:rsidRPr="00CB5AEB">
        <w:rPr>
          <w:rFonts w:ascii="Times New Roman" w:hAnsi="Times New Roman" w:cs="Times New Roman"/>
          <w:color w:val="222222"/>
          <w:sz w:val="24"/>
          <w:szCs w:val="24"/>
          <w:shd w:val="clear" w:color="auto" w:fill="FFFFFF"/>
        </w:rPr>
        <w:t>, M., &amp; Coveney, J. (2004). Public health nutrition and food policy. </w:t>
      </w:r>
      <w:r w:rsidRPr="00CB5AEB">
        <w:rPr>
          <w:rFonts w:ascii="Times New Roman" w:hAnsi="Times New Roman" w:cs="Times New Roman"/>
          <w:i/>
          <w:iCs/>
          <w:color w:val="222222"/>
          <w:sz w:val="24"/>
          <w:szCs w:val="24"/>
          <w:shd w:val="clear" w:color="auto" w:fill="FFFFFF"/>
        </w:rPr>
        <w:t>Public health nutrition</w:t>
      </w:r>
      <w:r w:rsidRPr="00CB5AEB">
        <w:rPr>
          <w:rFonts w:ascii="Times New Roman" w:hAnsi="Times New Roman" w:cs="Times New Roman"/>
          <w:color w:val="222222"/>
          <w:sz w:val="24"/>
          <w:szCs w:val="24"/>
          <w:shd w:val="clear" w:color="auto" w:fill="FFFFFF"/>
        </w:rPr>
        <w:t>, </w:t>
      </w:r>
      <w:r w:rsidRPr="00CB5AEB">
        <w:rPr>
          <w:rFonts w:ascii="Times New Roman" w:hAnsi="Times New Roman" w:cs="Times New Roman"/>
          <w:i/>
          <w:iCs/>
          <w:color w:val="222222"/>
          <w:sz w:val="24"/>
          <w:szCs w:val="24"/>
          <w:shd w:val="clear" w:color="auto" w:fill="FFFFFF"/>
        </w:rPr>
        <w:t>7</w:t>
      </w:r>
      <w:r w:rsidRPr="00CB5AEB">
        <w:rPr>
          <w:rFonts w:ascii="Times New Roman" w:hAnsi="Times New Roman" w:cs="Times New Roman"/>
          <w:color w:val="222222"/>
          <w:sz w:val="24"/>
          <w:szCs w:val="24"/>
          <w:shd w:val="clear" w:color="auto" w:fill="FFFFFF"/>
        </w:rPr>
        <w:t>(5), 591-598.</w:t>
      </w:r>
    </w:p>
    <w:p w14:paraId="2FBECAAA" w14:textId="31C62239" w:rsidR="00464113" w:rsidRPr="00CB5AEB" w:rsidRDefault="0055529B" w:rsidP="00464113">
      <w:pPr>
        <w:spacing w:before="100" w:beforeAutospacing="1" w:after="100" w:afterAutospacing="1" w:line="240" w:lineRule="auto"/>
        <w:rPr>
          <w:rFonts w:ascii="Times New Roman" w:eastAsia="Times New Roman" w:hAnsi="Times New Roman" w:cs="Times New Roman"/>
          <w:sz w:val="24"/>
          <w:szCs w:val="24"/>
        </w:rPr>
      </w:pPr>
      <w:proofErr w:type="spellStart"/>
      <w:r w:rsidRPr="00CB5AEB">
        <w:rPr>
          <w:rFonts w:ascii="Times New Roman" w:hAnsi="Times New Roman" w:cs="Times New Roman"/>
          <w:color w:val="222222"/>
          <w:sz w:val="24"/>
          <w:szCs w:val="24"/>
          <w:shd w:val="clear" w:color="auto" w:fill="FFFFFF"/>
        </w:rPr>
        <w:t>Rangasami</w:t>
      </w:r>
      <w:proofErr w:type="spellEnd"/>
      <w:r w:rsidRPr="00CB5AEB">
        <w:rPr>
          <w:rFonts w:ascii="Times New Roman" w:hAnsi="Times New Roman" w:cs="Times New Roman"/>
          <w:color w:val="222222"/>
          <w:sz w:val="24"/>
          <w:szCs w:val="24"/>
          <w:shd w:val="clear" w:color="auto" w:fill="FFFFFF"/>
        </w:rPr>
        <w:t>, A. (1985). 'Failure of Exchange Entitlements' Theory of Famine: A Response. </w:t>
      </w:r>
      <w:r w:rsidRPr="00CB5AEB">
        <w:rPr>
          <w:rFonts w:ascii="Times New Roman" w:hAnsi="Times New Roman" w:cs="Times New Roman"/>
          <w:i/>
          <w:iCs/>
          <w:color w:val="222222"/>
          <w:sz w:val="24"/>
          <w:szCs w:val="24"/>
          <w:shd w:val="clear" w:color="auto" w:fill="FFFFFF"/>
        </w:rPr>
        <w:t>Economic and Political Weekly</w:t>
      </w:r>
      <w:r w:rsidRPr="00CB5AEB">
        <w:rPr>
          <w:rFonts w:ascii="Times New Roman" w:hAnsi="Times New Roman" w:cs="Times New Roman"/>
          <w:color w:val="222222"/>
          <w:sz w:val="24"/>
          <w:szCs w:val="24"/>
          <w:shd w:val="clear" w:color="auto" w:fill="FFFFFF"/>
        </w:rPr>
        <w:t>, 1797-1801.</w:t>
      </w:r>
    </w:p>
    <w:p w14:paraId="12D0EC08" w14:textId="11ECB958" w:rsidR="00464113" w:rsidRPr="00CB5AEB" w:rsidRDefault="00793660" w:rsidP="00464113">
      <w:pPr>
        <w:spacing w:before="100" w:beforeAutospacing="1" w:after="100" w:afterAutospacing="1" w:line="240" w:lineRule="auto"/>
        <w:ind w:left="567" w:hanging="567"/>
        <w:rPr>
          <w:rFonts w:ascii="Times New Roman" w:hAnsi="Times New Roman" w:cs="Times New Roman"/>
          <w:color w:val="222222"/>
          <w:sz w:val="24"/>
          <w:szCs w:val="24"/>
          <w:shd w:val="clear" w:color="auto" w:fill="FFFFFF"/>
        </w:rPr>
      </w:pPr>
      <w:r w:rsidRPr="00CB5AEB">
        <w:rPr>
          <w:rFonts w:ascii="Times New Roman" w:hAnsi="Times New Roman" w:cs="Times New Roman"/>
          <w:color w:val="222222"/>
          <w:sz w:val="24"/>
          <w:szCs w:val="24"/>
          <w:shd w:val="clear" w:color="auto" w:fill="FFFFFF"/>
        </w:rPr>
        <w:t>Helliwell, J. F., Layard, R., Sachs, J. D., &amp; Neve, J. E. D. (202</w:t>
      </w:r>
      <w:r w:rsidR="0043708E" w:rsidRPr="00CB5AEB">
        <w:rPr>
          <w:rFonts w:ascii="Times New Roman" w:hAnsi="Times New Roman" w:cs="Times New Roman"/>
          <w:color w:val="222222"/>
          <w:sz w:val="24"/>
          <w:szCs w:val="24"/>
          <w:shd w:val="clear" w:color="auto" w:fill="FFFFFF"/>
        </w:rPr>
        <w:t>5</w:t>
      </w:r>
      <w:r w:rsidRPr="00CB5AEB">
        <w:rPr>
          <w:rFonts w:ascii="Times New Roman" w:hAnsi="Times New Roman" w:cs="Times New Roman"/>
          <w:color w:val="222222"/>
          <w:sz w:val="24"/>
          <w:szCs w:val="24"/>
          <w:shd w:val="clear" w:color="auto" w:fill="FFFFFF"/>
        </w:rPr>
        <w:t>). World happiness report 202</w:t>
      </w:r>
      <w:r w:rsidR="0043708E" w:rsidRPr="00CB5AEB">
        <w:rPr>
          <w:rFonts w:ascii="Times New Roman" w:hAnsi="Times New Roman" w:cs="Times New Roman"/>
          <w:color w:val="222222"/>
          <w:sz w:val="24"/>
          <w:szCs w:val="24"/>
          <w:shd w:val="clear" w:color="auto" w:fill="FFFFFF"/>
        </w:rPr>
        <w:t>5</w:t>
      </w:r>
      <w:r w:rsidRPr="00CB5AEB">
        <w:rPr>
          <w:rFonts w:ascii="Times New Roman" w:hAnsi="Times New Roman" w:cs="Times New Roman"/>
          <w:color w:val="222222"/>
          <w:sz w:val="24"/>
          <w:szCs w:val="24"/>
          <w:shd w:val="clear" w:color="auto" w:fill="FFFFFF"/>
        </w:rPr>
        <w:t>.</w:t>
      </w:r>
    </w:p>
    <w:p w14:paraId="0B71A433" w14:textId="77777777" w:rsidR="00D56F38" w:rsidRPr="00D56F38" w:rsidRDefault="00D56F38" w:rsidP="00D56F38">
      <w:pPr>
        <w:spacing w:before="100" w:beforeAutospacing="1" w:after="100" w:afterAutospacing="1" w:line="240" w:lineRule="auto"/>
        <w:rPr>
          <w:rFonts w:ascii="Times New Roman" w:eastAsia="Times New Roman" w:hAnsi="Times New Roman" w:cs="Times New Roman"/>
          <w:sz w:val="24"/>
          <w:szCs w:val="24"/>
        </w:rPr>
      </w:pPr>
      <w:r w:rsidRPr="00D56F38">
        <w:rPr>
          <w:rFonts w:ascii="Times New Roman" w:eastAsia="Times New Roman" w:hAnsi="Times New Roman" w:cs="Times New Roman"/>
          <w:sz w:val="24"/>
          <w:szCs w:val="24"/>
        </w:rPr>
        <w:t>Vito. “</w:t>
      </w:r>
      <w:proofErr w:type="spellStart"/>
      <w:r w:rsidRPr="00D56F38">
        <w:rPr>
          <w:rFonts w:ascii="Times New Roman" w:eastAsia="Times New Roman" w:hAnsi="Times New Roman" w:cs="Times New Roman"/>
          <w:sz w:val="24"/>
          <w:szCs w:val="24"/>
        </w:rPr>
        <w:t>Agromafie</w:t>
      </w:r>
      <w:proofErr w:type="spellEnd"/>
      <w:r w:rsidRPr="00D56F38">
        <w:rPr>
          <w:rFonts w:ascii="Times New Roman" w:eastAsia="Times New Roman" w:hAnsi="Times New Roman" w:cs="Times New Roman"/>
          <w:sz w:val="24"/>
          <w:szCs w:val="24"/>
        </w:rPr>
        <w:t xml:space="preserve">. Report on Agri-Food Crimes in Italy.” </w:t>
      </w:r>
      <w:proofErr w:type="spellStart"/>
      <w:r w:rsidRPr="00D56F38">
        <w:rPr>
          <w:rFonts w:ascii="Times New Roman" w:eastAsia="Times New Roman" w:hAnsi="Times New Roman" w:cs="Times New Roman"/>
          <w:sz w:val="24"/>
          <w:szCs w:val="24"/>
        </w:rPr>
        <w:t>Eurispes</w:t>
      </w:r>
      <w:proofErr w:type="spellEnd"/>
      <w:r w:rsidRPr="00D56F38">
        <w:rPr>
          <w:rFonts w:ascii="Times New Roman" w:eastAsia="Times New Roman" w:hAnsi="Times New Roman" w:cs="Times New Roman"/>
          <w:sz w:val="24"/>
          <w:szCs w:val="24"/>
        </w:rPr>
        <w:t xml:space="preserve">, April 29, 2021. https://eurispes.eu/en/reports/agromafie-report-on-agri-food-crimes-in-italy/. </w:t>
      </w:r>
    </w:p>
    <w:p w14:paraId="42D8A5D5" w14:textId="77777777" w:rsidR="00D56F38" w:rsidRPr="00D56F38" w:rsidRDefault="00D56F38" w:rsidP="00D56F38">
      <w:pPr>
        <w:spacing w:before="100" w:beforeAutospacing="1" w:after="100" w:afterAutospacing="1" w:line="240" w:lineRule="auto"/>
        <w:rPr>
          <w:rFonts w:ascii="Times New Roman" w:eastAsia="Times New Roman" w:hAnsi="Times New Roman" w:cs="Times New Roman"/>
          <w:sz w:val="24"/>
          <w:szCs w:val="24"/>
        </w:rPr>
      </w:pPr>
      <w:r w:rsidRPr="00D56F38">
        <w:rPr>
          <w:rFonts w:ascii="Times New Roman" w:eastAsia="Times New Roman" w:hAnsi="Times New Roman" w:cs="Times New Roman"/>
          <w:sz w:val="24"/>
          <w:szCs w:val="24"/>
        </w:rPr>
        <w:t xml:space="preserve">Logistics news Middle East, transport, supply chain, Air Cargo News - Logistics Middle East. Accessed May 20, 2025. https://www.logisticsmiddleeast.com/. </w:t>
      </w:r>
    </w:p>
    <w:p w14:paraId="3143C584" w14:textId="77777777" w:rsidR="00421A88" w:rsidRPr="00421A88" w:rsidRDefault="00421A88" w:rsidP="00421A88">
      <w:pPr>
        <w:spacing w:before="100" w:beforeAutospacing="1" w:after="100" w:afterAutospacing="1" w:line="240" w:lineRule="auto"/>
        <w:rPr>
          <w:rFonts w:ascii="Times New Roman" w:eastAsia="Times New Roman" w:hAnsi="Times New Roman" w:cs="Times New Roman"/>
          <w:sz w:val="24"/>
          <w:szCs w:val="24"/>
        </w:rPr>
      </w:pPr>
      <w:r w:rsidRPr="00421A88">
        <w:rPr>
          <w:rFonts w:ascii="Times New Roman" w:eastAsia="Times New Roman" w:hAnsi="Times New Roman" w:cs="Times New Roman"/>
          <w:sz w:val="24"/>
          <w:szCs w:val="24"/>
        </w:rPr>
        <w:t xml:space="preserve">“Food Frauds: Economic Loss and Health Hazard.” Alliance, March 11, 2023. https://alliance-heu-project.eu/articles/food-frauds-economic-loss-and-health-hazard. </w:t>
      </w:r>
    </w:p>
    <w:p w14:paraId="5EBE16CB" w14:textId="5F58D674" w:rsidR="00934862" w:rsidRPr="00EC2D81" w:rsidRDefault="00934862">
      <w:pPr>
        <w:rPr>
          <w:rFonts w:ascii="Times New Roman" w:hAnsi="Times New Roman" w:cs="Times New Roman"/>
          <w:sz w:val="24"/>
          <w:szCs w:val="24"/>
        </w:rPr>
      </w:pPr>
    </w:p>
    <w:sectPr w:rsidR="00934862" w:rsidRPr="00EC2D8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DD935AC" w14:textId="77777777" w:rsidR="00B2252C" w:rsidRDefault="00B2252C" w:rsidP="00C5071F">
      <w:pPr>
        <w:spacing w:after="0" w:line="240" w:lineRule="auto"/>
      </w:pPr>
      <w:r>
        <w:separator/>
      </w:r>
    </w:p>
  </w:endnote>
  <w:endnote w:type="continuationSeparator" w:id="0">
    <w:p w14:paraId="4E1C35D4" w14:textId="77777777" w:rsidR="00B2252C" w:rsidRDefault="00B2252C" w:rsidP="00C507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56E3F44" w14:textId="77777777" w:rsidR="00B2252C" w:rsidRDefault="00B2252C" w:rsidP="00C5071F">
      <w:pPr>
        <w:spacing w:after="0" w:line="240" w:lineRule="auto"/>
      </w:pPr>
      <w:r>
        <w:separator/>
      </w:r>
    </w:p>
  </w:footnote>
  <w:footnote w:type="continuationSeparator" w:id="0">
    <w:p w14:paraId="4614AA6B" w14:textId="77777777" w:rsidR="00B2252C" w:rsidRDefault="00B2252C" w:rsidP="00C5071F">
      <w:pPr>
        <w:spacing w:after="0" w:line="240" w:lineRule="auto"/>
      </w:pPr>
      <w:r>
        <w:continuationSeparator/>
      </w:r>
    </w:p>
  </w:footnote>
  <w:footnote w:id="1">
    <w:p w14:paraId="78CDBA13" w14:textId="665DD4FC" w:rsidR="00C00FF2" w:rsidRPr="00BE3415" w:rsidRDefault="00C00FF2" w:rsidP="00A57B70">
      <w:pPr>
        <w:spacing w:after="0" w:line="240" w:lineRule="auto"/>
        <w:rPr>
          <w:rFonts w:ascii="Times New Roman" w:eastAsia="Times New Roman" w:hAnsi="Times New Roman" w:cs="Times New Roman"/>
          <w:color w:val="222222"/>
          <w:sz w:val="20"/>
          <w:szCs w:val="20"/>
        </w:rPr>
      </w:pPr>
      <w:r w:rsidRPr="00CB5AEB">
        <w:rPr>
          <w:rStyle w:val="FootnoteReference"/>
          <w:rFonts w:ascii="Times New Roman" w:hAnsi="Times New Roman" w:cs="Times New Roman"/>
          <w:sz w:val="20"/>
          <w:szCs w:val="20"/>
        </w:rPr>
        <w:footnoteRef/>
      </w:r>
      <w:r w:rsidRPr="00CB5AEB">
        <w:rPr>
          <w:rFonts w:ascii="Times New Roman" w:hAnsi="Times New Roman" w:cs="Times New Roman"/>
          <w:sz w:val="20"/>
          <w:szCs w:val="20"/>
        </w:rPr>
        <w:t xml:space="preserve"> </w:t>
      </w:r>
      <w:r>
        <w:rPr>
          <w:rFonts w:ascii="Times New Roman" w:eastAsia="Times New Roman" w:hAnsi="Times New Roman" w:cs="Times New Roman"/>
          <w:color w:val="222222"/>
          <w:sz w:val="20"/>
          <w:szCs w:val="20"/>
        </w:rPr>
        <w:t>From Verified Market Reports, ‘</w:t>
      </w:r>
      <w:r w:rsidRPr="00E8383F">
        <w:rPr>
          <w:rFonts w:ascii="Times New Roman" w:eastAsia="Times New Roman" w:hAnsi="Times New Roman" w:cs="Times New Roman"/>
          <w:sz w:val="20"/>
          <w:szCs w:val="20"/>
        </w:rPr>
        <w:t>Food and Beverages Market Outlook</w:t>
      </w:r>
      <w:r w:rsidRPr="00296CE2">
        <w:rPr>
          <w:rFonts w:ascii="Times New Roman" w:eastAsia="Times New Roman" w:hAnsi="Times New Roman" w:cs="Times New Roman"/>
          <w:sz w:val="20"/>
          <w:szCs w:val="20"/>
        </w:rPr>
        <w:t>’</w:t>
      </w:r>
    </w:p>
  </w:footnote>
  <w:footnote w:id="2">
    <w:p w14:paraId="5AF70B67" w14:textId="35FEEC80" w:rsidR="00C00FF2" w:rsidRPr="00BE3415" w:rsidRDefault="00C00FF2">
      <w:pPr>
        <w:pStyle w:val="FootnoteText"/>
        <w:rPr>
          <w:rFonts w:ascii="Times New Roman" w:hAnsi="Times New Roman" w:cs="Times New Roman"/>
        </w:rPr>
      </w:pPr>
      <w:r w:rsidRPr="00BE3415">
        <w:rPr>
          <w:rStyle w:val="FootnoteReference"/>
          <w:rFonts w:ascii="Times New Roman" w:hAnsi="Times New Roman" w:cs="Times New Roman"/>
        </w:rPr>
        <w:footnoteRef/>
      </w:r>
      <w:r w:rsidRPr="00BE3415">
        <w:rPr>
          <w:rFonts w:ascii="Times New Roman" w:hAnsi="Times New Roman" w:cs="Times New Roman"/>
        </w:rPr>
        <w:t xml:space="preserve"> </w:t>
      </w:r>
      <w:r>
        <w:rPr>
          <w:rFonts w:ascii="Times New Roman" w:hAnsi="Times New Roman" w:cs="Times New Roman"/>
        </w:rPr>
        <w:t>From World Economic Forum, by M.</w:t>
      </w:r>
      <w:r w:rsidRPr="001F1C67">
        <w:rPr>
          <w:rFonts w:ascii="Times New Roman" w:hAnsi="Times New Roman" w:cs="Times New Roman"/>
          <w:color w:val="222222"/>
          <w:sz w:val="24"/>
          <w:szCs w:val="24"/>
          <w:shd w:val="clear" w:color="auto" w:fill="FFFFFF"/>
        </w:rPr>
        <w:t xml:space="preserve"> </w:t>
      </w:r>
      <w:r w:rsidRPr="001F1C67">
        <w:rPr>
          <w:rFonts w:ascii="Times New Roman" w:hAnsi="Times New Roman" w:cs="Times New Roman"/>
          <w:color w:val="222222"/>
          <w:shd w:val="clear" w:color="auto" w:fill="FFFFFF"/>
        </w:rPr>
        <w:t>McLennan</w:t>
      </w:r>
      <w:r>
        <w:rPr>
          <w:rFonts w:ascii="Times New Roman" w:hAnsi="Times New Roman" w:cs="Times New Roman"/>
        </w:rPr>
        <w:t>, 2025 T</w:t>
      </w:r>
      <w:r w:rsidRPr="00BE3415">
        <w:rPr>
          <w:rFonts w:ascii="Times New Roman" w:hAnsi="Times New Roman" w:cs="Times New Roman"/>
        </w:rPr>
        <w:t>aken from Lecture Readings</w:t>
      </w:r>
    </w:p>
  </w:footnote>
  <w:footnote w:id="3">
    <w:p w14:paraId="6661F871" w14:textId="4A16786C" w:rsidR="00C00FF2" w:rsidRPr="004249B4" w:rsidRDefault="00C00FF2">
      <w:pPr>
        <w:pStyle w:val="FootnoteText"/>
        <w:rPr>
          <w:rFonts w:ascii="Times New Roman" w:hAnsi="Times New Roman" w:cs="Times New Roman"/>
        </w:rPr>
      </w:pPr>
      <w:r w:rsidRPr="00BE3415">
        <w:rPr>
          <w:rStyle w:val="FootnoteReference"/>
          <w:rFonts w:ascii="Times New Roman" w:hAnsi="Times New Roman" w:cs="Times New Roman"/>
        </w:rPr>
        <w:footnoteRef/>
      </w:r>
      <w:r w:rsidRPr="00BE3415">
        <w:rPr>
          <w:rFonts w:ascii="Times New Roman" w:hAnsi="Times New Roman" w:cs="Times New Roman"/>
        </w:rPr>
        <w:t xml:space="preserve"> </w:t>
      </w:r>
      <w:r>
        <w:rPr>
          <w:rFonts w:ascii="Times New Roman" w:hAnsi="Times New Roman" w:cs="Times New Roman"/>
        </w:rPr>
        <w:t xml:space="preserve">From Alliance, by </w:t>
      </w:r>
      <w:proofErr w:type="spellStart"/>
      <w:r w:rsidRPr="004249B4">
        <w:rPr>
          <w:rFonts w:ascii="Times New Roman" w:eastAsia="Times New Roman" w:hAnsi="Times New Roman" w:cs="Times New Roman"/>
        </w:rPr>
        <w:t>Iannuli</w:t>
      </w:r>
      <w:proofErr w:type="spellEnd"/>
      <w:r w:rsidRPr="004249B4">
        <w:rPr>
          <w:rFonts w:ascii="Times New Roman" w:eastAsia="Times New Roman" w:hAnsi="Times New Roman" w:cs="Times New Roman"/>
        </w:rPr>
        <w:t>, F., &amp; Alliance</w:t>
      </w:r>
      <w:r>
        <w:rPr>
          <w:rFonts w:ascii="Times New Roman" w:eastAsia="Times New Roman" w:hAnsi="Times New Roman" w:cs="Times New Roman"/>
        </w:rPr>
        <w:t>, 2023</w:t>
      </w:r>
    </w:p>
  </w:footnote>
  <w:footnote w:id="4">
    <w:p w14:paraId="654AB1B2" w14:textId="55634C70" w:rsidR="00C00FF2" w:rsidRPr="00BE3415" w:rsidRDefault="00C00FF2">
      <w:pPr>
        <w:pStyle w:val="FootnoteText"/>
        <w:rPr>
          <w:rFonts w:ascii="Times New Roman" w:hAnsi="Times New Roman" w:cs="Times New Roman"/>
        </w:rPr>
      </w:pPr>
      <w:r w:rsidRPr="00BE3415">
        <w:rPr>
          <w:rStyle w:val="FootnoteReference"/>
          <w:rFonts w:ascii="Times New Roman" w:hAnsi="Times New Roman" w:cs="Times New Roman"/>
        </w:rPr>
        <w:footnoteRef/>
      </w:r>
      <w:r w:rsidRPr="00BE3415">
        <w:rPr>
          <w:rFonts w:ascii="Times New Roman" w:hAnsi="Times New Roman" w:cs="Times New Roman"/>
        </w:rPr>
        <w:t xml:space="preserve"> </w:t>
      </w:r>
      <w:r>
        <w:rPr>
          <w:rFonts w:ascii="Times New Roman" w:hAnsi="Times New Roman" w:cs="Times New Roman"/>
        </w:rPr>
        <w:t xml:space="preserve">From Public Health Nutrition, by </w:t>
      </w:r>
      <w:proofErr w:type="spellStart"/>
      <w:r w:rsidRPr="00BE3415">
        <w:rPr>
          <w:rFonts w:ascii="Times New Roman" w:hAnsi="Times New Roman" w:cs="Times New Roman"/>
        </w:rPr>
        <w:t>Caraher</w:t>
      </w:r>
      <w:proofErr w:type="spellEnd"/>
      <w:r w:rsidRPr="00BE3415">
        <w:rPr>
          <w:rFonts w:ascii="Times New Roman" w:hAnsi="Times New Roman" w:cs="Times New Roman"/>
        </w:rPr>
        <w:t>, Martin, and John Coveney</w:t>
      </w:r>
      <w:r>
        <w:rPr>
          <w:rFonts w:ascii="Times New Roman" w:hAnsi="Times New Roman" w:cs="Times New Roman"/>
        </w:rPr>
        <w:t xml:space="preserve">, 2004. </w:t>
      </w:r>
      <w:r w:rsidRPr="00BE3415">
        <w:rPr>
          <w:rFonts w:ascii="Times New Roman" w:hAnsi="Times New Roman" w:cs="Times New Roman"/>
        </w:rPr>
        <w:t>Taken from reading lectures</w:t>
      </w:r>
    </w:p>
  </w:footnote>
  <w:footnote w:id="5">
    <w:p w14:paraId="48FEC689" w14:textId="15DF92AE" w:rsidR="00C00FF2" w:rsidRPr="00BE3415" w:rsidRDefault="00C00FF2">
      <w:pPr>
        <w:pStyle w:val="FootnoteText"/>
        <w:rPr>
          <w:rFonts w:ascii="Times New Roman" w:hAnsi="Times New Roman" w:cs="Times New Roman"/>
        </w:rPr>
      </w:pPr>
      <w:r w:rsidRPr="00BE3415">
        <w:rPr>
          <w:rStyle w:val="FootnoteReference"/>
          <w:rFonts w:ascii="Times New Roman" w:hAnsi="Times New Roman" w:cs="Times New Roman"/>
        </w:rPr>
        <w:footnoteRef/>
      </w:r>
      <w:r w:rsidRPr="00BE3415">
        <w:rPr>
          <w:rFonts w:ascii="Times New Roman" w:hAnsi="Times New Roman" w:cs="Times New Roman"/>
        </w:rPr>
        <w:t xml:space="preserve"> </w:t>
      </w:r>
      <w:r>
        <w:rPr>
          <w:rFonts w:ascii="Times New Roman" w:hAnsi="Times New Roman" w:cs="Times New Roman"/>
        </w:rPr>
        <w:t xml:space="preserve">From Sustainability Science by </w:t>
      </w:r>
      <w:r w:rsidRPr="00372472">
        <w:rPr>
          <w:rFonts w:ascii="Times New Roman" w:hAnsi="Times New Roman" w:cs="Times New Roman"/>
        </w:rPr>
        <w:t xml:space="preserve">T. </w:t>
      </w:r>
      <w:proofErr w:type="spellStart"/>
      <w:r w:rsidRPr="00372472">
        <w:rPr>
          <w:rFonts w:ascii="Times New Roman" w:hAnsi="Times New Roman" w:cs="Times New Roman"/>
        </w:rPr>
        <w:t>Panico</w:t>
      </w:r>
      <w:proofErr w:type="spellEnd"/>
      <w:r w:rsidRPr="00372472">
        <w:rPr>
          <w:rFonts w:ascii="Times New Roman" w:hAnsi="Times New Roman" w:cs="Times New Roman"/>
        </w:rPr>
        <w:t xml:space="preserve">, S. </w:t>
      </w:r>
      <w:proofErr w:type="spellStart"/>
      <w:r w:rsidRPr="00372472">
        <w:rPr>
          <w:rFonts w:ascii="Times New Roman" w:hAnsi="Times New Roman" w:cs="Times New Roman"/>
        </w:rPr>
        <w:t>Pascucci</w:t>
      </w:r>
      <w:proofErr w:type="spellEnd"/>
      <w:r w:rsidRPr="00372472">
        <w:rPr>
          <w:rFonts w:ascii="Times New Roman" w:hAnsi="Times New Roman" w:cs="Times New Roman"/>
        </w:rPr>
        <w:t xml:space="preserve">, G. </w:t>
      </w:r>
      <w:proofErr w:type="spellStart"/>
      <w:r w:rsidRPr="00372472">
        <w:rPr>
          <w:rFonts w:ascii="Times New Roman" w:hAnsi="Times New Roman" w:cs="Times New Roman"/>
        </w:rPr>
        <w:t>Cicia</w:t>
      </w:r>
      <w:proofErr w:type="spellEnd"/>
      <w:r w:rsidRPr="00372472">
        <w:rPr>
          <w:rFonts w:ascii="Times New Roman" w:hAnsi="Times New Roman" w:cs="Times New Roman"/>
        </w:rPr>
        <w:t xml:space="preserve"> &amp; T. del Giudice</w:t>
      </w:r>
      <w:r>
        <w:rPr>
          <w:rFonts w:ascii="Times New Roman" w:hAnsi="Times New Roman" w:cs="Times New Roman"/>
        </w:rPr>
        <w:t>, 2024</w:t>
      </w:r>
    </w:p>
  </w:footnote>
  <w:footnote w:id="6">
    <w:p w14:paraId="504FA2B2" w14:textId="5836AEB8" w:rsidR="00C00FF2" w:rsidRPr="00BE3415" w:rsidRDefault="00C00FF2">
      <w:pPr>
        <w:pStyle w:val="FootnoteText"/>
        <w:rPr>
          <w:rFonts w:ascii="Times New Roman" w:hAnsi="Times New Roman" w:cs="Times New Roman"/>
        </w:rPr>
      </w:pPr>
      <w:r w:rsidRPr="00BE3415">
        <w:rPr>
          <w:rStyle w:val="FootnoteReference"/>
          <w:rFonts w:ascii="Times New Roman" w:hAnsi="Times New Roman" w:cs="Times New Roman"/>
        </w:rPr>
        <w:footnoteRef/>
      </w:r>
      <w:r w:rsidRPr="00BE3415">
        <w:rPr>
          <w:rFonts w:ascii="Times New Roman" w:hAnsi="Times New Roman" w:cs="Times New Roman"/>
        </w:rPr>
        <w:t xml:space="preserve"> </w:t>
      </w:r>
      <w:r>
        <w:rPr>
          <w:rFonts w:ascii="Times New Roman" w:hAnsi="Times New Roman" w:cs="Times New Roman"/>
        </w:rPr>
        <w:t xml:space="preserve">From </w:t>
      </w:r>
      <w:r>
        <w:rPr>
          <w:rFonts w:ascii="Times New Roman" w:hAnsi="Times New Roman" w:cs="Times New Roman"/>
          <w:color w:val="222222"/>
          <w:shd w:val="clear" w:color="auto" w:fill="FFFFFF"/>
        </w:rPr>
        <w:t xml:space="preserve">Science, by </w:t>
      </w:r>
      <w:proofErr w:type="spellStart"/>
      <w:r w:rsidRPr="00BE3415">
        <w:rPr>
          <w:rFonts w:ascii="Times New Roman" w:hAnsi="Times New Roman" w:cs="Times New Roman"/>
          <w:color w:val="222222"/>
          <w:shd w:val="clear" w:color="auto" w:fill="FFFFFF"/>
        </w:rPr>
        <w:t>Poore</w:t>
      </w:r>
      <w:proofErr w:type="spellEnd"/>
      <w:r w:rsidRPr="00BE3415">
        <w:rPr>
          <w:rFonts w:ascii="Times New Roman" w:hAnsi="Times New Roman" w:cs="Times New Roman"/>
          <w:color w:val="222222"/>
          <w:shd w:val="clear" w:color="auto" w:fill="FFFFFF"/>
        </w:rPr>
        <w:t xml:space="preserve">, Joseph, and Thomas </w:t>
      </w:r>
      <w:proofErr w:type="spellStart"/>
      <w:r w:rsidRPr="00BE3415">
        <w:rPr>
          <w:rFonts w:ascii="Times New Roman" w:hAnsi="Times New Roman" w:cs="Times New Roman"/>
          <w:color w:val="222222"/>
          <w:shd w:val="clear" w:color="auto" w:fill="FFFFFF"/>
        </w:rPr>
        <w:t>Nemecek</w:t>
      </w:r>
      <w:proofErr w:type="spellEnd"/>
      <w:r>
        <w:rPr>
          <w:rFonts w:ascii="Times New Roman" w:hAnsi="Times New Roman" w:cs="Times New Roman"/>
          <w:color w:val="222222"/>
          <w:shd w:val="clear" w:color="auto" w:fill="FFFFFF"/>
        </w:rPr>
        <w:t xml:space="preserve">, 2018. </w:t>
      </w:r>
      <w:r>
        <w:rPr>
          <w:rFonts w:ascii="Times New Roman" w:hAnsi="Times New Roman" w:cs="Times New Roman"/>
        </w:rPr>
        <w:t>T</w:t>
      </w:r>
      <w:r w:rsidRPr="00BE3415">
        <w:rPr>
          <w:rFonts w:ascii="Times New Roman" w:hAnsi="Times New Roman" w:cs="Times New Roman"/>
        </w:rPr>
        <w:t>aken from Lecture Readings</w:t>
      </w:r>
    </w:p>
  </w:footnote>
  <w:footnote w:id="7">
    <w:p w14:paraId="15EB3F7E" w14:textId="2B8FE596" w:rsidR="00C00FF2" w:rsidRPr="00BE3415" w:rsidRDefault="00C00FF2">
      <w:pPr>
        <w:pStyle w:val="FootnoteText"/>
        <w:rPr>
          <w:rFonts w:ascii="Times New Roman" w:hAnsi="Times New Roman" w:cs="Times New Roman"/>
        </w:rPr>
      </w:pPr>
      <w:r w:rsidRPr="00BE3415">
        <w:rPr>
          <w:rStyle w:val="FootnoteReference"/>
          <w:rFonts w:ascii="Times New Roman" w:hAnsi="Times New Roman" w:cs="Times New Roman"/>
        </w:rPr>
        <w:footnoteRef/>
      </w:r>
      <w:r w:rsidRPr="00BE3415">
        <w:rPr>
          <w:rFonts w:ascii="Times New Roman" w:hAnsi="Times New Roman" w:cs="Times New Roman"/>
        </w:rPr>
        <w:t xml:space="preserve"> </w:t>
      </w:r>
      <w:r>
        <w:rPr>
          <w:rFonts w:ascii="Times New Roman" w:hAnsi="Times New Roman" w:cs="Times New Roman"/>
        </w:rPr>
        <w:t xml:space="preserve">From Sustainability Science by </w:t>
      </w:r>
      <w:r w:rsidRPr="00372472">
        <w:rPr>
          <w:rFonts w:ascii="Times New Roman" w:hAnsi="Times New Roman" w:cs="Times New Roman"/>
        </w:rPr>
        <w:t xml:space="preserve">T. </w:t>
      </w:r>
      <w:proofErr w:type="spellStart"/>
      <w:r w:rsidRPr="00372472">
        <w:rPr>
          <w:rFonts w:ascii="Times New Roman" w:hAnsi="Times New Roman" w:cs="Times New Roman"/>
        </w:rPr>
        <w:t>Panico</w:t>
      </w:r>
      <w:proofErr w:type="spellEnd"/>
      <w:r w:rsidRPr="00372472">
        <w:rPr>
          <w:rFonts w:ascii="Times New Roman" w:hAnsi="Times New Roman" w:cs="Times New Roman"/>
        </w:rPr>
        <w:t xml:space="preserve">, S. </w:t>
      </w:r>
      <w:proofErr w:type="spellStart"/>
      <w:r w:rsidRPr="00372472">
        <w:rPr>
          <w:rFonts w:ascii="Times New Roman" w:hAnsi="Times New Roman" w:cs="Times New Roman"/>
        </w:rPr>
        <w:t>Pascucci</w:t>
      </w:r>
      <w:proofErr w:type="spellEnd"/>
      <w:r w:rsidRPr="00372472">
        <w:rPr>
          <w:rFonts w:ascii="Times New Roman" w:hAnsi="Times New Roman" w:cs="Times New Roman"/>
        </w:rPr>
        <w:t xml:space="preserve">, G. </w:t>
      </w:r>
      <w:proofErr w:type="spellStart"/>
      <w:r w:rsidRPr="00372472">
        <w:rPr>
          <w:rFonts w:ascii="Times New Roman" w:hAnsi="Times New Roman" w:cs="Times New Roman"/>
        </w:rPr>
        <w:t>Cicia</w:t>
      </w:r>
      <w:proofErr w:type="spellEnd"/>
      <w:r w:rsidRPr="00372472">
        <w:rPr>
          <w:rFonts w:ascii="Times New Roman" w:hAnsi="Times New Roman" w:cs="Times New Roman"/>
        </w:rPr>
        <w:t xml:space="preserve"> &amp; T. del Giudice</w:t>
      </w:r>
      <w:r>
        <w:rPr>
          <w:rFonts w:ascii="Times New Roman" w:hAnsi="Times New Roman" w:cs="Times New Roman"/>
        </w:rPr>
        <w:t>, 2024</w:t>
      </w:r>
    </w:p>
  </w:footnote>
  <w:footnote w:id="8">
    <w:p w14:paraId="291D6BDA" w14:textId="545DD21B" w:rsidR="00C00FF2" w:rsidRPr="00BE3415" w:rsidRDefault="00C00FF2">
      <w:pPr>
        <w:pStyle w:val="FootnoteText"/>
        <w:rPr>
          <w:rFonts w:ascii="Times New Roman" w:hAnsi="Times New Roman" w:cs="Times New Roman"/>
        </w:rPr>
      </w:pPr>
      <w:r w:rsidRPr="00BE3415">
        <w:rPr>
          <w:rStyle w:val="FootnoteReference"/>
          <w:rFonts w:ascii="Times New Roman" w:hAnsi="Times New Roman" w:cs="Times New Roman"/>
        </w:rPr>
        <w:footnoteRef/>
      </w:r>
      <w:r w:rsidRPr="00BE3415">
        <w:rPr>
          <w:rFonts w:ascii="Times New Roman" w:hAnsi="Times New Roman" w:cs="Times New Roman"/>
        </w:rPr>
        <w:t xml:space="preserve"> </w:t>
      </w:r>
      <w:r>
        <w:rPr>
          <w:rFonts w:ascii="Times New Roman" w:hAnsi="Times New Roman" w:cs="Times New Roman"/>
        </w:rPr>
        <w:t xml:space="preserve">From Sustainability Science by </w:t>
      </w:r>
      <w:r w:rsidRPr="00372472">
        <w:rPr>
          <w:rFonts w:ascii="Times New Roman" w:hAnsi="Times New Roman" w:cs="Times New Roman"/>
        </w:rPr>
        <w:t xml:space="preserve">T. </w:t>
      </w:r>
      <w:proofErr w:type="spellStart"/>
      <w:r w:rsidRPr="00372472">
        <w:rPr>
          <w:rFonts w:ascii="Times New Roman" w:hAnsi="Times New Roman" w:cs="Times New Roman"/>
        </w:rPr>
        <w:t>Panico</w:t>
      </w:r>
      <w:proofErr w:type="spellEnd"/>
      <w:r w:rsidRPr="00372472">
        <w:rPr>
          <w:rFonts w:ascii="Times New Roman" w:hAnsi="Times New Roman" w:cs="Times New Roman"/>
        </w:rPr>
        <w:t xml:space="preserve">, S. </w:t>
      </w:r>
      <w:proofErr w:type="spellStart"/>
      <w:r w:rsidRPr="00372472">
        <w:rPr>
          <w:rFonts w:ascii="Times New Roman" w:hAnsi="Times New Roman" w:cs="Times New Roman"/>
        </w:rPr>
        <w:t>Pascucci</w:t>
      </w:r>
      <w:proofErr w:type="spellEnd"/>
      <w:r w:rsidRPr="00372472">
        <w:rPr>
          <w:rFonts w:ascii="Times New Roman" w:hAnsi="Times New Roman" w:cs="Times New Roman"/>
        </w:rPr>
        <w:t xml:space="preserve">, G. </w:t>
      </w:r>
      <w:proofErr w:type="spellStart"/>
      <w:r w:rsidRPr="00372472">
        <w:rPr>
          <w:rFonts w:ascii="Times New Roman" w:hAnsi="Times New Roman" w:cs="Times New Roman"/>
        </w:rPr>
        <w:t>Cicia</w:t>
      </w:r>
      <w:proofErr w:type="spellEnd"/>
      <w:r w:rsidRPr="00372472">
        <w:rPr>
          <w:rFonts w:ascii="Times New Roman" w:hAnsi="Times New Roman" w:cs="Times New Roman"/>
        </w:rPr>
        <w:t xml:space="preserve"> &amp; T. del Giudice</w:t>
      </w:r>
      <w:r>
        <w:rPr>
          <w:rFonts w:ascii="Times New Roman" w:hAnsi="Times New Roman" w:cs="Times New Roman"/>
        </w:rPr>
        <w:t>, 2024</w:t>
      </w:r>
    </w:p>
  </w:footnote>
  <w:footnote w:id="9">
    <w:p w14:paraId="425B5836" w14:textId="63E2AE41" w:rsidR="00C00FF2" w:rsidRDefault="00C00FF2">
      <w:pPr>
        <w:pStyle w:val="FootnoteText"/>
      </w:pPr>
      <w:r>
        <w:rPr>
          <w:rStyle w:val="FootnoteReference"/>
        </w:rPr>
        <w:footnoteRef/>
      </w:r>
      <w:r>
        <w:t xml:space="preserve"> </w:t>
      </w:r>
      <w:r>
        <w:rPr>
          <w:rFonts w:ascii="Times New Roman" w:hAnsi="Times New Roman" w:cs="Times New Roman"/>
        </w:rPr>
        <w:t xml:space="preserve">From </w:t>
      </w:r>
      <w:r w:rsidRPr="00C40ED1">
        <w:rPr>
          <w:rFonts w:ascii="Times New Roman" w:hAnsi="Times New Roman" w:cs="Times New Roman"/>
          <w:color w:val="222222"/>
          <w:shd w:val="clear" w:color="auto" w:fill="FFFFFF"/>
        </w:rPr>
        <w:t>Failure of Exchange Entitlements</w:t>
      </w:r>
      <w:r>
        <w:rPr>
          <w:rFonts w:ascii="Times New Roman" w:hAnsi="Times New Roman" w:cs="Times New Roman"/>
          <w:color w:val="222222"/>
          <w:shd w:val="clear" w:color="auto" w:fill="FFFFFF"/>
        </w:rPr>
        <w:t xml:space="preserve">, by </w:t>
      </w:r>
      <w:r w:rsidRPr="00C40ED1">
        <w:rPr>
          <w:rFonts w:ascii="Times New Roman" w:hAnsi="Times New Roman" w:cs="Times New Roman"/>
          <w:color w:val="222222"/>
          <w:shd w:val="clear" w:color="auto" w:fill="FFFFFF"/>
        </w:rPr>
        <w:t xml:space="preserve">Amrita </w:t>
      </w:r>
      <w:proofErr w:type="spellStart"/>
      <w:r w:rsidRPr="00C40ED1">
        <w:rPr>
          <w:rFonts w:ascii="Times New Roman" w:hAnsi="Times New Roman" w:cs="Times New Roman"/>
          <w:color w:val="222222"/>
          <w:shd w:val="clear" w:color="auto" w:fill="FFFFFF"/>
        </w:rPr>
        <w:t>Rangasami</w:t>
      </w:r>
      <w:proofErr w:type="spellEnd"/>
      <w:r>
        <w:rPr>
          <w:rFonts w:ascii="Times New Roman" w:hAnsi="Times New Roman" w:cs="Times New Roman"/>
          <w:color w:val="222222"/>
          <w:shd w:val="clear" w:color="auto" w:fill="FFFFFF"/>
        </w:rPr>
        <w:t xml:space="preserve">, 1985. </w:t>
      </w:r>
      <w:r>
        <w:rPr>
          <w:rFonts w:ascii="Times New Roman" w:hAnsi="Times New Roman" w:cs="Times New Roman"/>
        </w:rPr>
        <w:t>T</w:t>
      </w:r>
      <w:r w:rsidRPr="00BE3415">
        <w:rPr>
          <w:rFonts w:ascii="Times New Roman" w:hAnsi="Times New Roman" w:cs="Times New Roman"/>
        </w:rPr>
        <w:t>aken from Lecture Readings</w:t>
      </w:r>
    </w:p>
  </w:footnote>
  <w:footnote w:id="10">
    <w:p w14:paraId="3F3C5E68" w14:textId="5555AFE8" w:rsidR="00C00FF2" w:rsidRPr="00BE3415" w:rsidRDefault="00C00FF2">
      <w:pPr>
        <w:pStyle w:val="FootnoteText"/>
        <w:rPr>
          <w:rFonts w:ascii="Times New Roman" w:hAnsi="Times New Roman" w:cs="Times New Roman"/>
        </w:rPr>
      </w:pPr>
      <w:r w:rsidRPr="00BE3415">
        <w:rPr>
          <w:rStyle w:val="FootnoteReference"/>
          <w:rFonts w:ascii="Times New Roman" w:hAnsi="Times New Roman" w:cs="Times New Roman"/>
        </w:rPr>
        <w:footnoteRef/>
      </w:r>
      <w:r w:rsidRPr="00BE3415">
        <w:rPr>
          <w:rFonts w:ascii="Times New Roman" w:hAnsi="Times New Roman" w:cs="Times New Roman"/>
        </w:rPr>
        <w:t xml:space="preserve"> </w:t>
      </w:r>
      <w:r>
        <w:rPr>
          <w:rFonts w:ascii="Times New Roman" w:eastAsia="Times New Roman" w:hAnsi="Times New Roman" w:cs="Times New Roman"/>
        </w:rPr>
        <w:t xml:space="preserve">From </w:t>
      </w:r>
      <w:proofErr w:type="spellStart"/>
      <w:r>
        <w:rPr>
          <w:rFonts w:ascii="Times New Roman" w:eastAsia="Times New Roman" w:hAnsi="Times New Roman" w:cs="Times New Roman"/>
        </w:rPr>
        <w:t>Belgeo</w:t>
      </w:r>
      <w:proofErr w:type="spellEnd"/>
      <w:r>
        <w:rPr>
          <w:rFonts w:ascii="Times New Roman" w:eastAsia="Times New Roman" w:hAnsi="Times New Roman" w:cs="Times New Roman"/>
        </w:rPr>
        <w:t xml:space="preserve">, by </w:t>
      </w:r>
      <w:r w:rsidRPr="004A6AB5">
        <w:rPr>
          <w:rFonts w:ascii="Times New Roman" w:eastAsia="Times New Roman" w:hAnsi="Times New Roman" w:cs="Times New Roman"/>
        </w:rPr>
        <w:t xml:space="preserve">Giuseppe </w:t>
      </w:r>
      <w:proofErr w:type="spellStart"/>
      <w:r w:rsidRPr="004A6AB5">
        <w:rPr>
          <w:rFonts w:ascii="Times New Roman" w:eastAsia="Times New Roman" w:hAnsi="Times New Roman" w:cs="Times New Roman"/>
        </w:rPr>
        <w:t>Muti</w:t>
      </w:r>
      <w:proofErr w:type="spellEnd"/>
      <w:r>
        <w:rPr>
          <w:rFonts w:ascii="Times New Roman" w:eastAsia="Times New Roman" w:hAnsi="Times New Roman" w:cs="Times New Roman"/>
        </w:rPr>
        <w:t>, 2022</w:t>
      </w:r>
    </w:p>
  </w:footnote>
  <w:footnote w:id="11">
    <w:p w14:paraId="67FB0117" w14:textId="78690847" w:rsidR="00C00FF2" w:rsidRPr="00BE3415" w:rsidRDefault="00C00FF2">
      <w:pPr>
        <w:pStyle w:val="FootnoteText"/>
        <w:rPr>
          <w:rFonts w:ascii="Times New Roman" w:hAnsi="Times New Roman" w:cs="Times New Roman"/>
        </w:rPr>
      </w:pPr>
      <w:r w:rsidRPr="00BE3415">
        <w:rPr>
          <w:rStyle w:val="FootnoteReference"/>
          <w:rFonts w:ascii="Times New Roman" w:hAnsi="Times New Roman" w:cs="Times New Roman"/>
        </w:rPr>
        <w:footnoteRef/>
      </w:r>
      <w:r w:rsidRPr="00BE3415">
        <w:rPr>
          <w:rFonts w:ascii="Times New Roman" w:hAnsi="Times New Roman" w:cs="Times New Roman"/>
        </w:rPr>
        <w:t xml:space="preserve"> </w:t>
      </w:r>
      <w:r>
        <w:rPr>
          <w:rFonts w:ascii="Times New Roman" w:eastAsia="Times New Roman" w:hAnsi="Times New Roman" w:cs="Times New Roman"/>
        </w:rPr>
        <w:t xml:space="preserve">From </w:t>
      </w:r>
      <w:proofErr w:type="spellStart"/>
      <w:r>
        <w:rPr>
          <w:rFonts w:ascii="Times New Roman" w:eastAsia="Times New Roman" w:hAnsi="Times New Roman" w:cs="Times New Roman"/>
        </w:rPr>
        <w:t>Belgeo</w:t>
      </w:r>
      <w:proofErr w:type="spellEnd"/>
      <w:r>
        <w:rPr>
          <w:rFonts w:ascii="Times New Roman" w:eastAsia="Times New Roman" w:hAnsi="Times New Roman" w:cs="Times New Roman"/>
        </w:rPr>
        <w:t xml:space="preserve">, by </w:t>
      </w:r>
      <w:r w:rsidRPr="004A6AB5">
        <w:rPr>
          <w:rFonts w:ascii="Times New Roman" w:eastAsia="Times New Roman" w:hAnsi="Times New Roman" w:cs="Times New Roman"/>
        </w:rPr>
        <w:t xml:space="preserve">Giuseppe </w:t>
      </w:r>
      <w:proofErr w:type="spellStart"/>
      <w:r w:rsidRPr="004A6AB5">
        <w:rPr>
          <w:rFonts w:ascii="Times New Roman" w:eastAsia="Times New Roman" w:hAnsi="Times New Roman" w:cs="Times New Roman"/>
        </w:rPr>
        <w:t>Muti</w:t>
      </w:r>
      <w:proofErr w:type="spellEnd"/>
      <w:r>
        <w:rPr>
          <w:rFonts w:ascii="Times New Roman" w:eastAsia="Times New Roman" w:hAnsi="Times New Roman" w:cs="Times New Roman"/>
        </w:rPr>
        <w:t>, 2022.</w:t>
      </w:r>
    </w:p>
  </w:footnote>
  <w:footnote w:id="12">
    <w:p w14:paraId="28832C87" w14:textId="56B1811E" w:rsidR="00C00FF2" w:rsidRDefault="00C00FF2">
      <w:pPr>
        <w:pStyle w:val="FootnoteText"/>
      </w:pPr>
      <w:r>
        <w:rPr>
          <w:rStyle w:val="FootnoteReference"/>
        </w:rPr>
        <w:footnoteRef/>
      </w:r>
      <w:r>
        <w:t xml:space="preserve"> </w:t>
      </w:r>
      <w:r w:rsidRPr="00C00FF2">
        <w:t xml:space="preserve">From </w:t>
      </w:r>
      <w:proofErr w:type="spellStart"/>
      <w:r w:rsidRPr="00C00FF2">
        <w:t>Belgeo</w:t>
      </w:r>
      <w:proofErr w:type="spellEnd"/>
      <w:r w:rsidRPr="00C00FF2">
        <w:t xml:space="preserve">, by Giuseppe </w:t>
      </w:r>
      <w:proofErr w:type="spellStart"/>
      <w:r w:rsidRPr="00C00FF2">
        <w:t>Muti</w:t>
      </w:r>
      <w:proofErr w:type="spellEnd"/>
      <w:r w:rsidRPr="00C00FF2">
        <w:t>, 2022.</w:t>
      </w:r>
    </w:p>
  </w:footnote>
  <w:footnote w:id="13">
    <w:p w14:paraId="7EAAD557" w14:textId="2DC712E0" w:rsidR="00C00FF2" w:rsidRPr="00BE3415" w:rsidRDefault="00C00FF2" w:rsidP="00B9244F">
      <w:pPr>
        <w:spacing w:after="0" w:line="240" w:lineRule="auto"/>
        <w:rPr>
          <w:rFonts w:ascii="Times New Roman" w:eastAsia="Times New Roman" w:hAnsi="Times New Roman" w:cs="Times New Roman"/>
          <w:sz w:val="20"/>
          <w:szCs w:val="20"/>
        </w:rPr>
      </w:pPr>
      <w:r w:rsidRPr="00BE3415">
        <w:rPr>
          <w:rStyle w:val="FootnoteReference"/>
          <w:rFonts w:ascii="Times New Roman" w:hAnsi="Times New Roman" w:cs="Times New Roman"/>
          <w:sz w:val="20"/>
          <w:szCs w:val="20"/>
        </w:rPr>
        <w:footnoteRef/>
      </w:r>
      <w:r w:rsidRPr="00BE3415">
        <w:rPr>
          <w:rFonts w:ascii="Times New Roman" w:hAnsi="Times New Roman" w:cs="Times New Roman"/>
          <w:sz w:val="20"/>
          <w:szCs w:val="20"/>
        </w:rPr>
        <w:t xml:space="preserve"> </w:t>
      </w:r>
      <w:r>
        <w:rPr>
          <w:rFonts w:ascii="Times New Roman" w:eastAsia="Times New Roman" w:hAnsi="Times New Roman" w:cs="Times New Roman"/>
          <w:sz w:val="20"/>
          <w:szCs w:val="20"/>
        </w:rPr>
        <w:t xml:space="preserve">From </w:t>
      </w:r>
      <w:proofErr w:type="spellStart"/>
      <w:r>
        <w:rPr>
          <w:rFonts w:ascii="Times New Roman" w:eastAsia="Times New Roman" w:hAnsi="Times New Roman" w:cs="Times New Roman"/>
          <w:sz w:val="20"/>
          <w:szCs w:val="20"/>
        </w:rPr>
        <w:t>Belgeo</w:t>
      </w:r>
      <w:proofErr w:type="spellEnd"/>
      <w:r>
        <w:rPr>
          <w:rFonts w:ascii="Times New Roman" w:eastAsia="Times New Roman" w:hAnsi="Times New Roman" w:cs="Times New Roman"/>
          <w:sz w:val="20"/>
          <w:szCs w:val="20"/>
        </w:rPr>
        <w:t xml:space="preserve">, by </w:t>
      </w:r>
      <w:r w:rsidRPr="004A6AB5">
        <w:rPr>
          <w:rFonts w:ascii="Times New Roman" w:eastAsia="Times New Roman" w:hAnsi="Times New Roman" w:cs="Times New Roman"/>
          <w:sz w:val="20"/>
          <w:szCs w:val="20"/>
        </w:rPr>
        <w:t xml:space="preserve">Giuseppe </w:t>
      </w:r>
      <w:proofErr w:type="spellStart"/>
      <w:r w:rsidRPr="004A6AB5">
        <w:rPr>
          <w:rFonts w:ascii="Times New Roman" w:eastAsia="Times New Roman" w:hAnsi="Times New Roman" w:cs="Times New Roman"/>
          <w:sz w:val="20"/>
          <w:szCs w:val="20"/>
        </w:rPr>
        <w:t>Muti</w:t>
      </w:r>
      <w:proofErr w:type="spellEnd"/>
      <w:r>
        <w:rPr>
          <w:rFonts w:ascii="Times New Roman" w:eastAsia="Times New Roman" w:hAnsi="Times New Roman" w:cs="Times New Roman"/>
          <w:sz w:val="20"/>
          <w:szCs w:val="20"/>
        </w:rPr>
        <w:t>, 2022.</w:t>
      </w:r>
    </w:p>
  </w:footnote>
  <w:footnote w:id="14">
    <w:p w14:paraId="1FC4E126" w14:textId="4B06BC75" w:rsidR="00D52C56" w:rsidRDefault="00D52C56">
      <w:pPr>
        <w:pStyle w:val="FootnoteText"/>
      </w:pPr>
      <w:r>
        <w:rPr>
          <w:rStyle w:val="FootnoteReference"/>
        </w:rPr>
        <w:footnoteRef/>
      </w:r>
      <w:r>
        <w:t xml:space="preserve"> </w:t>
      </w:r>
      <w:r w:rsidRPr="00C00FF2">
        <w:t xml:space="preserve">From </w:t>
      </w:r>
      <w:proofErr w:type="spellStart"/>
      <w:r w:rsidRPr="00C00FF2">
        <w:t>Belgeo</w:t>
      </w:r>
      <w:proofErr w:type="spellEnd"/>
      <w:r w:rsidRPr="00C00FF2">
        <w:t xml:space="preserve">, by Giuseppe </w:t>
      </w:r>
      <w:proofErr w:type="spellStart"/>
      <w:r w:rsidRPr="00C00FF2">
        <w:t>Muti</w:t>
      </w:r>
      <w:proofErr w:type="spellEnd"/>
      <w:r w:rsidRPr="00C00FF2">
        <w:t>, 2022</w:t>
      </w:r>
    </w:p>
  </w:footnote>
  <w:footnote w:id="15">
    <w:p w14:paraId="6BA6BBCD" w14:textId="1419237C" w:rsidR="00D62714" w:rsidRDefault="00D62714">
      <w:pPr>
        <w:pStyle w:val="FootnoteText"/>
      </w:pPr>
      <w:r>
        <w:rPr>
          <w:rStyle w:val="FootnoteReference"/>
        </w:rPr>
        <w:footnoteRef/>
      </w:r>
      <w:r>
        <w:t xml:space="preserve"> </w:t>
      </w:r>
      <w:r>
        <w:rPr>
          <w:rFonts w:ascii="Times New Roman" w:eastAsia="Times New Roman" w:hAnsi="Times New Roman" w:cs="Times New Roman"/>
        </w:rPr>
        <w:t xml:space="preserve">From </w:t>
      </w:r>
      <w:proofErr w:type="spellStart"/>
      <w:r>
        <w:rPr>
          <w:rFonts w:ascii="Times New Roman" w:eastAsia="Times New Roman" w:hAnsi="Times New Roman" w:cs="Times New Roman"/>
        </w:rPr>
        <w:t>Belgeo</w:t>
      </w:r>
      <w:proofErr w:type="spellEnd"/>
      <w:r>
        <w:rPr>
          <w:rFonts w:ascii="Times New Roman" w:eastAsia="Times New Roman" w:hAnsi="Times New Roman" w:cs="Times New Roman"/>
        </w:rPr>
        <w:t xml:space="preserve">, by </w:t>
      </w:r>
      <w:r w:rsidRPr="004A6AB5">
        <w:rPr>
          <w:rFonts w:ascii="Times New Roman" w:eastAsia="Times New Roman" w:hAnsi="Times New Roman" w:cs="Times New Roman"/>
        </w:rPr>
        <w:t xml:space="preserve">Giuseppe </w:t>
      </w:r>
      <w:proofErr w:type="spellStart"/>
      <w:r w:rsidRPr="004A6AB5">
        <w:rPr>
          <w:rFonts w:ascii="Times New Roman" w:eastAsia="Times New Roman" w:hAnsi="Times New Roman" w:cs="Times New Roman"/>
        </w:rPr>
        <w:t>Muti</w:t>
      </w:r>
      <w:proofErr w:type="spellEnd"/>
      <w:r>
        <w:rPr>
          <w:rFonts w:ascii="Times New Roman" w:eastAsia="Times New Roman" w:hAnsi="Times New Roman" w:cs="Times New Roman"/>
        </w:rPr>
        <w:t>, 2022</w:t>
      </w:r>
    </w:p>
  </w:footnote>
  <w:footnote w:id="16">
    <w:p w14:paraId="4ECF4576" w14:textId="077BEC10" w:rsidR="00C00FF2" w:rsidRDefault="00C00FF2">
      <w:pPr>
        <w:pStyle w:val="FootnoteText"/>
      </w:pPr>
      <w:r>
        <w:rPr>
          <w:rStyle w:val="FootnoteReference"/>
        </w:rPr>
        <w:footnoteRef/>
      </w:r>
      <w:r>
        <w:t xml:space="preserve"> </w:t>
      </w:r>
      <w:r>
        <w:rPr>
          <w:rFonts w:ascii="Arial" w:hAnsi="Arial" w:cs="Arial"/>
          <w:color w:val="222222"/>
          <w:shd w:val="clear" w:color="auto" w:fill="FFFFFF"/>
        </w:rPr>
        <w:t>From World happiness report 2025, by Helliwell, J. F., Layard, R., Sachs, J. D., &amp; Neve, J. E. D, 2025. Taken from lecture readings</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862"/>
    <w:rsid w:val="00001624"/>
    <w:rsid w:val="00001A40"/>
    <w:rsid w:val="000314BF"/>
    <w:rsid w:val="00054BF3"/>
    <w:rsid w:val="00055172"/>
    <w:rsid w:val="000656BD"/>
    <w:rsid w:val="00073576"/>
    <w:rsid w:val="00075EF8"/>
    <w:rsid w:val="000770DF"/>
    <w:rsid w:val="000944C5"/>
    <w:rsid w:val="00095D70"/>
    <w:rsid w:val="000A1239"/>
    <w:rsid w:val="000B698D"/>
    <w:rsid w:val="000C5230"/>
    <w:rsid w:val="000D1CC7"/>
    <w:rsid w:val="000D7331"/>
    <w:rsid w:val="000E513A"/>
    <w:rsid w:val="000F765F"/>
    <w:rsid w:val="001052D5"/>
    <w:rsid w:val="001209D1"/>
    <w:rsid w:val="00143102"/>
    <w:rsid w:val="00165156"/>
    <w:rsid w:val="0017009A"/>
    <w:rsid w:val="00190D5B"/>
    <w:rsid w:val="001A26E6"/>
    <w:rsid w:val="001D70A7"/>
    <w:rsid w:val="001D7FC9"/>
    <w:rsid w:val="001F1C67"/>
    <w:rsid w:val="001F34EB"/>
    <w:rsid w:val="00202E0A"/>
    <w:rsid w:val="002119F8"/>
    <w:rsid w:val="00241EAB"/>
    <w:rsid w:val="00246F54"/>
    <w:rsid w:val="00251928"/>
    <w:rsid w:val="00273688"/>
    <w:rsid w:val="00295FD6"/>
    <w:rsid w:val="00296CE2"/>
    <w:rsid w:val="002A5EB2"/>
    <w:rsid w:val="002B4C90"/>
    <w:rsid w:val="002C7A1B"/>
    <w:rsid w:val="002E346C"/>
    <w:rsid w:val="002E36D2"/>
    <w:rsid w:val="002F2C97"/>
    <w:rsid w:val="00317D20"/>
    <w:rsid w:val="00350B22"/>
    <w:rsid w:val="00354589"/>
    <w:rsid w:val="0036571B"/>
    <w:rsid w:val="00367A5A"/>
    <w:rsid w:val="00372472"/>
    <w:rsid w:val="00380CF9"/>
    <w:rsid w:val="00390BE4"/>
    <w:rsid w:val="0039530C"/>
    <w:rsid w:val="003C21DE"/>
    <w:rsid w:val="003D0A77"/>
    <w:rsid w:val="003D5E4B"/>
    <w:rsid w:val="003E0CE6"/>
    <w:rsid w:val="003E6E67"/>
    <w:rsid w:val="003F1095"/>
    <w:rsid w:val="003F1A47"/>
    <w:rsid w:val="004003DF"/>
    <w:rsid w:val="00421A88"/>
    <w:rsid w:val="004249B4"/>
    <w:rsid w:val="0043179E"/>
    <w:rsid w:val="0043708E"/>
    <w:rsid w:val="00444394"/>
    <w:rsid w:val="00457348"/>
    <w:rsid w:val="00457B47"/>
    <w:rsid w:val="004635CC"/>
    <w:rsid w:val="00463EDD"/>
    <w:rsid w:val="00464113"/>
    <w:rsid w:val="00473CAA"/>
    <w:rsid w:val="004A6AB5"/>
    <w:rsid w:val="004E5EE2"/>
    <w:rsid w:val="0050746D"/>
    <w:rsid w:val="00515D83"/>
    <w:rsid w:val="00521973"/>
    <w:rsid w:val="00540B68"/>
    <w:rsid w:val="0055529B"/>
    <w:rsid w:val="005778B1"/>
    <w:rsid w:val="0058160F"/>
    <w:rsid w:val="00590E4A"/>
    <w:rsid w:val="005B5323"/>
    <w:rsid w:val="005B7548"/>
    <w:rsid w:val="005E66EC"/>
    <w:rsid w:val="005F2A9B"/>
    <w:rsid w:val="00617408"/>
    <w:rsid w:val="00625CE1"/>
    <w:rsid w:val="006270FF"/>
    <w:rsid w:val="00635F72"/>
    <w:rsid w:val="0066192B"/>
    <w:rsid w:val="00664D5F"/>
    <w:rsid w:val="00674FC6"/>
    <w:rsid w:val="00691FB2"/>
    <w:rsid w:val="00693C9B"/>
    <w:rsid w:val="006F200B"/>
    <w:rsid w:val="0071204A"/>
    <w:rsid w:val="0072388A"/>
    <w:rsid w:val="00735330"/>
    <w:rsid w:val="007437A0"/>
    <w:rsid w:val="007526E6"/>
    <w:rsid w:val="00755FDC"/>
    <w:rsid w:val="00762C5C"/>
    <w:rsid w:val="00765102"/>
    <w:rsid w:val="00773F6C"/>
    <w:rsid w:val="00793660"/>
    <w:rsid w:val="007A41E9"/>
    <w:rsid w:val="007B2E99"/>
    <w:rsid w:val="007C2CA1"/>
    <w:rsid w:val="007C460D"/>
    <w:rsid w:val="007D2014"/>
    <w:rsid w:val="007E18A8"/>
    <w:rsid w:val="007E69E3"/>
    <w:rsid w:val="007F5903"/>
    <w:rsid w:val="008013CE"/>
    <w:rsid w:val="00827EA6"/>
    <w:rsid w:val="008404DA"/>
    <w:rsid w:val="00850555"/>
    <w:rsid w:val="00851C57"/>
    <w:rsid w:val="00853A94"/>
    <w:rsid w:val="00855AB3"/>
    <w:rsid w:val="00867DE7"/>
    <w:rsid w:val="00871764"/>
    <w:rsid w:val="00894AAC"/>
    <w:rsid w:val="008B4A1E"/>
    <w:rsid w:val="008B5887"/>
    <w:rsid w:val="008B60EB"/>
    <w:rsid w:val="008D5AE6"/>
    <w:rsid w:val="008E1461"/>
    <w:rsid w:val="008E1EB4"/>
    <w:rsid w:val="008E54B1"/>
    <w:rsid w:val="008F0C0D"/>
    <w:rsid w:val="008F45C9"/>
    <w:rsid w:val="00934862"/>
    <w:rsid w:val="00950447"/>
    <w:rsid w:val="009542F4"/>
    <w:rsid w:val="00956C23"/>
    <w:rsid w:val="00972484"/>
    <w:rsid w:val="00972BB4"/>
    <w:rsid w:val="0097734B"/>
    <w:rsid w:val="009C1AD8"/>
    <w:rsid w:val="009C3727"/>
    <w:rsid w:val="009D4AAD"/>
    <w:rsid w:val="009F3BD9"/>
    <w:rsid w:val="00A01BA6"/>
    <w:rsid w:val="00A03530"/>
    <w:rsid w:val="00A04D00"/>
    <w:rsid w:val="00A57B70"/>
    <w:rsid w:val="00A80AB4"/>
    <w:rsid w:val="00A81FCF"/>
    <w:rsid w:val="00A8489A"/>
    <w:rsid w:val="00A92C66"/>
    <w:rsid w:val="00AA1CD2"/>
    <w:rsid w:val="00AA4176"/>
    <w:rsid w:val="00AB097E"/>
    <w:rsid w:val="00AE4286"/>
    <w:rsid w:val="00AE463F"/>
    <w:rsid w:val="00B15693"/>
    <w:rsid w:val="00B21012"/>
    <w:rsid w:val="00B2252C"/>
    <w:rsid w:val="00B27B66"/>
    <w:rsid w:val="00B61FA5"/>
    <w:rsid w:val="00B651BB"/>
    <w:rsid w:val="00B878E7"/>
    <w:rsid w:val="00B9244F"/>
    <w:rsid w:val="00BD44D8"/>
    <w:rsid w:val="00BD6804"/>
    <w:rsid w:val="00BE014B"/>
    <w:rsid w:val="00BE3415"/>
    <w:rsid w:val="00C00FF2"/>
    <w:rsid w:val="00C40ED1"/>
    <w:rsid w:val="00C44A2B"/>
    <w:rsid w:val="00C5071F"/>
    <w:rsid w:val="00C7209C"/>
    <w:rsid w:val="00C760CE"/>
    <w:rsid w:val="00C84595"/>
    <w:rsid w:val="00C914C1"/>
    <w:rsid w:val="00CB030E"/>
    <w:rsid w:val="00CB5AEB"/>
    <w:rsid w:val="00CC1FD6"/>
    <w:rsid w:val="00CC3A87"/>
    <w:rsid w:val="00CC7BE1"/>
    <w:rsid w:val="00D108B7"/>
    <w:rsid w:val="00D46FC1"/>
    <w:rsid w:val="00D52C56"/>
    <w:rsid w:val="00D56F38"/>
    <w:rsid w:val="00D62714"/>
    <w:rsid w:val="00D63527"/>
    <w:rsid w:val="00D70481"/>
    <w:rsid w:val="00D76A96"/>
    <w:rsid w:val="00D814E1"/>
    <w:rsid w:val="00D83F48"/>
    <w:rsid w:val="00D91302"/>
    <w:rsid w:val="00D921FD"/>
    <w:rsid w:val="00D92F8C"/>
    <w:rsid w:val="00D97D96"/>
    <w:rsid w:val="00DA17E4"/>
    <w:rsid w:val="00DB0C31"/>
    <w:rsid w:val="00DD299D"/>
    <w:rsid w:val="00DD35C4"/>
    <w:rsid w:val="00DE6E66"/>
    <w:rsid w:val="00DF4D7B"/>
    <w:rsid w:val="00DF56AC"/>
    <w:rsid w:val="00E039E3"/>
    <w:rsid w:val="00E04D61"/>
    <w:rsid w:val="00E11149"/>
    <w:rsid w:val="00E32C2A"/>
    <w:rsid w:val="00E33D24"/>
    <w:rsid w:val="00E37BC2"/>
    <w:rsid w:val="00E50758"/>
    <w:rsid w:val="00E610B4"/>
    <w:rsid w:val="00E72D8B"/>
    <w:rsid w:val="00E83702"/>
    <w:rsid w:val="00E8383F"/>
    <w:rsid w:val="00E8726B"/>
    <w:rsid w:val="00E97834"/>
    <w:rsid w:val="00EA020E"/>
    <w:rsid w:val="00EA42E3"/>
    <w:rsid w:val="00EB23BF"/>
    <w:rsid w:val="00EB5398"/>
    <w:rsid w:val="00EC2D81"/>
    <w:rsid w:val="00EC30D5"/>
    <w:rsid w:val="00EE6887"/>
    <w:rsid w:val="00EE7DFC"/>
    <w:rsid w:val="00EF05F1"/>
    <w:rsid w:val="00F05F6D"/>
    <w:rsid w:val="00F24393"/>
    <w:rsid w:val="00F44E90"/>
    <w:rsid w:val="00F50F22"/>
    <w:rsid w:val="00F54D74"/>
    <w:rsid w:val="00F55DA1"/>
    <w:rsid w:val="00F72326"/>
    <w:rsid w:val="00F81CC3"/>
    <w:rsid w:val="00F8441C"/>
    <w:rsid w:val="00F87B2E"/>
    <w:rsid w:val="00F94F28"/>
    <w:rsid w:val="00FA6284"/>
    <w:rsid w:val="00FC0E11"/>
    <w:rsid w:val="00FC6FC8"/>
    <w:rsid w:val="00FC7E7F"/>
    <w:rsid w:val="00FE4F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728FF"/>
  <w15:chartTrackingRefBased/>
  <w15:docId w15:val="{56A1DB3B-A4A6-4497-8431-5160A0A7D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34862"/>
    <w:rPr>
      <w:color w:val="0563C1" w:themeColor="hyperlink"/>
      <w:u w:val="single"/>
    </w:rPr>
  </w:style>
  <w:style w:type="character" w:styleId="UnresolvedMention">
    <w:name w:val="Unresolved Mention"/>
    <w:basedOn w:val="DefaultParagraphFont"/>
    <w:uiPriority w:val="99"/>
    <w:semiHidden/>
    <w:unhideWhenUsed/>
    <w:rsid w:val="00934862"/>
    <w:rPr>
      <w:color w:val="605E5C"/>
      <w:shd w:val="clear" w:color="auto" w:fill="E1DFDD"/>
    </w:rPr>
  </w:style>
  <w:style w:type="character" w:styleId="Emphasis">
    <w:name w:val="Emphasis"/>
    <w:basedOn w:val="DefaultParagraphFont"/>
    <w:uiPriority w:val="20"/>
    <w:qFormat/>
    <w:rsid w:val="00273688"/>
    <w:rPr>
      <w:i/>
      <w:iCs/>
    </w:rPr>
  </w:style>
  <w:style w:type="paragraph" w:styleId="NormalWeb">
    <w:name w:val="Normal (Web)"/>
    <w:basedOn w:val="Normal"/>
    <w:uiPriority w:val="99"/>
    <w:unhideWhenUsed/>
    <w:rsid w:val="00457B47"/>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C5071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5071F"/>
    <w:rPr>
      <w:sz w:val="20"/>
      <w:szCs w:val="20"/>
    </w:rPr>
  </w:style>
  <w:style w:type="character" w:styleId="FootnoteReference">
    <w:name w:val="footnote reference"/>
    <w:basedOn w:val="DefaultParagraphFont"/>
    <w:uiPriority w:val="99"/>
    <w:semiHidden/>
    <w:unhideWhenUsed/>
    <w:rsid w:val="00C5071F"/>
    <w:rPr>
      <w:vertAlign w:val="superscript"/>
    </w:rPr>
  </w:style>
  <w:style w:type="paragraph" w:styleId="Header">
    <w:name w:val="header"/>
    <w:basedOn w:val="Normal"/>
    <w:link w:val="HeaderChar"/>
    <w:uiPriority w:val="99"/>
    <w:unhideWhenUsed/>
    <w:rsid w:val="00D83F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3F48"/>
  </w:style>
  <w:style w:type="paragraph" w:styleId="Footer">
    <w:name w:val="footer"/>
    <w:basedOn w:val="Normal"/>
    <w:link w:val="FooterChar"/>
    <w:uiPriority w:val="99"/>
    <w:unhideWhenUsed/>
    <w:rsid w:val="00D83F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3F48"/>
  </w:style>
  <w:style w:type="character" w:styleId="FollowedHyperlink">
    <w:name w:val="FollowedHyperlink"/>
    <w:basedOn w:val="DefaultParagraphFont"/>
    <w:uiPriority w:val="99"/>
    <w:semiHidden/>
    <w:unhideWhenUsed/>
    <w:rsid w:val="009C3727"/>
    <w:rPr>
      <w:color w:val="954F72" w:themeColor="followedHyperlink"/>
      <w:u w:val="single"/>
    </w:rPr>
  </w:style>
  <w:style w:type="character" w:customStyle="1" w:styleId="gmail-msofootnotereference">
    <w:name w:val="gmail-msofootnotereference"/>
    <w:basedOn w:val="DefaultParagraphFont"/>
    <w:rsid w:val="00A57B70"/>
  </w:style>
  <w:style w:type="paragraph" w:customStyle="1" w:styleId="gmail-msofootnotetext">
    <w:name w:val="gmail-msofootnotetext"/>
    <w:basedOn w:val="Normal"/>
    <w:rsid w:val="00A57B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rl">
    <w:name w:val="url"/>
    <w:basedOn w:val="DefaultParagraphFont"/>
    <w:rsid w:val="002B4C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5235871">
      <w:bodyDiv w:val="1"/>
      <w:marLeft w:val="0"/>
      <w:marRight w:val="0"/>
      <w:marTop w:val="0"/>
      <w:marBottom w:val="0"/>
      <w:divBdr>
        <w:top w:val="none" w:sz="0" w:space="0" w:color="auto"/>
        <w:left w:val="none" w:sz="0" w:space="0" w:color="auto"/>
        <w:bottom w:val="none" w:sz="0" w:space="0" w:color="auto"/>
        <w:right w:val="none" w:sz="0" w:space="0" w:color="auto"/>
      </w:divBdr>
      <w:divsChild>
        <w:div w:id="2035305154">
          <w:marLeft w:val="-720"/>
          <w:marRight w:val="0"/>
          <w:marTop w:val="0"/>
          <w:marBottom w:val="0"/>
          <w:divBdr>
            <w:top w:val="none" w:sz="0" w:space="0" w:color="auto"/>
            <w:left w:val="none" w:sz="0" w:space="0" w:color="auto"/>
            <w:bottom w:val="none" w:sz="0" w:space="0" w:color="auto"/>
            <w:right w:val="none" w:sz="0" w:space="0" w:color="auto"/>
          </w:divBdr>
        </w:div>
      </w:divsChild>
    </w:div>
    <w:div w:id="225385585">
      <w:bodyDiv w:val="1"/>
      <w:marLeft w:val="0"/>
      <w:marRight w:val="0"/>
      <w:marTop w:val="0"/>
      <w:marBottom w:val="0"/>
      <w:divBdr>
        <w:top w:val="none" w:sz="0" w:space="0" w:color="auto"/>
        <w:left w:val="none" w:sz="0" w:space="0" w:color="auto"/>
        <w:bottom w:val="none" w:sz="0" w:space="0" w:color="auto"/>
        <w:right w:val="none" w:sz="0" w:space="0" w:color="auto"/>
      </w:divBdr>
    </w:div>
    <w:div w:id="230581262">
      <w:bodyDiv w:val="1"/>
      <w:marLeft w:val="0"/>
      <w:marRight w:val="0"/>
      <w:marTop w:val="0"/>
      <w:marBottom w:val="0"/>
      <w:divBdr>
        <w:top w:val="none" w:sz="0" w:space="0" w:color="auto"/>
        <w:left w:val="none" w:sz="0" w:space="0" w:color="auto"/>
        <w:bottom w:val="none" w:sz="0" w:space="0" w:color="auto"/>
        <w:right w:val="none" w:sz="0" w:space="0" w:color="auto"/>
      </w:divBdr>
      <w:divsChild>
        <w:div w:id="1245839387">
          <w:marLeft w:val="0"/>
          <w:marRight w:val="0"/>
          <w:marTop w:val="0"/>
          <w:marBottom w:val="0"/>
          <w:divBdr>
            <w:top w:val="none" w:sz="0" w:space="0" w:color="auto"/>
            <w:left w:val="none" w:sz="0" w:space="0" w:color="auto"/>
            <w:bottom w:val="none" w:sz="0" w:space="0" w:color="auto"/>
            <w:right w:val="none" w:sz="0" w:space="0" w:color="auto"/>
          </w:divBdr>
          <w:divsChild>
            <w:div w:id="29787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512438">
      <w:bodyDiv w:val="1"/>
      <w:marLeft w:val="0"/>
      <w:marRight w:val="0"/>
      <w:marTop w:val="0"/>
      <w:marBottom w:val="0"/>
      <w:divBdr>
        <w:top w:val="none" w:sz="0" w:space="0" w:color="auto"/>
        <w:left w:val="none" w:sz="0" w:space="0" w:color="auto"/>
        <w:bottom w:val="none" w:sz="0" w:space="0" w:color="auto"/>
        <w:right w:val="none" w:sz="0" w:space="0" w:color="auto"/>
      </w:divBdr>
    </w:div>
    <w:div w:id="444039124">
      <w:bodyDiv w:val="1"/>
      <w:marLeft w:val="0"/>
      <w:marRight w:val="0"/>
      <w:marTop w:val="0"/>
      <w:marBottom w:val="0"/>
      <w:divBdr>
        <w:top w:val="none" w:sz="0" w:space="0" w:color="auto"/>
        <w:left w:val="none" w:sz="0" w:space="0" w:color="auto"/>
        <w:bottom w:val="none" w:sz="0" w:space="0" w:color="auto"/>
        <w:right w:val="none" w:sz="0" w:space="0" w:color="auto"/>
      </w:divBdr>
    </w:div>
    <w:div w:id="541476611">
      <w:bodyDiv w:val="1"/>
      <w:marLeft w:val="0"/>
      <w:marRight w:val="0"/>
      <w:marTop w:val="0"/>
      <w:marBottom w:val="0"/>
      <w:divBdr>
        <w:top w:val="none" w:sz="0" w:space="0" w:color="auto"/>
        <w:left w:val="none" w:sz="0" w:space="0" w:color="auto"/>
        <w:bottom w:val="none" w:sz="0" w:space="0" w:color="auto"/>
        <w:right w:val="none" w:sz="0" w:space="0" w:color="auto"/>
      </w:divBdr>
    </w:div>
    <w:div w:id="556092153">
      <w:bodyDiv w:val="1"/>
      <w:marLeft w:val="0"/>
      <w:marRight w:val="0"/>
      <w:marTop w:val="0"/>
      <w:marBottom w:val="0"/>
      <w:divBdr>
        <w:top w:val="none" w:sz="0" w:space="0" w:color="auto"/>
        <w:left w:val="none" w:sz="0" w:space="0" w:color="auto"/>
        <w:bottom w:val="none" w:sz="0" w:space="0" w:color="auto"/>
        <w:right w:val="none" w:sz="0" w:space="0" w:color="auto"/>
      </w:divBdr>
      <w:divsChild>
        <w:div w:id="335765708">
          <w:marLeft w:val="0"/>
          <w:marRight w:val="0"/>
          <w:marTop w:val="0"/>
          <w:marBottom w:val="0"/>
          <w:divBdr>
            <w:top w:val="none" w:sz="0" w:space="0" w:color="auto"/>
            <w:left w:val="none" w:sz="0" w:space="0" w:color="auto"/>
            <w:bottom w:val="none" w:sz="0" w:space="0" w:color="auto"/>
            <w:right w:val="none" w:sz="0" w:space="0" w:color="auto"/>
          </w:divBdr>
          <w:divsChild>
            <w:div w:id="196611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798790">
      <w:bodyDiv w:val="1"/>
      <w:marLeft w:val="0"/>
      <w:marRight w:val="0"/>
      <w:marTop w:val="0"/>
      <w:marBottom w:val="0"/>
      <w:divBdr>
        <w:top w:val="none" w:sz="0" w:space="0" w:color="auto"/>
        <w:left w:val="none" w:sz="0" w:space="0" w:color="auto"/>
        <w:bottom w:val="none" w:sz="0" w:space="0" w:color="auto"/>
        <w:right w:val="none" w:sz="0" w:space="0" w:color="auto"/>
      </w:divBdr>
      <w:divsChild>
        <w:div w:id="1711999808">
          <w:marLeft w:val="-720"/>
          <w:marRight w:val="0"/>
          <w:marTop w:val="0"/>
          <w:marBottom w:val="0"/>
          <w:divBdr>
            <w:top w:val="none" w:sz="0" w:space="0" w:color="auto"/>
            <w:left w:val="none" w:sz="0" w:space="0" w:color="auto"/>
            <w:bottom w:val="none" w:sz="0" w:space="0" w:color="auto"/>
            <w:right w:val="none" w:sz="0" w:space="0" w:color="auto"/>
          </w:divBdr>
        </w:div>
      </w:divsChild>
    </w:div>
    <w:div w:id="679814619">
      <w:bodyDiv w:val="1"/>
      <w:marLeft w:val="0"/>
      <w:marRight w:val="0"/>
      <w:marTop w:val="0"/>
      <w:marBottom w:val="0"/>
      <w:divBdr>
        <w:top w:val="none" w:sz="0" w:space="0" w:color="auto"/>
        <w:left w:val="none" w:sz="0" w:space="0" w:color="auto"/>
        <w:bottom w:val="none" w:sz="0" w:space="0" w:color="auto"/>
        <w:right w:val="none" w:sz="0" w:space="0" w:color="auto"/>
      </w:divBdr>
      <w:divsChild>
        <w:div w:id="19402664">
          <w:marLeft w:val="0"/>
          <w:marRight w:val="0"/>
          <w:marTop w:val="0"/>
          <w:marBottom w:val="0"/>
          <w:divBdr>
            <w:top w:val="none" w:sz="0" w:space="0" w:color="auto"/>
            <w:left w:val="none" w:sz="0" w:space="0" w:color="auto"/>
            <w:bottom w:val="none" w:sz="0" w:space="0" w:color="auto"/>
            <w:right w:val="none" w:sz="0" w:space="0" w:color="auto"/>
          </w:divBdr>
          <w:divsChild>
            <w:div w:id="124233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301446">
      <w:bodyDiv w:val="1"/>
      <w:marLeft w:val="0"/>
      <w:marRight w:val="0"/>
      <w:marTop w:val="0"/>
      <w:marBottom w:val="0"/>
      <w:divBdr>
        <w:top w:val="none" w:sz="0" w:space="0" w:color="auto"/>
        <w:left w:val="none" w:sz="0" w:space="0" w:color="auto"/>
        <w:bottom w:val="none" w:sz="0" w:space="0" w:color="auto"/>
        <w:right w:val="none" w:sz="0" w:space="0" w:color="auto"/>
      </w:divBdr>
    </w:div>
    <w:div w:id="1223255915">
      <w:bodyDiv w:val="1"/>
      <w:marLeft w:val="0"/>
      <w:marRight w:val="0"/>
      <w:marTop w:val="0"/>
      <w:marBottom w:val="0"/>
      <w:divBdr>
        <w:top w:val="none" w:sz="0" w:space="0" w:color="auto"/>
        <w:left w:val="none" w:sz="0" w:space="0" w:color="auto"/>
        <w:bottom w:val="none" w:sz="0" w:space="0" w:color="auto"/>
        <w:right w:val="none" w:sz="0" w:space="0" w:color="auto"/>
      </w:divBdr>
    </w:div>
    <w:div w:id="1284114510">
      <w:bodyDiv w:val="1"/>
      <w:marLeft w:val="0"/>
      <w:marRight w:val="0"/>
      <w:marTop w:val="0"/>
      <w:marBottom w:val="0"/>
      <w:divBdr>
        <w:top w:val="none" w:sz="0" w:space="0" w:color="auto"/>
        <w:left w:val="none" w:sz="0" w:space="0" w:color="auto"/>
        <w:bottom w:val="none" w:sz="0" w:space="0" w:color="auto"/>
        <w:right w:val="none" w:sz="0" w:space="0" w:color="auto"/>
      </w:divBdr>
      <w:divsChild>
        <w:div w:id="2134588539">
          <w:marLeft w:val="-720"/>
          <w:marRight w:val="0"/>
          <w:marTop w:val="0"/>
          <w:marBottom w:val="0"/>
          <w:divBdr>
            <w:top w:val="none" w:sz="0" w:space="0" w:color="auto"/>
            <w:left w:val="none" w:sz="0" w:space="0" w:color="auto"/>
            <w:bottom w:val="none" w:sz="0" w:space="0" w:color="auto"/>
            <w:right w:val="none" w:sz="0" w:space="0" w:color="auto"/>
          </w:divBdr>
        </w:div>
      </w:divsChild>
    </w:div>
    <w:div w:id="1469326000">
      <w:bodyDiv w:val="1"/>
      <w:marLeft w:val="0"/>
      <w:marRight w:val="0"/>
      <w:marTop w:val="0"/>
      <w:marBottom w:val="0"/>
      <w:divBdr>
        <w:top w:val="none" w:sz="0" w:space="0" w:color="auto"/>
        <w:left w:val="none" w:sz="0" w:space="0" w:color="auto"/>
        <w:bottom w:val="none" w:sz="0" w:space="0" w:color="auto"/>
        <w:right w:val="none" w:sz="0" w:space="0" w:color="auto"/>
      </w:divBdr>
      <w:divsChild>
        <w:div w:id="460268245">
          <w:marLeft w:val="0"/>
          <w:marRight w:val="0"/>
          <w:marTop w:val="0"/>
          <w:marBottom w:val="0"/>
          <w:divBdr>
            <w:top w:val="none" w:sz="0" w:space="0" w:color="auto"/>
            <w:left w:val="none" w:sz="0" w:space="0" w:color="auto"/>
            <w:bottom w:val="none" w:sz="0" w:space="0" w:color="auto"/>
            <w:right w:val="none" w:sz="0" w:space="0" w:color="auto"/>
          </w:divBdr>
          <w:divsChild>
            <w:div w:id="78558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453580">
      <w:bodyDiv w:val="1"/>
      <w:marLeft w:val="0"/>
      <w:marRight w:val="0"/>
      <w:marTop w:val="0"/>
      <w:marBottom w:val="0"/>
      <w:divBdr>
        <w:top w:val="none" w:sz="0" w:space="0" w:color="auto"/>
        <w:left w:val="none" w:sz="0" w:space="0" w:color="auto"/>
        <w:bottom w:val="none" w:sz="0" w:space="0" w:color="auto"/>
        <w:right w:val="none" w:sz="0" w:space="0" w:color="auto"/>
      </w:divBdr>
      <w:divsChild>
        <w:div w:id="1789934065">
          <w:marLeft w:val="0"/>
          <w:marRight w:val="0"/>
          <w:marTop w:val="0"/>
          <w:marBottom w:val="0"/>
          <w:divBdr>
            <w:top w:val="none" w:sz="0" w:space="0" w:color="auto"/>
            <w:left w:val="none" w:sz="0" w:space="0" w:color="auto"/>
            <w:bottom w:val="none" w:sz="0" w:space="0" w:color="auto"/>
            <w:right w:val="none" w:sz="0" w:space="0" w:color="auto"/>
          </w:divBdr>
          <w:divsChild>
            <w:div w:id="46905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612388">
      <w:bodyDiv w:val="1"/>
      <w:marLeft w:val="0"/>
      <w:marRight w:val="0"/>
      <w:marTop w:val="0"/>
      <w:marBottom w:val="0"/>
      <w:divBdr>
        <w:top w:val="none" w:sz="0" w:space="0" w:color="auto"/>
        <w:left w:val="none" w:sz="0" w:space="0" w:color="auto"/>
        <w:bottom w:val="none" w:sz="0" w:space="0" w:color="auto"/>
        <w:right w:val="none" w:sz="0" w:space="0" w:color="auto"/>
      </w:divBdr>
      <w:divsChild>
        <w:div w:id="1377319366">
          <w:marLeft w:val="-720"/>
          <w:marRight w:val="0"/>
          <w:marTop w:val="0"/>
          <w:marBottom w:val="0"/>
          <w:divBdr>
            <w:top w:val="none" w:sz="0" w:space="0" w:color="auto"/>
            <w:left w:val="none" w:sz="0" w:space="0" w:color="auto"/>
            <w:bottom w:val="none" w:sz="0" w:space="0" w:color="auto"/>
            <w:right w:val="none" w:sz="0" w:space="0" w:color="auto"/>
          </w:divBdr>
        </w:div>
      </w:divsChild>
    </w:div>
    <w:div w:id="1843734918">
      <w:bodyDiv w:val="1"/>
      <w:marLeft w:val="0"/>
      <w:marRight w:val="0"/>
      <w:marTop w:val="0"/>
      <w:marBottom w:val="0"/>
      <w:divBdr>
        <w:top w:val="none" w:sz="0" w:space="0" w:color="auto"/>
        <w:left w:val="none" w:sz="0" w:space="0" w:color="auto"/>
        <w:bottom w:val="none" w:sz="0" w:space="0" w:color="auto"/>
        <w:right w:val="none" w:sz="0" w:space="0" w:color="auto"/>
      </w:divBdr>
    </w:div>
    <w:div w:id="2011563576">
      <w:bodyDiv w:val="1"/>
      <w:marLeft w:val="0"/>
      <w:marRight w:val="0"/>
      <w:marTop w:val="0"/>
      <w:marBottom w:val="0"/>
      <w:divBdr>
        <w:top w:val="none" w:sz="0" w:space="0" w:color="auto"/>
        <w:left w:val="none" w:sz="0" w:space="0" w:color="auto"/>
        <w:bottom w:val="none" w:sz="0" w:space="0" w:color="auto"/>
        <w:right w:val="none" w:sz="0" w:space="0" w:color="auto"/>
      </w:divBdr>
    </w:div>
    <w:div w:id="2050104246">
      <w:bodyDiv w:val="1"/>
      <w:marLeft w:val="0"/>
      <w:marRight w:val="0"/>
      <w:marTop w:val="0"/>
      <w:marBottom w:val="0"/>
      <w:divBdr>
        <w:top w:val="none" w:sz="0" w:space="0" w:color="auto"/>
        <w:left w:val="none" w:sz="0" w:space="0" w:color="auto"/>
        <w:bottom w:val="none" w:sz="0" w:space="0" w:color="auto"/>
        <w:right w:val="none" w:sz="0" w:space="0" w:color="auto"/>
      </w:divBdr>
      <w:divsChild>
        <w:div w:id="539438810">
          <w:marLeft w:val="0"/>
          <w:marRight w:val="0"/>
          <w:marTop w:val="0"/>
          <w:marBottom w:val="0"/>
          <w:divBdr>
            <w:top w:val="none" w:sz="0" w:space="0" w:color="auto"/>
            <w:left w:val="none" w:sz="0" w:space="0" w:color="auto"/>
            <w:bottom w:val="none" w:sz="0" w:space="0" w:color="auto"/>
            <w:right w:val="none" w:sz="0" w:space="0" w:color="auto"/>
          </w:divBdr>
          <w:divsChild>
            <w:div w:id="2068869474">
              <w:marLeft w:val="0"/>
              <w:marRight w:val="0"/>
              <w:marTop w:val="0"/>
              <w:marBottom w:val="0"/>
              <w:divBdr>
                <w:top w:val="none" w:sz="0" w:space="0" w:color="auto"/>
                <w:left w:val="none" w:sz="0" w:space="0" w:color="auto"/>
                <w:bottom w:val="none" w:sz="0" w:space="0" w:color="auto"/>
                <w:right w:val="none" w:sz="0" w:space="0" w:color="auto"/>
              </w:divBdr>
            </w:div>
            <w:div w:id="1671785411">
              <w:marLeft w:val="0"/>
              <w:marRight w:val="0"/>
              <w:marTop w:val="0"/>
              <w:marBottom w:val="0"/>
              <w:divBdr>
                <w:top w:val="none" w:sz="0" w:space="0" w:color="auto"/>
                <w:left w:val="none" w:sz="0" w:space="0" w:color="auto"/>
                <w:bottom w:val="none" w:sz="0" w:space="0" w:color="auto"/>
                <w:right w:val="none" w:sz="0" w:space="0" w:color="auto"/>
              </w:divBdr>
            </w:div>
            <w:div w:id="125805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544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4000/belgeo.58516" TargetMode="External"/><Relationship Id="rId3" Type="http://schemas.openxmlformats.org/officeDocument/2006/relationships/settings" Target="settings.xml"/><Relationship Id="rId7" Type="http://schemas.openxmlformats.org/officeDocument/2006/relationships/hyperlink" Target="https://doi.org/10.1007/s11625-024-01499-1"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unctad.org/news/new-unctad-who-analysis-reveals-trends-processed-foods-trade" TargetMode="External"/><Relationship Id="rId4" Type="http://schemas.openxmlformats.org/officeDocument/2006/relationships/webSettings" Target="webSettings.xml"/><Relationship Id="rId9" Type="http://schemas.openxmlformats.org/officeDocument/2006/relationships/hyperlink" Target="https://www.verifiedmarketreports.com/product/food-and-beverages-mark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D75A479A-4544-47C5-BF0B-43FAE5921D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16332</TotalTime>
  <Pages>6</Pages>
  <Words>2669</Words>
  <Characters>15217</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Reshma Giji</dc:creator>
  <cp:keywords/>
  <dc:description/>
  <cp:lastModifiedBy>Reshma Giji</cp:lastModifiedBy>
  <cp:revision>207</cp:revision>
  <dcterms:created xsi:type="dcterms:W3CDTF">2024-11-30T19:51:00Z</dcterms:created>
  <dcterms:modified xsi:type="dcterms:W3CDTF">2025-05-20T12:39:00Z</dcterms:modified>
</cp:coreProperties>
</file>