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Georgia" w:cs="Georgia" w:eastAsia="Georgia" w:hAnsi="Georgia"/>
          <w:b/>
          <w:bCs/>
          <w:color w:val="085041"/>
          <w:sz w:val="64"/>
          <w:szCs w:val="64"/>
        </w:rPr>
        <w:t xml:space="preserve">RESILIENT FUTURES</w:t>
      </w:r>
    </w:p>
    <w:p>
      <w:pPr>
        <w:spacing w:after="120"/>
      </w:pPr>
      <w:r>
        <w:rPr>
          <w:rFonts w:ascii="Calibri" w:cs="Calibri" w:eastAsia="Calibri" w:hAnsi="Calibri"/>
          <w:color w:val="5F5E5A"/>
          <w:sz w:val="28"/>
          <w:szCs w:val="28"/>
        </w:rPr>
        <w:t xml:space="preserve">Website Content — All Pages</w:t>
      </w:r>
    </w:p>
    <w:p>
      <w:pPr>
        <w:spacing w:after="80"/>
      </w:pPr>
      <w:r>
        <w:rPr>
          <w:rFonts w:ascii="Calibri" w:cs="Calibri" w:eastAsia="Calibri" w:hAnsi="Calibri"/>
          <w:color w:val="5F5E5A"/>
          <w:sz w:val="22"/>
          <w:szCs w:val="22"/>
        </w:rPr>
        <w:t xml:space="preserve">Prepared by: Digital Strategic Advisor</w:t>
      </w:r>
    </w:p>
    <w:p>
      <w:pPr>
        <w:spacing w:after="80"/>
      </w:pPr>
      <w:r>
        <w:rPr>
          <w:rFonts w:ascii="Calibri" w:cs="Calibri" w:eastAsia="Calibri" w:hAnsi="Calibri"/>
          <w:color w:val="5F5E5A"/>
          <w:sz w:val="22"/>
          <w:szCs w:val="22"/>
        </w:rPr>
        <w:t xml:space="preserve">Version: Draft 1.1  |  March 2026  |  Revised: Australian national focus; new tagline options; SiA Practice Community deprioritised</w:t>
      </w:r>
    </w:p>
    <w:p>
      <w:pPr>
        <w:spacing w:after="400"/>
      </w:pPr>
    </w:p>
    <w:p>
      <w:pPr>
        <w:pBdr>
          <w:bottom w:val="single" w:color="085041" w:sz="4"/>
        </w:pBdr>
        <w:spacing w:after="200"/>
      </w:pPr>
      <w:r>
        <w:rPr>
          <w:rFonts w:ascii="Calibri" w:cs="Calibri" w:eastAsia="Calibri" w:hAnsi="Calibri"/>
          <w:b/>
          <w:bCs/>
          <w:caps/>
          <w:color w:val="444441"/>
          <w:sz w:val="20"/>
          <w:szCs w:val="20"/>
        </w:rPr>
        <w:t xml:space="preserve">PAGES INCLUDED</w:t>
      </w:r>
    </w:p>
    <w:p>
      <w:pPr>
        <w:spacing w:after="80"/>
      </w:pPr>
      <w:r>
        <w:rPr>
          <w:rFonts w:ascii="Calibri" w:cs="Calibri" w:eastAsia="Calibri" w:hAnsi="Calibri"/>
          <w:color w:val="444441"/>
          <w:sz w:val="22"/>
          <w:szCs w:val="22"/>
        </w:rPr>
        <w:t xml:space="preserve">1. Homepage</w:t>
      </w:r>
    </w:p>
    <w:p>
      <w:pPr>
        <w:spacing w:after="80"/>
      </w:pPr>
      <w:r>
        <w:rPr>
          <w:rFonts w:ascii="Calibri" w:cs="Calibri" w:eastAsia="Calibri" w:hAnsi="Calibri"/>
          <w:color w:val="444441"/>
          <w:sz w:val="22"/>
          <w:szCs w:val="22"/>
        </w:rPr>
        <w:t xml:space="preserve">2. Why Resilient Futures — The Problem We Solve</w:t>
      </w:r>
    </w:p>
    <w:p>
      <w:pPr>
        <w:spacing w:after="80"/>
      </w:pPr>
      <w:r>
        <w:rPr>
          <w:rFonts w:ascii="Calibri" w:cs="Calibri" w:eastAsia="Calibri" w:hAnsi="Calibri"/>
          <w:color w:val="444441"/>
          <w:sz w:val="22"/>
          <w:szCs w:val="22"/>
        </w:rPr>
        <w:t xml:space="preserve">3. Our Approach — Strategy in Action (SiA)</w:t>
      </w:r>
    </w:p>
    <w:p>
      <w:pPr>
        <w:spacing w:after="80"/>
      </w:pPr>
      <w:r>
        <w:rPr>
          <w:rFonts w:ascii="Calibri" w:cs="Calibri" w:eastAsia="Calibri" w:hAnsi="Calibri"/>
          <w:color w:val="444441"/>
          <w:sz w:val="22"/>
          <w:szCs w:val="22"/>
        </w:rPr>
        <w:t xml:space="preserve">4. Our Team</w:t>
      </w:r>
    </w:p>
    <w:p>
      <w:pPr>
        <w:spacing w:after="80"/>
      </w:pPr>
      <w:r>
        <w:rPr>
          <w:rFonts w:ascii="Calibri" w:cs="Calibri" w:eastAsia="Calibri" w:hAnsi="Calibri"/>
          <w:color w:val="444441"/>
          <w:sz w:val="22"/>
          <w:szCs w:val="22"/>
        </w:rPr>
        <w:t xml:space="preserve">5. Who We Work With</w:t>
      </w:r>
    </w:p>
    <w:p>
      <w:pPr>
        <w:spacing w:after="80"/>
      </w:pPr>
      <w:r>
        <w:rPr>
          <w:rFonts w:ascii="Calibri" w:cs="Calibri" w:eastAsia="Calibri" w:hAnsi="Calibri"/>
          <w:color w:val="444441"/>
          <w:sz w:val="22"/>
          <w:szCs w:val="22"/>
        </w:rPr>
        <w:t xml:space="preserve">6. Our Work — Case Studies</w:t>
      </w:r>
    </w:p>
    <w:p>
      <w:r>
        <w:br w:type="page"/>
      </w:r>
    </w:p>
    <w:p>
      <w:pPr>
        <w:spacing w:before="320" w:after="80"/>
      </w:pPr>
      <w:r>
        <w:rPr>
          <w:rFonts w:ascii="Calibri" w:cs="Calibri" w:eastAsia="Calibri" w:hAnsi="Calibri"/>
          <w:b/>
          <w:bCs/>
          <w:color w:val="0F6E56"/>
          <w:sz w:val="18"/>
          <w:szCs w:val="18"/>
        </w:rPr>
        <w:t xml:space="preserve">PROPOSED TAGLINES — CHOOSE ONE</w:t>
      </w:r>
    </w:p>
    <w:p>
      <w:pPr>
        <w:pBdr>
          <w:bottom w:val="single" w:color="0F6E56" w:sz="6" w:space="4"/>
        </w:pBdr>
        <w:spacing w:after="320"/>
      </w:pPr>
    </w:p>
    <w:p>
      <w:pPr>
        <w:spacing w:after="160" w:line="288"/>
      </w:pPr>
      <w:r>
        <w:rPr>
          <w:rFonts w:ascii="Calibri" w:cs="Calibri" w:eastAsia="Calibri" w:hAnsi="Calibri"/>
          <w:b w:val="false"/>
          <w:bCs w:val="false"/>
          <w:i w:val="false"/>
          <w:iCs w:val="false"/>
          <w:color w:val="444441"/>
          <w:sz w:val="22"/>
          <w:szCs w:val="22"/>
        </w:rPr>
        <w:t xml:space="preserve">The current tagline — Strategy for Leveraging Disruptive Change — was well-suited to the early positioning but no longer reflects the depth and authority of where Resilient Futures has arrived. The following options are calibrated for a senior Australian Board and Executive audience.</w:t>
      </w:r>
    </w:p>
    <w:p>
      <w:pPr>
        <w:spacing w:after="120"/>
      </w:pPr>
    </w:p>
    <w:p>
      <w:pPr>
        <w:pStyle w:val="Heading2"/>
        <w:spacing w:before="360" w:after="120"/>
      </w:pPr>
      <w:r>
        <w:rPr>
          <w:rFonts w:ascii="Georgia" w:cs="Georgia" w:eastAsia="Georgia" w:hAnsi="Georgia"/>
          <w:b/>
          <w:bCs/>
          <w:color w:val="085041"/>
          <w:sz w:val="32"/>
          <w:szCs w:val="32"/>
        </w:rPr>
        <w:t xml:space="preserve">Option A — Lead with the problem (recommended primary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bCs/>
                <w:i w:val="false"/>
                <w:iCs w:val="false"/>
                <w:color w:val="FFFFFF"/>
                <w:sz w:val="32"/>
                <w:szCs w:val="32"/>
              </w:rPr>
              <w:t xml:space="preserve">Strategy for a world that won't hold still.</w:t>
            </w:r>
          </w:p>
        </w:tc>
      </w:tr>
    </w:tbl>
    <w:p>
      <w:pPr>
        <w:spacing w:after="80"/>
      </w:pPr>
    </w:p>
    <w:p>
      <w:pPr>
        <w:spacing w:after="160" w:line="288"/>
      </w:pPr>
      <w:r>
        <w:rPr>
          <w:rFonts w:ascii="Calibri" w:cs="Calibri" w:eastAsia="Calibri" w:hAnsi="Calibri"/>
          <w:b w:val="false"/>
          <w:bCs w:val="false"/>
          <w:i/>
          <w:iCs/>
          <w:color w:val="444441"/>
          <w:sz w:val="22"/>
          <w:szCs w:val="22"/>
        </w:rPr>
        <w:t xml:space="preserve">Why: Short, confident, and immediately resonant for a Board director or CEO. No buzzwords. Positions RF as a firm that speaks plainly and thinks clearly. Works as a standalone line above or below the logo on all surfaces.</w:t>
      </w:r>
    </w:p>
    <w:p>
      <w:pPr>
        <w:spacing w:after="140"/>
      </w:pPr>
    </w:p>
    <w:p>
      <w:pPr>
        <w:pStyle w:val="Heading2"/>
        <w:spacing w:before="360" w:after="120"/>
      </w:pPr>
      <w:r>
        <w:rPr>
          <w:rFonts w:ascii="Georgia" w:cs="Georgia" w:eastAsia="Georgia" w:hAnsi="Georgia"/>
          <w:b/>
          <w:bCs/>
          <w:color w:val="085041"/>
          <w:sz w:val="32"/>
          <w:szCs w:val="32"/>
        </w:rPr>
        <w:t xml:space="preserve">Option B — Lead with the outcome (strongest for Strategic Fitness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bCs/>
                <w:i w:val="false"/>
                <w:iCs w:val="false"/>
                <w:color w:val="FFFFFF"/>
                <w:sz w:val="32"/>
                <w:szCs w:val="32"/>
              </w:rPr>
              <w:t xml:space="preserve">Building the strategic fitness to lead through what comes next.</w:t>
            </w:r>
          </w:p>
        </w:tc>
      </w:tr>
    </w:tbl>
    <w:p>
      <w:pPr>
        <w:spacing w:after="80"/>
      </w:pPr>
    </w:p>
    <w:p>
      <w:pPr>
        <w:spacing w:after="160" w:line="288"/>
      </w:pPr>
      <w:r>
        <w:rPr>
          <w:rFonts w:ascii="Calibri" w:cs="Calibri" w:eastAsia="Calibri" w:hAnsi="Calibri"/>
          <w:b w:val="false"/>
          <w:bCs w:val="false"/>
          <w:i/>
          <w:iCs/>
          <w:color w:val="444441"/>
          <w:sz w:val="22"/>
          <w:szCs w:val="22"/>
        </w:rPr>
        <w:t xml:space="preserve">Why: Front-loads the most powerful concept in the current product suite. Strong for audiences who want to know what the outcome of engagement looks like. Recommended if Strategic Fitness Workshops are the primary conversion pathway on the site.</w:t>
      </w:r>
    </w:p>
    <w:p>
      <w:pPr>
        <w:spacing w:after="140"/>
      </w:pPr>
    </w:p>
    <w:p>
      <w:pPr>
        <w:pStyle w:val="Heading2"/>
        <w:spacing w:before="360" w:after="120"/>
      </w:pPr>
      <w:r>
        <w:rPr>
          <w:rFonts w:ascii="Georgia" w:cs="Georgia" w:eastAsia="Georgia" w:hAnsi="Georgia"/>
          <w:b/>
          <w:bCs/>
          <w:color w:val="085041"/>
          <w:sz w:val="32"/>
          <w:szCs w:val="32"/>
        </w:rPr>
        <w:t xml:space="preserve">Option C — Lead with capability transfer (most differentiated)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bCs/>
                <w:i w:val="false"/>
                <w:iCs w:val="false"/>
                <w:color w:val="FFFFFF"/>
                <w:sz w:val="32"/>
                <w:szCs w:val="32"/>
              </w:rPr>
              <w:t xml:space="preserve">Making your organisation the strategist.</w:t>
            </w:r>
          </w:p>
        </w:tc>
      </w:tr>
    </w:tbl>
    <w:p>
      <w:pPr>
        <w:spacing w:after="80"/>
      </w:pPr>
    </w:p>
    <w:p>
      <w:pPr>
        <w:spacing w:after="160" w:line="288"/>
      </w:pPr>
      <w:r>
        <w:rPr>
          <w:rFonts w:ascii="Calibri" w:cs="Calibri" w:eastAsia="Calibri" w:hAnsi="Calibri"/>
          <w:b w:val="false"/>
          <w:bCs w:val="false"/>
          <w:i/>
          <w:iCs/>
          <w:color w:val="444441"/>
          <w:sz w:val="22"/>
          <w:szCs w:val="22"/>
        </w:rPr>
        <w:t xml:space="preserve">Why: Directly targets the unique value of SiA capability transfer over traditional consulting dependency. Bold and brief. Excellent as a secondary strapline beneath Option A, e.g. Strategy for a world that won't hold still — making your organisation the strategist.</w:t>
      </w:r>
    </w:p>
    <w:p>
      <w:pPr>
        <w:spacing w:after="140"/>
      </w:pPr>
    </w:p>
    <w:p>
      <w:pPr>
        <w:pStyle w:val="Heading2"/>
        <w:spacing w:before="360" w:after="120"/>
      </w:pPr>
      <w:r>
        <w:rPr>
          <w:rFonts w:ascii="Georgia" w:cs="Georgia" w:eastAsia="Georgia" w:hAnsi="Georgia"/>
          <w:b/>
          <w:bCs/>
          <w:color w:val="085041"/>
          <w:sz w:val="32"/>
          <w:szCs w:val="32"/>
        </w:rPr>
        <w:t xml:space="preserve">Option D — Lead with clarity (most emotionally resonant)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bCs/>
                <w:i w:val="false"/>
                <w:iCs w:val="false"/>
                <w:color w:val="FFFFFF"/>
                <w:sz w:val="32"/>
                <w:szCs w:val="32"/>
              </w:rPr>
              <w:t xml:space="preserve">Strategic clarity when the conditions are anything but.</w:t>
            </w:r>
          </w:p>
        </w:tc>
      </w:tr>
    </w:tbl>
    <w:p>
      <w:pPr>
        <w:spacing w:after="80"/>
      </w:pPr>
    </w:p>
    <w:p>
      <w:pPr>
        <w:spacing w:after="160" w:line="288"/>
      </w:pPr>
      <w:r>
        <w:rPr>
          <w:rFonts w:ascii="Calibri" w:cs="Calibri" w:eastAsia="Calibri" w:hAnsi="Calibri"/>
          <w:b w:val="false"/>
          <w:bCs w:val="false"/>
          <w:i/>
          <w:iCs/>
          <w:color w:val="444441"/>
          <w:sz w:val="22"/>
          <w:szCs w:val="22"/>
        </w:rPr>
        <w:t xml:space="preserve">Why: Acknowledges the lived experience of leaders in complex Australian organisations — the ambiguity, competing pressures, the sense that the usual tools are not quite working. Warm and precise. Strong homepage hero subheading paired beneath Option A.</w:t>
      </w:r>
    </w:p>
    <w:p>
      <w:pPr>
        <w:spacing w:after="160"/>
      </w:pPr>
    </w:p>
    <w:p>
      <w:pPr>
        <w:spacing w:after="100"/>
      </w:pPr>
      <w:r>
        <w:rPr>
          <w:rFonts w:ascii="Calibri" w:cs="Calibri" w:eastAsia="Calibri" w:hAnsi="Calibri"/>
          <w:b/>
          <w:bCs/>
          <w:color w:val="1A1A2E"/>
          <w:sz w:val="22"/>
          <w:szCs w:val="22"/>
        </w:rPr>
        <w:t xml:space="preserve">Advisory recommendation:</w:t>
      </w:r>
    </w:p>
    <w:p>
      <w:pPr>
        <w:spacing w:after="160" w:line="288"/>
      </w:pPr>
      <w:r>
        <w:rPr>
          <w:rFonts w:ascii="Calibri" w:cs="Calibri" w:eastAsia="Calibri" w:hAnsi="Calibri"/>
          <w:b w:val="false"/>
          <w:bCs w:val="false"/>
          <w:i w:val="false"/>
          <w:iCs w:val="false"/>
          <w:color w:val="444441"/>
          <w:sz w:val="22"/>
          <w:szCs w:val="22"/>
        </w:rPr>
        <w:t xml:space="preserve">Use Option A as the primary brand tagline across all surfaces. Pair it with Option C as a strapline on the homepage hero. This combination signals both the problem RF addresses and what makes its approach genuinely distinctive. If the near-term commercial priority is Strategic Fitness Workshops, A/B test Option B as the homepage headline and measure conversion rate to booked conversations.</w:t>
      </w:r>
    </w:p>
    <w:p>
      <w:r>
        <w:br w:type="page"/>
      </w:r>
    </w:p>
    <w:p>
      <w:pPr>
        <w:spacing w:before="320" w:after="80"/>
      </w:pPr>
      <w:r>
        <w:rPr>
          <w:rFonts w:ascii="Calibri" w:cs="Calibri" w:eastAsia="Calibri" w:hAnsi="Calibri"/>
          <w:b/>
          <w:bCs/>
          <w:caps/>
          <w:color w:val="0F6E56"/>
          <w:sz w:val="18"/>
          <w:szCs w:val="18"/>
        </w:rPr>
        <w:t xml:space="preserve">PAGE 1 — HOMEPAGE</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HERO — ABOVE THE FOLD</w:t>
      </w:r>
    </w:p>
    <w:p>
      <w:pPr>
        <w:pStyle w:val="Heading1"/>
        <w:spacing w:before="480" w:after="160"/>
      </w:pPr>
      <w:r>
        <w:rPr>
          <w:rFonts w:ascii="Georgia" w:cs="Georgia" w:eastAsia="Georgia" w:hAnsi="Georgia"/>
          <w:b/>
          <w:bCs/>
          <w:color w:val="1A1A2E"/>
          <w:sz w:val="44"/>
          <w:szCs w:val="44"/>
        </w:rPr>
        <w:t xml:space="preserve">Stability is not returning.
The question is whether your strategy knows that.</w:t>
      </w:r>
    </w:p>
    <w:p>
      <w:pPr>
        <w:spacing w:after="80"/>
      </w:pPr>
    </w:p>
    <w:p>
      <w:pPr>
        <w:spacing w:after="200" w:line="300"/>
      </w:pPr>
      <w:r>
        <w:rPr>
          <w:rFonts w:ascii="Georgia" w:cs="Georgia" w:eastAsia="Georgia" w:hAnsi="Georgia"/>
          <w:i/>
          <w:iCs/>
          <w:color w:val="1A1A2E"/>
          <w:sz w:val="26"/>
          <w:szCs w:val="26"/>
        </w:rPr>
        <w:t xml:space="preserve">Resilient Futures works with Australian Boards and Executives of complex organisations to see change early, make sharper strategic decisions, and build the capability to stay relevant and impactful — no matter what comes next.</w:t>
      </w:r>
    </w:p>
    <w:p>
      <w:pPr>
        <w:spacing w:after="120"/>
      </w:pPr>
    </w:p>
    <w:p>
      <w:pPr>
        <w:spacing w:after="120"/>
      </w:pPr>
      <w:r>
        <w:rPr>
          <w:rFonts w:ascii="Calibri" w:cs="Calibri" w:eastAsia="Calibri" w:hAnsi="Calibri"/>
          <w:b/>
          <w:bCs/>
          <w:color w:val="0F6E56"/>
          <w:sz w:val="22"/>
          <w:szCs w:val="22"/>
        </w:rPr>
        <w:t xml:space="preserve">→  Book a Strategic Fitness Conversation</w:t>
      </w:r>
    </w:p>
    <w:p>
      <w:pPr>
        <w:spacing w:after="120"/>
      </w:pPr>
      <w:r>
        <w:rPr>
          <w:rFonts w:ascii="Calibri" w:cs="Calibri" w:eastAsia="Calibri" w:hAnsi="Calibri"/>
          <w:b/>
          <w:bCs/>
          <w:color w:val="0F6E56"/>
          <w:sz w:val="22"/>
          <w:szCs w:val="22"/>
        </w:rPr>
        <w:t xml:space="preserve">→  Explore our approach</w:t>
      </w:r>
    </w:p>
    <w:p>
      <w:pPr>
        <w:spacing w:after="280"/>
      </w:pPr>
      <w:r>
        <w:rPr>
          <w:rFonts w:ascii="Calibri" w:cs="Calibri" w:eastAsia="Calibri" w:hAnsi="Calibri"/>
          <w:b/>
          <w:bCs/>
          <w:color w:val="0F6E56"/>
          <w:sz w:val="22"/>
          <w:szCs w:val="22"/>
        </w:rPr>
        <w:t xml:space="preserve">→  See our work</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THE PROBLEM — SECTION 2</w:t>
      </w:r>
    </w:p>
    <w:p>
      <w:pPr>
        <w:pStyle w:val="Heading2"/>
        <w:spacing w:before="360" w:after="120"/>
      </w:pPr>
      <w:r>
        <w:rPr>
          <w:rFonts w:ascii="Georgia" w:cs="Georgia" w:eastAsia="Georgia" w:hAnsi="Georgia"/>
          <w:b/>
          <w:bCs/>
          <w:color w:val="085041"/>
          <w:sz w:val="32"/>
          <w:szCs w:val="32"/>
        </w:rPr>
        <w:t xml:space="preserve">Your strategy was designed for a different world.</w:t>
      </w:r>
    </w:p>
    <w:p>
      <w:pPr>
        <w:spacing w:after="160" w:line="288"/>
      </w:pPr>
      <w:r>
        <w:rPr>
          <w:rFonts w:ascii="Calibri" w:cs="Calibri" w:eastAsia="Calibri" w:hAnsi="Calibri"/>
          <w:b w:val="false"/>
          <w:bCs w:val="false"/>
          <w:i w:val="false"/>
          <w:iCs w:val="false"/>
          <w:color w:val="444441"/>
          <w:sz w:val="22"/>
          <w:szCs w:val="22"/>
        </w:rPr>
        <w:t xml:space="preserve">Most organisations are not struggling because their strategy is poorly crafted. They are struggling because the systems used to build and execute strategy were designed for conditions of relative stability — and those conditions no longer exist.</w:t>
      </w:r>
    </w:p>
    <w:p>
      <w:pPr>
        <w:spacing w:after="160" w:line="288"/>
      </w:pPr>
      <w:r>
        <w:rPr>
          <w:rFonts w:ascii="Calibri" w:cs="Calibri" w:eastAsia="Calibri" w:hAnsi="Calibri"/>
          <w:b w:val="false"/>
          <w:bCs w:val="false"/>
          <w:i w:val="false"/>
          <w:iCs w:val="false"/>
          <w:color w:val="444441"/>
          <w:sz w:val="22"/>
          <w:szCs w:val="22"/>
        </w:rPr>
        <w:t xml:space="preserve">Change drivers are no longer linear or sequential. They are structural, interconnected, and accelerating. Technology adoption, geopolitical shifts, workforce transformation, regulatory pressure, changing member and stakeholder expectations — these forces do not wait for the next planning cycle.</w:t>
      </w:r>
    </w:p>
    <w:p>
      <w:pPr>
        <w:spacing w:after="160" w:line="288"/>
      </w:pPr>
      <w:r>
        <w:rPr>
          <w:rFonts w:ascii="Calibri" w:cs="Calibri" w:eastAsia="Calibri" w:hAnsi="Calibri"/>
          <w:b w:val="false"/>
          <w:bCs w:val="false"/>
          <w:i w:val="false"/>
          <w:iCs w:val="false"/>
          <w:color w:val="444441"/>
          <w:sz w:val="22"/>
          <w:szCs w:val="22"/>
        </w:rPr>
        <w:t xml:space="preserve">When operating models built for stability meet conditions that are dynamic and complex, the results are predictable: decision speed slows, capability strain grows, execution friction rises, and value quietly erodes.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val="false"/>
                <w:bCs w:val="false"/>
                <w:i/>
                <w:iCs/>
                <w:color w:val="FFFFFF"/>
                <w:sz w:val="24"/>
                <w:szCs w:val="24"/>
              </w:rPr>
              <w:t xml:space="preserve">The most dangerous place any organisation can be is confidently executing a strategy that is no longer aligned to reality.</w:t>
            </w:r>
          </w:p>
        </w:tc>
      </w:tr>
    </w:tbl>
    <w:p>
      <w:pPr>
        <w:spacing w:after="200"/>
      </w:pP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WHAT WE DO — SECTION 3</w:t>
      </w:r>
    </w:p>
    <w:p>
      <w:pPr>
        <w:pStyle w:val="Heading2"/>
        <w:spacing w:before="360" w:after="120"/>
      </w:pPr>
      <w:r>
        <w:rPr>
          <w:rFonts w:ascii="Georgia" w:cs="Georgia" w:eastAsia="Georgia" w:hAnsi="Georgia"/>
          <w:b/>
          <w:bCs/>
          <w:color w:val="085041"/>
          <w:sz w:val="32"/>
          <w:szCs w:val="32"/>
        </w:rPr>
        <w:t xml:space="preserve">A different kind of strategic partner.</w:t>
      </w:r>
    </w:p>
    <w:p>
      <w:pPr>
        <w:spacing w:after="160" w:line="288"/>
      </w:pPr>
      <w:r>
        <w:rPr>
          <w:rFonts w:ascii="Calibri" w:cs="Calibri" w:eastAsia="Calibri" w:hAnsi="Calibri"/>
          <w:b w:val="false"/>
          <w:bCs w:val="false"/>
          <w:i w:val="false"/>
          <w:iCs w:val="false"/>
          <w:color w:val="444441"/>
          <w:sz w:val="22"/>
          <w:szCs w:val="22"/>
        </w:rPr>
        <w:t xml:space="preserve">Resilient Futures is a boutique strategic advisory practice. We work with leaders of complex, member-based, and multi-stakeholder organisations to build the capability, clarity, and confidence to operate effectively in conditions of permanent structural change.</w:t>
      </w:r>
    </w:p>
    <w:p>
      <w:pPr>
        <w:spacing w:after="160" w:line="288"/>
      </w:pPr>
      <w:r>
        <w:rPr>
          <w:rFonts w:ascii="Calibri" w:cs="Calibri" w:eastAsia="Calibri" w:hAnsi="Calibri"/>
          <w:b w:val="false"/>
          <w:bCs w:val="false"/>
          <w:i w:val="false"/>
          <w:iCs w:val="false"/>
          <w:color w:val="444441"/>
          <w:sz w:val="22"/>
          <w:szCs w:val="22"/>
        </w:rPr>
        <w:t xml:space="preserve">We bring a non-traditional, whole-systems approach — grounded in complex adaptive systems thinking, resilience science, and cognitive science — that integrates strategic foresight, capability development, and governance into a single, practical framework.</w:t>
      </w:r>
    </w:p>
    <w:p>
      <w:pPr>
        <w:spacing w:after="160" w:line="288"/>
      </w:pPr>
      <w:r>
        <w:rPr>
          <w:rFonts w:ascii="Calibri" w:cs="Calibri" w:eastAsia="Calibri" w:hAnsi="Calibri"/>
          <w:b w:val="false"/>
          <w:bCs w:val="false"/>
          <w:i w:val="false"/>
          <w:iCs w:val="false"/>
          <w:color w:val="444441"/>
          <w:sz w:val="22"/>
          <w:szCs w:val="22"/>
        </w:rPr>
        <w:t xml:space="preserve">Our methodology, Strategy in Action (SiA), is not a consulting template. It is a living decision-making system and execution discipline that organisations adopt, internalise, and use continuously.</w:t>
      </w:r>
    </w:p>
    <w:p>
      <w:pPr>
        <w:spacing w:after="120"/>
      </w:pP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THREE WAYS TO WORK TOGETHER — SECTION 4</w:t>
      </w:r>
    </w:p>
    <w:p>
      <w:pPr>
        <w:pStyle w:val="Heading2"/>
        <w:spacing w:before="360" w:after="120"/>
      </w:pPr>
      <w:r>
        <w:rPr>
          <w:rFonts w:ascii="Georgia" w:cs="Georgia" w:eastAsia="Georgia" w:hAnsi="Georgia"/>
          <w:b/>
          <w:bCs/>
          <w:color w:val="085041"/>
          <w:sz w:val="32"/>
          <w:szCs w:val="32"/>
        </w:rPr>
        <w:t xml:space="preserve">Where would you like to start?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960"/>
        <w:gridCol w:w="3000"/>
        <w:gridCol w:w="3000"/>
      </w:tblGrid>
      <w:tr>
        <w:tc>
          <w:tcPr>
            <w:tcW w:type="dxa" w:w="2960"/>
            <w:tcBorders>
              <w:top w:val="none" w:color="FFFFFF" w:sz="0"/>
              <w:left w:val="none" w:color="FFFFFF" w:sz="0"/>
              <w:bottom w:val="none" w:color="FFFFFF" w:sz="0"/>
              <w:right w:val="none" w:color="FFFFFF" w:sz="0"/>
            </w:tcBorders>
            <w:shd w:fill="E1F5EE" w:val="clear"/>
            <w:tcMar>
              <w:top w:type="dxa" w:w="240"/>
              <w:left w:type="dxa" w:w="200"/>
              <w:bottom w:type="dxa" w:w="240"/>
              <w:right w:type="dxa" w:w="200"/>
            </w:tcMar>
          </w:tcPr>
          <w:p>
            <w:pPr>
              <w:spacing w:after="100"/>
            </w:pPr>
            <w:r>
              <w:rPr>
                <w:rFonts w:ascii="Georgia" w:cs="Georgia" w:eastAsia="Georgia" w:hAnsi="Georgia"/>
                <w:b/>
                <w:bCs/>
                <w:color w:val="085041"/>
                <w:sz w:val="24"/>
                <w:szCs w:val="24"/>
              </w:rPr>
              <w:t xml:space="preserve">Strategic Fitness</w:t>
            </w:r>
          </w:p>
          <w:p>
            <w:pPr>
              <w:spacing w:after="100"/>
            </w:pPr>
            <w:r>
              <w:rPr>
                <w:rFonts w:ascii="Calibri" w:cs="Calibri" w:eastAsia="Calibri" w:hAnsi="Calibri"/>
                <w:color w:val="444441"/>
                <w:sz w:val="20"/>
                <w:szCs w:val="20"/>
              </w:rPr>
              <w:t xml:space="preserve">Half or full-day diagnostic workshop to assess your organisation's readiness to operate in structural instability. Includes diagnostics, structured executive sessions, and immediate action pathways.</w:t>
            </w:r>
          </w:p>
          <w:p>
            <w:pPr>
              <w:spacing w:after="0"/>
            </w:pPr>
            <w:r>
              <w:rPr>
                <w:rFonts w:ascii="Calibri" w:cs="Calibri" w:eastAsia="Calibri" w:hAnsi="Calibri"/>
                <w:b/>
                <w:bCs/>
                <w:color w:val="0F6E56"/>
                <w:sz w:val="18"/>
                <w:szCs w:val="18"/>
              </w:rPr>
              <w:t xml:space="preserve">Ideal for Boards, CEOs, Senior Leadership Teams</w:t>
            </w:r>
          </w:p>
        </w:tc>
        <w:tc>
          <w:tcPr>
            <w:tcW w:type="dxa" w:w="3000"/>
            <w:tcBorders>
              <w:top w:val="none" w:color="FFFFFF" w:sz="0"/>
              <w:left w:val="none" w:color="FFFFFF" w:sz="0"/>
              <w:bottom w:val="none" w:color="FFFFFF" w:sz="0"/>
              <w:right w:val="none" w:color="FFFFFF" w:sz="0"/>
            </w:tcBorders>
            <w:shd w:fill="F5F5F5" w:val="clear"/>
            <w:tcMar>
              <w:top w:type="dxa" w:w="240"/>
              <w:left w:type="dxa" w:w="200"/>
              <w:bottom w:type="dxa" w:w="240"/>
              <w:right w:type="dxa" w:w="200"/>
            </w:tcMar>
          </w:tcPr>
          <w:p>
            <w:pPr>
              <w:spacing w:after="100"/>
            </w:pPr>
            <w:r>
              <w:rPr>
                <w:rFonts w:ascii="Georgia" w:cs="Georgia" w:eastAsia="Georgia" w:hAnsi="Georgia"/>
                <w:b/>
                <w:bCs/>
                <w:color w:val="1A1A2E"/>
                <w:sz w:val="24"/>
                <w:szCs w:val="24"/>
              </w:rPr>
              <w:t xml:space="preserve">SiA Strategy Engagement</w:t>
            </w:r>
          </w:p>
          <w:p>
            <w:pPr>
              <w:spacing w:after="100"/>
            </w:pPr>
            <w:r>
              <w:rPr>
                <w:rFonts w:ascii="Calibri" w:cs="Calibri" w:eastAsia="Calibri" w:hAnsi="Calibri"/>
                <w:color w:val="444441"/>
                <w:sz w:val="20"/>
                <w:szCs w:val="20"/>
              </w:rPr>
              <w:t xml:space="preserve">A co-designed, end-to-end strategy engagement using the SiA framework. From conditions analysis through to strategic priorities, capability investment, and an implementation framework.</w:t>
            </w:r>
          </w:p>
          <w:p>
            <w:pPr>
              <w:spacing w:after="0"/>
            </w:pPr>
            <w:r>
              <w:rPr>
                <w:rFonts w:ascii="Calibri" w:cs="Calibri" w:eastAsia="Calibri" w:hAnsi="Calibri"/>
                <w:b/>
                <w:bCs/>
                <w:color w:val="0F6E56"/>
                <w:sz w:val="18"/>
                <w:szCs w:val="18"/>
              </w:rPr>
              <w:t xml:space="preserve">Ideal for Boards, Executives, and complex organisations</w:t>
            </w:r>
          </w:p>
        </w:tc>
        <w:tc>
          <w:tcPr>
            <w:tcW w:type="dxa" w:w="3000"/>
            <w:tcBorders>
              <w:top w:val="none" w:color="FFFFFF" w:sz="0"/>
              <w:left w:val="none" w:color="FFFFFF" w:sz="0"/>
              <w:bottom w:val="none" w:color="FFFFFF" w:sz="0"/>
              <w:right w:val="none" w:color="FFFFFF" w:sz="0"/>
            </w:tcBorders>
            <w:shd w:fill="E1F5EE" w:val="clear"/>
            <w:tcMar>
              <w:top w:type="dxa" w:w="240"/>
              <w:left w:type="dxa" w:w="200"/>
              <w:bottom w:type="dxa" w:w="240"/>
              <w:right w:type="dxa" w:w="200"/>
            </w:tcMar>
          </w:tcPr>
          <w:p>
            <w:pPr>
              <w:spacing w:after="100"/>
            </w:pPr>
            <w:r>
              <w:rPr>
                <w:rFonts w:ascii="Georgia" w:cs="Georgia" w:eastAsia="Georgia" w:hAnsi="Georgia"/>
                <w:b/>
                <w:bCs/>
                <w:color w:val="085041"/>
                <w:sz w:val="24"/>
                <w:szCs w:val="24"/>
              </w:rPr>
              <w:t xml:space="preserve">Capability Building</w:t>
            </w:r>
          </w:p>
          <w:p>
            <w:pPr>
              <w:spacing w:after="100"/>
            </w:pPr>
            <w:r>
              <w:rPr>
                <w:rFonts w:ascii="Calibri" w:cs="Calibri" w:eastAsia="Calibri" w:hAnsi="Calibri"/>
                <w:color w:val="444441"/>
                <w:sz w:val="20"/>
                <w:szCs w:val="20"/>
              </w:rPr>
              <w:t xml:space="preserve">Embedding the SiA mindset, tools, and behaviours into your leadership team and organisation — so strategic thinking becomes a continuous internal capability, not an external dependency.</w:t>
            </w:r>
          </w:p>
          <w:p>
            <w:pPr>
              <w:spacing w:after="0"/>
            </w:pPr>
            <w:r>
              <w:rPr>
                <w:rFonts w:ascii="Calibri" w:cs="Calibri" w:eastAsia="Calibri" w:hAnsi="Calibri"/>
                <w:b/>
                <w:bCs/>
                <w:color w:val="0F6E56"/>
                <w:sz w:val="18"/>
                <w:szCs w:val="18"/>
              </w:rPr>
              <w:t xml:space="preserve">Ideal for Executive and leadership teams</w:t>
            </w:r>
          </w:p>
        </w:tc>
      </w:tr>
    </w:tbl>
    <w:p>
      <w:pPr>
        <w:spacing w:after="240"/>
      </w:pP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SOCIAL PROOF — SECTION 5</w:t>
      </w:r>
    </w:p>
    <w:p>
      <w:pPr>
        <w:pStyle w:val="Heading2"/>
        <w:spacing w:before="360" w:after="120"/>
      </w:pPr>
      <w:r>
        <w:rPr>
          <w:rFonts w:ascii="Georgia" w:cs="Georgia" w:eastAsia="Georgia" w:hAnsi="Georgia"/>
          <w:b/>
          <w:bCs/>
          <w:color w:val="085041"/>
          <w:sz w:val="32"/>
          <w:szCs w:val="32"/>
        </w:rPr>
        <w:t xml:space="preserve">Trusted by leaders navigating genuine complexity.</w:t>
      </w:r>
    </w:p>
    <w:p>
      <w:pPr>
        <w:spacing w:after="160" w:line="288"/>
      </w:pPr>
      <w:r>
        <w:rPr>
          <w:rFonts w:ascii="Calibri" w:cs="Calibri" w:eastAsia="Calibri" w:hAnsi="Calibri"/>
          <w:b w:val="false"/>
          <w:bCs w:val="false"/>
          <w:i w:val="false"/>
          <w:iCs w:val="false"/>
          <w:color w:val="444441"/>
          <w:sz w:val="22"/>
          <w:szCs w:val="22"/>
        </w:rPr>
        <w:t xml:space="preserve">Over 25 years, Resilient Futures has worked with Boards, CEOs, and leadership teams across professional associations, peak bodies, health networks, higher education, government, and industry — across Australia.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40"/>
              <w:left w:type="dxa" w:w="360"/>
              <w:bottom w:type="dxa" w:w="240"/>
              <w:right w:type="dxa" w:w="360"/>
            </w:tcMar>
          </w:tcPr>
          <w:p>
            <w:pPr>
              <w:spacing w:after="120" w:line="300"/>
            </w:pPr>
            <w:r>
              <w:rPr>
                <w:rFonts w:ascii="Georgia" w:cs="Georgia" w:eastAsia="Georgia" w:hAnsi="Georgia"/>
                <w:i/>
                <w:iCs/>
                <w:color w:val="085041"/>
                <w:sz w:val="26"/>
                <w:szCs w:val="26"/>
              </w:rPr>
              <w:t xml:space="preserve">"Strategy in Action has enabled me and my team to develop an approach to managing a complex set of conditions that are constantly changing."</w:t>
            </w:r>
          </w:p>
          <w:p>
            <w:pPr>
              <w:spacing w:after="0"/>
            </w:pPr>
            <w:r>
              <w:rPr>
                <w:rFonts w:ascii="Calibri" w:cs="Calibri" w:eastAsia="Calibri" w:hAnsi="Calibri"/>
                <w:b/>
                <w:bCs/>
                <w:color w:val="5F5E5A"/>
                <w:sz w:val="20"/>
                <w:szCs w:val="20"/>
              </w:rPr>
              <w:t xml:space="preserve">— CEO, Multinational Organisation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40"/>
              <w:left w:type="dxa" w:w="360"/>
              <w:bottom w:type="dxa" w:w="240"/>
              <w:right w:type="dxa" w:w="360"/>
            </w:tcMar>
          </w:tcPr>
          <w:p>
            <w:pPr>
              <w:spacing w:after="120" w:line="300"/>
            </w:pPr>
            <w:r>
              <w:rPr>
                <w:rFonts w:ascii="Georgia" w:cs="Georgia" w:eastAsia="Georgia" w:hAnsi="Georgia"/>
                <w:i/>
                <w:iCs/>
                <w:color w:val="085041"/>
                <w:sz w:val="26"/>
                <w:szCs w:val="26"/>
              </w:rPr>
              <w:t xml:space="preserve">"We're only a third of the way through the program, but it's already having a profound impact on our organisation."</w:t>
            </w:r>
          </w:p>
          <w:p>
            <w:pPr>
              <w:spacing w:after="0"/>
            </w:pPr>
            <w:r>
              <w:rPr>
                <w:rFonts w:ascii="Calibri" w:cs="Calibri" w:eastAsia="Calibri" w:hAnsi="Calibri"/>
                <w:b/>
                <w:bCs/>
                <w:color w:val="5F5E5A"/>
                <w:sz w:val="20"/>
                <w:szCs w:val="20"/>
              </w:rPr>
              <w:t xml:space="preserve">— CEO, Health and Human Services Organisation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Ready to assess your strategic fitness?</w:t>
            </w:r>
          </w:p>
          <w:p>
            <w:pPr>
              <w:spacing w:after="0"/>
            </w:pPr>
            <w:r>
              <w:rPr>
                <w:rFonts w:ascii="Calibri" w:cs="Calibri" w:eastAsia="Calibri" w:hAnsi="Calibri"/>
                <w:color w:val="5F5E5A"/>
                <w:sz w:val="22"/>
                <w:szCs w:val="22"/>
              </w:rPr>
              <w:t xml:space="preserve">A short Strategic Fitness conversation determines whether diagnostic insight and a structured workshop would be valuable for your organisation at this point in time.  →  Book a conversation</w:t>
            </w:r>
          </w:p>
        </w:tc>
      </w:tr>
    </w:tbl>
    <w:p>
      <w:r>
        <w:br w:type="page"/>
      </w:r>
    </w:p>
    <w:p>
      <w:pPr>
        <w:spacing w:before="320" w:after="80"/>
      </w:pPr>
      <w:r>
        <w:rPr>
          <w:rFonts w:ascii="Calibri" w:cs="Calibri" w:eastAsia="Calibri" w:hAnsi="Calibri"/>
          <w:b/>
          <w:bCs/>
          <w:caps/>
          <w:color w:val="0F6E56"/>
          <w:sz w:val="18"/>
          <w:szCs w:val="18"/>
        </w:rPr>
        <w:t xml:space="preserve">PAGE 2 — WHY RESILIENT FUTURES / THE PROBLEM WE SOLVE</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PAGE HEADLINE</w:t>
      </w:r>
    </w:p>
    <w:p>
      <w:pPr>
        <w:pStyle w:val="Heading1"/>
        <w:spacing w:before="480" w:after="160"/>
      </w:pPr>
      <w:r>
        <w:rPr>
          <w:rFonts w:ascii="Georgia" w:cs="Georgia" w:eastAsia="Georgia" w:hAnsi="Georgia"/>
          <w:b/>
          <w:bCs/>
          <w:color w:val="1A1A2E"/>
          <w:sz w:val="44"/>
          <w:szCs w:val="44"/>
        </w:rPr>
        <w:t xml:space="preserve">The operating environment has changed.
Most strategic systems haven't.</w:t>
      </w:r>
    </w:p>
    <w:p>
      <w:pPr>
        <w:spacing w:after="80"/>
      </w:pPr>
    </w:p>
    <w:p>
      <w:pPr>
        <w:spacing w:after="200" w:line="300"/>
      </w:pPr>
      <w:r>
        <w:rPr>
          <w:rFonts w:ascii="Georgia" w:cs="Georgia" w:eastAsia="Georgia" w:hAnsi="Georgia"/>
          <w:i/>
          <w:iCs/>
          <w:color w:val="1A1A2E"/>
          <w:sz w:val="26"/>
          <w:szCs w:val="26"/>
        </w:rPr>
        <w:t xml:space="preserve">This is not a crisis of intent. Most leadership teams are working hard, making reasonable decisions, and executing against plans they believe in. The problem is structural: the methods, rhythms, and assumptions underpinning most strategies were built for a world of relative predictability — and that world is gone.</w:t>
      </w:r>
    </w:p>
    <w:p>
      <w:pPr>
        <w:spacing w:after="160"/>
      </w:pPr>
    </w:p>
    <w:p>
      <w:pPr>
        <w:pStyle w:val="Heading2"/>
        <w:spacing w:before="360" w:after="120"/>
      </w:pPr>
      <w:r>
        <w:rPr>
          <w:rFonts w:ascii="Georgia" w:cs="Georgia" w:eastAsia="Georgia" w:hAnsi="Georgia"/>
          <w:b/>
          <w:bCs/>
          <w:color w:val="085041"/>
          <w:sz w:val="32"/>
          <w:szCs w:val="32"/>
        </w:rPr>
        <w:t xml:space="preserve">The strategic reality facing leaders today</w:t>
      </w:r>
    </w:p>
    <w:p>
      <w:pPr>
        <w:spacing w:after="160" w:line="288"/>
      </w:pPr>
      <w:r>
        <w:rPr>
          <w:rFonts w:ascii="Calibri" w:cs="Calibri" w:eastAsia="Calibri" w:hAnsi="Calibri"/>
          <w:b w:val="false"/>
          <w:bCs w:val="false"/>
          <w:i w:val="false"/>
          <w:iCs w:val="false"/>
          <w:color w:val="444441"/>
          <w:sz w:val="22"/>
          <w:szCs w:val="22"/>
        </w:rPr>
        <w:t xml:space="preserve">Change is no longer an event to be managed. It is the permanent operating condition. The forces reshaping organisations — from AI adoption and workforce transformation, to geopolitical instability, shifting member expectations, regulatory pressure, and climate-related disruption — are not sequential. They interact. They amplify each other. And they do not pause for annual planning cycles.</w:t>
      </w:r>
    </w:p>
    <w:p>
      <w:pPr>
        <w:spacing w:after="160" w:line="288"/>
      </w:pPr>
      <w:r>
        <w:rPr>
          <w:rFonts w:ascii="Calibri" w:cs="Calibri" w:eastAsia="Calibri" w:hAnsi="Calibri"/>
          <w:b w:val="false"/>
          <w:bCs w:val="false"/>
          <w:i w:val="false"/>
          <w:iCs w:val="false"/>
          <w:color w:val="444441"/>
          <w:sz w:val="22"/>
          <w:szCs w:val="22"/>
        </w:rPr>
        <w:t xml:space="preserve">The implications for leaders are profound.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pPr>
              <w:pStyle w:val="ListParagraph"/>
              <w:numPr>
                <w:ilvl w:val="0"/>
                <w:numId w:val="2"/>
              </w:numPr>
              <w:spacing w:after="100"/>
            </w:pPr>
            <w:r>
              <w:rPr>
                <w:rFonts w:ascii="Calibri" w:cs="Calibri" w:eastAsia="Calibri" w:hAnsi="Calibri"/>
                <w:color w:val="444441"/>
                <w:sz w:val="22"/>
                <w:szCs w:val="22"/>
              </w:rPr>
              <w:t xml:space="preserve">Traditional strategy cycles are too slow and too narrow for the pace of change</w:t>
            </w:r>
          </w:p>
          <w:p>
            <w:pPr>
              <w:pStyle w:val="ListParagraph"/>
              <w:numPr>
                <w:ilvl w:val="0"/>
                <w:numId w:val="2"/>
              </w:numPr>
              <w:spacing w:after="100"/>
            </w:pPr>
            <w:r>
              <w:rPr>
                <w:rFonts w:ascii="Calibri" w:cs="Calibri" w:eastAsia="Calibri" w:hAnsi="Calibri"/>
                <w:color w:val="444441"/>
                <w:sz w:val="22"/>
                <w:szCs w:val="22"/>
              </w:rPr>
              <w:t xml:space="preserve">Risk registers seldom capture the dynamic interdependencies between forces</w:t>
            </w:r>
          </w:p>
          <w:p>
            <w:pPr>
              <w:pStyle w:val="ListParagraph"/>
              <w:numPr>
                <w:ilvl w:val="0"/>
                <w:numId w:val="2"/>
              </w:numPr>
              <w:spacing w:after="100"/>
            </w:pPr>
            <w:r>
              <w:rPr>
                <w:rFonts w:ascii="Calibri" w:cs="Calibri" w:eastAsia="Calibri" w:hAnsi="Calibri"/>
                <w:color w:val="444441"/>
                <w:sz w:val="22"/>
                <w:szCs w:val="22"/>
              </w:rPr>
              <w:t xml:space="preserve">Strategy becomes a 'project list' — disconnected from real conditions</w:t>
            </w:r>
          </w:p>
          <w:p>
            <w:pPr>
              <w:pStyle w:val="ListParagraph"/>
              <w:numPr>
                <w:ilvl w:val="0"/>
                <w:numId w:val="2"/>
              </w:numPr>
              <w:spacing w:after="100"/>
            </w:pPr>
            <w:r>
              <w:rPr>
                <w:rFonts w:ascii="Calibri" w:cs="Calibri" w:eastAsia="Calibri" w:hAnsi="Calibri"/>
                <w:color w:val="444441"/>
                <w:sz w:val="22"/>
                <w:szCs w:val="22"/>
              </w:rPr>
              <w:t xml:space="preserve">Boards lack real-time strategic intelligence for effective governance</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pPr>
              <w:pStyle w:val="ListParagraph"/>
              <w:numPr>
                <w:ilvl w:val="0"/>
                <w:numId w:val="2"/>
              </w:numPr>
              <w:spacing w:after="100"/>
            </w:pPr>
            <w:r>
              <w:rPr>
                <w:rFonts w:ascii="Calibri" w:cs="Calibri" w:eastAsia="Calibri" w:hAnsi="Calibri"/>
                <w:color w:val="444441"/>
                <w:sz w:val="22"/>
                <w:szCs w:val="22"/>
              </w:rPr>
              <w:t xml:space="preserve">Undetected signals of change lead to decision lag and missed opportunity</w:t>
            </w:r>
          </w:p>
          <w:p>
            <w:pPr>
              <w:pStyle w:val="ListParagraph"/>
              <w:numPr>
                <w:ilvl w:val="0"/>
                <w:numId w:val="2"/>
              </w:numPr>
              <w:spacing w:after="100"/>
            </w:pPr>
            <w:r>
              <w:rPr>
                <w:rFonts w:ascii="Calibri" w:cs="Calibri" w:eastAsia="Calibri" w:hAnsi="Calibri"/>
                <w:color w:val="444441"/>
                <w:sz w:val="22"/>
                <w:szCs w:val="22"/>
              </w:rPr>
              <w:t xml:space="preserve">Organisations invest in optimising the present rather than preparing for the future</w:t>
            </w:r>
          </w:p>
          <w:p>
            <w:pPr>
              <w:pStyle w:val="ListParagraph"/>
              <w:numPr>
                <w:ilvl w:val="0"/>
                <w:numId w:val="2"/>
              </w:numPr>
              <w:spacing w:after="100"/>
            </w:pPr>
            <w:r>
              <w:rPr>
                <w:rFonts w:ascii="Calibri" w:cs="Calibri" w:eastAsia="Calibri" w:hAnsi="Calibri"/>
                <w:color w:val="444441"/>
                <w:sz w:val="22"/>
                <w:szCs w:val="22"/>
              </w:rPr>
              <w:t xml:space="preserve">Leadership effectiveness declines under the pressure of disruptive change</w:t>
            </w:r>
          </w:p>
          <w:p>
            <w:pPr>
              <w:pStyle w:val="ListParagraph"/>
              <w:numPr>
                <w:ilvl w:val="0"/>
                <w:numId w:val="2"/>
              </w:numPr>
              <w:spacing w:after="100"/>
            </w:pPr>
            <w:r>
              <w:rPr>
                <w:rFonts w:ascii="Calibri" w:cs="Calibri" w:eastAsia="Calibri" w:hAnsi="Calibri"/>
                <w:color w:val="444441"/>
                <w:sz w:val="22"/>
                <w:szCs w:val="22"/>
              </w:rPr>
              <w:t xml:space="preserve">Capability gaps — in people, systems, and infrastructure — quietly widen</w:t>
            </w:r>
          </w:p>
        </w:tc>
      </w:tr>
    </w:tbl>
    <w:p>
      <w:pPr>
        <w:spacing w:after="200"/>
      </w:pPr>
    </w:p>
    <w:p>
      <w:pPr>
        <w:pStyle w:val="Heading2"/>
        <w:spacing w:before="360" w:after="120"/>
      </w:pPr>
      <w:r>
        <w:rPr>
          <w:rFonts w:ascii="Georgia" w:cs="Georgia" w:eastAsia="Georgia" w:hAnsi="Georgia"/>
          <w:b/>
          <w:bCs/>
          <w:color w:val="085041"/>
          <w:sz w:val="32"/>
          <w:szCs w:val="32"/>
        </w:rPr>
        <w:t xml:space="preserve">The consequence has a name: Managed Adaptive Decline.</w:t>
      </w:r>
    </w:p>
    <w:p>
      <w:pPr>
        <w:spacing w:after="160" w:line="288"/>
      </w:pPr>
      <w:r>
        <w:rPr>
          <w:rFonts w:ascii="Calibri" w:cs="Calibri" w:eastAsia="Calibri" w:hAnsi="Calibri"/>
          <w:b w:val="false"/>
          <w:bCs w:val="false"/>
          <w:i w:val="false"/>
          <w:iCs w:val="false"/>
          <w:color w:val="444441"/>
          <w:sz w:val="22"/>
          <w:szCs w:val="22"/>
        </w:rPr>
        <w:t xml:space="preserve">When organisations adapt to deteriorating conditions in a seemingly rational way — cutting costs, tightening focus, incrementally adjusting — they can maintain the appearance of function while steadily losing relevance, influence, and value. This is what we call Managed Adaptive Decline, or MAD.</w:t>
      </w:r>
    </w:p>
    <w:p>
      <w:pPr>
        <w:spacing w:after="160" w:line="288"/>
      </w:pPr>
      <w:r>
        <w:rPr>
          <w:rFonts w:ascii="Calibri" w:cs="Calibri" w:eastAsia="Calibri" w:hAnsi="Calibri"/>
          <w:b w:val="false"/>
          <w:bCs w:val="false"/>
          <w:i w:val="false"/>
          <w:iCs w:val="false"/>
          <w:color w:val="444441"/>
          <w:sz w:val="22"/>
          <w:szCs w:val="22"/>
        </w:rPr>
        <w:t xml:space="preserve">MAD is insidious precisely because it is gradual. Performance metrics may hold. Board confidence may remain high. But the organisation is slowly becoming less capable of generating the value that made it important in the first place.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val="false"/>
                <w:bCs w:val="false"/>
                <w:i/>
                <w:iCs/>
                <w:color w:val="FFFFFF"/>
                <w:sz w:val="24"/>
                <w:szCs w:val="24"/>
              </w:rPr>
              <w:t xml:space="preserve">The most significant risk is not the disruption you can see. It is the erosion of relevance that is happening too slowly to trigger an alarm.</w:t>
            </w:r>
          </w:p>
        </w:tc>
      </w:tr>
    </w:tbl>
    <w:p>
      <w:pPr>
        <w:spacing w:after="200"/>
      </w:pPr>
    </w:p>
    <w:p>
      <w:pPr>
        <w:pStyle w:val="Heading2"/>
        <w:spacing w:before="360" w:after="120"/>
      </w:pPr>
      <w:r>
        <w:rPr>
          <w:rFonts w:ascii="Georgia" w:cs="Georgia" w:eastAsia="Georgia" w:hAnsi="Georgia"/>
          <w:b/>
          <w:bCs/>
          <w:color w:val="085041"/>
          <w:sz w:val="32"/>
          <w:szCs w:val="32"/>
        </w:rPr>
        <w:t xml:space="preserve">Why traditional approaches fall short</w:t>
      </w:r>
    </w:p>
    <w:p>
      <w:pPr>
        <w:spacing w:after="160" w:line="288"/>
      </w:pPr>
      <w:r>
        <w:rPr>
          <w:rFonts w:ascii="Calibri" w:cs="Calibri" w:eastAsia="Calibri" w:hAnsi="Calibri"/>
          <w:b w:val="false"/>
          <w:bCs w:val="false"/>
          <w:i w:val="false"/>
          <w:iCs w:val="false"/>
          <w:color w:val="444441"/>
          <w:sz w:val="22"/>
          <w:szCs w:val="22"/>
        </w:rPr>
        <w:t xml:space="preserve">LEAN programs, agile methodologies, design thinking, large-scale restructuring — these tools have genuine value in the right contexts. But they are optimisation tools, not orientation tools. They improve how an organisation executes within a given frame. They do not help an organisation determine whether the frame itself is still the right one.</w:t>
      </w:r>
    </w:p>
    <w:p>
      <w:pPr>
        <w:spacing w:after="160" w:line="288"/>
      </w:pPr>
      <w:r>
        <w:rPr>
          <w:rFonts w:ascii="Calibri" w:cs="Calibri" w:eastAsia="Calibri" w:hAnsi="Calibri"/>
          <w:b w:val="false"/>
          <w:bCs w:val="false"/>
          <w:i w:val="false"/>
          <w:iCs w:val="false"/>
          <w:color w:val="444441"/>
          <w:sz w:val="22"/>
          <w:szCs w:val="22"/>
        </w:rPr>
        <w:t xml:space="preserve">What leaders in complex environments need is a fundamentally different approach to strategy — one that starts with an honest reading of the real change landscape, moves to where value must be generated and protected, identifies the risks and opportunities that matter most, and translates all of this into focused, adaptive action.</w:t>
      </w:r>
    </w:p>
    <w:p>
      <w:pPr>
        <w:spacing w:after="120"/>
      </w:pPr>
    </w:p>
    <w:p>
      <w:pPr>
        <w:pStyle w:val="Heading2"/>
        <w:spacing w:before="360" w:after="120"/>
      </w:pPr>
      <w:r>
        <w:rPr>
          <w:rFonts w:ascii="Georgia" w:cs="Georgia" w:eastAsia="Georgia" w:hAnsi="Georgia"/>
          <w:b/>
          <w:bCs/>
          <w:color w:val="085041"/>
          <w:sz w:val="32"/>
          <w:szCs w:val="32"/>
        </w:rPr>
        <w:t xml:space="preserve">There is a better way.</w:t>
      </w:r>
    </w:p>
    <w:p>
      <w:pPr>
        <w:spacing w:after="160" w:line="288"/>
      </w:pPr>
      <w:r>
        <w:rPr>
          <w:rFonts w:ascii="Calibri" w:cs="Calibri" w:eastAsia="Calibri" w:hAnsi="Calibri"/>
          <w:b w:val="false"/>
          <w:bCs w:val="false"/>
          <w:i w:val="false"/>
          <w:iCs w:val="false"/>
          <w:color w:val="444441"/>
          <w:sz w:val="22"/>
          <w:szCs w:val="22"/>
        </w:rPr>
        <w:t xml:space="preserve">Resilient Futures works with leaders who have recognised that the current approach to strategy is not fit for the conditions they are operating in — and who want to do something about it before the gap between strategy and reality becomes a crisis.</w:t>
      </w:r>
    </w:p>
    <w:p>
      <w:pPr>
        <w:spacing w:after="160" w:line="288"/>
      </w:pPr>
      <w:r>
        <w:rPr>
          <w:rFonts w:ascii="Calibri" w:cs="Calibri" w:eastAsia="Calibri" w:hAnsi="Calibri"/>
          <w:b w:val="false"/>
          <w:bCs w:val="false"/>
          <w:i w:val="false"/>
          <w:iCs w:val="false"/>
          <w:color w:val="444441"/>
          <w:sz w:val="22"/>
          <w:szCs w:val="22"/>
        </w:rPr>
        <w:t xml:space="preserve">Our approach does not begin with frameworks. It begins with a clear-eyed diagnosis of what is actually happening in your operating environment — and what that means for your organisation's relevance, risk exposure, and opportunity 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Start with a Strategic Fitness conversation.</w:t>
            </w:r>
          </w:p>
          <w:p>
            <w:pPr>
              <w:spacing w:after="0"/>
            </w:pPr>
            <w:r>
              <w:rPr>
                <w:rFonts w:ascii="Calibri" w:cs="Calibri" w:eastAsia="Calibri" w:hAnsi="Calibri"/>
                <w:color w:val="5F5E5A"/>
                <w:sz w:val="22"/>
                <w:szCs w:val="22"/>
              </w:rPr>
              <w:t xml:space="preserve">We work with a small number of organisations at any given time. A short conversation helps determine whether the timing and fit are right for your organisation. →  Book a conversation</w:t>
            </w:r>
          </w:p>
        </w:tc>
      </w:tr>
    </w:tbl>
    <w:p>
      <w:r>
        <w:br w:type="page"/>
      </w:r>
    </w:p>
    <w:p>
      <w:pPr>
        <w:spacing w:before="320" w:after="80"/>
      </w:pPr>
      <w:r>
        <w:rPr>
          <w:rFonts w:ascii="Calibri" w:cs="Calibri" w:eastAsia="Calibri" w:hAnsi="Calibri"/>
          <w:b/>
          <w:bCs/>
          <w:caps/>
          <w:color w:val="0F6E56"/>
          <w:sz w:val="18"/>
          <w:szCs w:val="18"/>
        </w:rPr>
        <w:t xml:space="preserve">PAGE 3 — OUR APPROACH / STRATEGY IN ACTION (SIA)</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PAGE HEADLINE</w:t>
      </w:r>
    </w:p>
    <w:p>
      <w:pPr>
        <w:pStyle w:val="Heading1"/>
        <w:spacing w:before="480" w:after="160"/>
      </w:pPr>
      <w:r>
        <w:rPr>
          <w:rFonts w:ascii="Georgia" w:cs="Georgia" w:eastAsia="Georgia" w:hAnsi="Georgia"/>
          <w:b/>
          <w:bCs/>
          <w:color w:val="1A1A2E"/>
          <w:sz w:val="44"/>
          <w:szCs w:val="44"/>
        </w:rPr>
        <w:t xml:space="preserve">Strategy in Action (SiA)
A decision-making system built for structural instability.</w:t>
      </w:r>
    </w:p>
    <w:p>
      <w:pPr>
        <w:spacing w:after="80"/>
      </w:pPr>
    </w:p>
    <w:p>
      <w:pPr>
        <w:spacing w:after="200" w:line="300"/>
      </w:pPr>
      <w:r>
        <w:rPr>
          <w:rFonts w:ascii="Georgia" w:cs="Georgia" w:eastAsia="Georgia" w:hAnsi="Georgia"/>
          <w:i/>
          <w:iCs/>
          <w:color w:val="1A1A2E"/>
          <w:sz w:val="26"/>
          <w:szCs w:val="26"/>
        </w:rPr>
        <w:t xml:space="preserve">Most strategy frameworks were designed to produce a plan. Strategy in Action was designed to keep strategy alive — continuously connected to the real change landscape, continuously generating the insight and alignment your organisation needs to act with confidence.</w:t>
      </w:r>
    </w:p>
    <w:p>
      <w:pPr>
        <w:spacing w:after="160"/>
      </w:pPr>
    </w:p>
    <w:p>
      <w:pPr>
        <w:pStyle w:val="Heading2"/>
        <w:spacing w:before="360" w:after="120"/>
      </w:pPr>
      <w:r>
        <w:rPr>
          <w:rFonts w:ascii="Georgia" w:cs="Georgia" w:eastAsia="Georgia" w:hAnsi="Georgia"/>
          <w:b/>
          <w:bCs/>
          <w:color w:val="085041"/>
          <w:sz w:val="32"/>
          <w:szCs w:val="32"/>
        </w:rPr>
        <w:t xml:space="preserve">The thinking behind the methodology</w:t>
      </w:r>
    </w:p>
    <w:p>
      <w:pPr>
        <w:spacing w:after="160" w:line="288"/>
      </w:pPr>
      <w:r>
        <w:rPr>
          <w:rFonts w:ascii="Calibri" w:cs="Calibri" w:eastAsia="Calibri" w:hAnsi="Calibri"/>
          <w:b w:val="false"/>
          <w:bCs w:val="false"/>
          <w:i w:val="false"/>
          <w:iCs w:val="false"/>
          <w:color w:val="444441"/>
          <w:sz w:val="22"/>
          <w:szCs w:val="22"/>
        </w:rPr>
        <w:t xml:space="preserve">Strategy in Action (SiA) is grounded in three intellectual traditions that most strategic advisory practices do not draw on: complex adaptive systems thinking, resilience science, and cognitive science.</w:t>
      </w:r>
    </w:p>
    <w:p>
      <w:pPr>
        <w:spacing w:after="160" w:line="288"/>
      </w:pPr>
      <w:r>
        <w:rPr>
          <w:rFonts w:ascii="Calibri" w:cs="Calibri" w:eastAsia="Calibri" w:hAnsi="Calibri"/>
          <w:b w:val="false"/>
          <w:bCs w:val="false"/>
          <w:i w:val="false"/>
          <w:iCs w:val="false"/>
          <w:color w:val="444441"/>
          <w:sz w:val="22"/>
          <w:szCs w:val="22"/>
        </w:rPr>
        <w:t xml:space="preserve">This is not academic positioning. Each of these disciplines has direct, practical implications for how organisations should approach strategy in environments where conditions are unpredictable, interdependent, and fast-moving. Complex systems do not behave like machines — they adapt, self-organise, and produce emergent behaviour that no single actor can fully control or predict.</w:t>
      </w:r>
    </w:p>
    <w:p>
      <w:pPr>
        <w:spacing w:after="160" w:line="288"/>
      </w:pPr>
      <w:r>
        <w:rPr>
          <w:rFonts w:ascii="Calibri" w:cs="Calibri" w:eastAsia="Calibri" w:hAnsi="Calibri"/>
          <w:b w:val="false"/>
          <w:bCs w:val="false"/>
          <w:i w:val="false"/>
          <w:iCs w:val="false"/>
          <w:color w:val="444441"/>
          <w:sz w:val="22"/>
          <w:szCs w:val="22"/>
        </w:rPr>
        <w:t xml:space="preserve">The implication is significant: strategy in complex environments cannot be a static document. It must be a living system — one that helps the organisation read change, test assumptions, and act with both speed and judgement.</w:t>
      </w:r>
    </w:p>
    <w:p>
      <w:pPr>
        <w:spacing w:after="120"/>
      </w:pPr>
    </w:p>
    <w:p>
      <w:pPr>
        <w:pStyle w:val="Heading2"/>
        <w:spacing w:before="360" w:after="120"/>
      </w:pPr>
      <w:r>
        <w:rPr>
          <w:rFonts w:ascii="Georgia" w:cs="Georgia" w:eastAsia="Georgia" w:hAnsi="Georgia"/>
          <w:b/>
          <w:bCs/>
          <w:color w:val="085041"/>
          <w:sz w:val="32"/>
          <w:szCs w:val="32"/>
        </w:rPr>
        <w:t xml:space="preserve">The five interconnected concepts</w:t>
      </w:r>
    </w:p>
    <w:p>
      <w:pPr>
        <w:spacing w:after="160" w:line="288"/>
      </w:pPr>
      <w:r>
        <w:rPr>
          <w:rFonts w:ascii="Calibri" w:cs="Calibri" w:eastAsia="Calibri" w:hAnsi="Calibri"/>
          <w:b w:val="false"/>
          <w:bCs w:val="false"/>
          <w:i w:val="false"/>
          <w:iCs w:val="false"/>
          <w:color w:val="444441"/>
          <w:sz w:val="22"/>
          <w:szCs w:val="22"/>
        </w:rPr>
        <w:t xml:space="preserve">SiA operates through five standards that work dynamically — not as sequential steps, but as an integrated system that keeps strategy aligned to changing conditions at every level of the organisation.</w:t>
      </w:r>
    </w:p>
    <w:p>
      <w:pPr>
        <w:spacing w:after="80"/>
      </w:pPr>
    </w:p>
    <w:p>
      <w:pPr>
        <w:pStyle w:val="Heading3"/>
        <w:spacing w:before="280" w:after="80"/>
      </w:pPr>
      <w:r>
        <w:rPr>
          <w:rFonts w:ascii="Georgia" w:cs="Georgia" w:eastAsia="Georgia" w:hAnsi="Georgia"/>
          <w:b/>
          <w:bCs/>
          <w:color w:val="1A1A2E"/>
          <w:sz w:val="26"/>
          <w:szCs w:val="26"/>
        </w:rPr>
        <w:t xml:space="preserve">1. Conditions — Understanding the real change landscape</w:t>
      </w:r>
    </w:p>
    <w:p>
      <w:pPr>
        <w:spacing w:after="160" w:line="288"/>
      </w:pPr>
      <w:r>
        <w:rPr>
          <w:rFonts w:ascii="Calibri" w:cs="Calibri" w:eastAsia="Calibri" w:hAnsi="Calibri"/>
          <w:b w:val="false"/>
          <w:bCs w:val="false"/>
          <w:i w:val="false"/>
          <w:iCs w:val="false"/>
          <w:color w:val="444441"/>
          <w:sz w:val="22"/>
          <w:szCs w:val="22"/>
        </w:rPr>
        <w:t xml:space="preserve">Every SiA engagement begins with building a shared, evidence-based understanding of the conditions shaping an organisation's operating environment. This goes well beyond scanning headlines or listing trends. The intent is to 'read the real play' — to understand how forces are interacting, where pressure is building, and what this means specifically for your organisation's relevance, risk exposure, and value creation potential.</w:t>
      </w:r>
    </w:p>
    <w:p>
      <w:pPr>
        <w:spacing w:after="160" w:line="288"/>
      </w:pPr>
      <w:r>
        <w:rPr>
          <w:rFonts w:ascii="Calibri" w:cs="Calibri" w:eastAsia="Calibri" w:hAnsi="Calibri"/>
          <w:b w:val="false"/>
          <w:bCs w:val="false"/>
          <w:i w:val="false"/>
          <w:iCs w:val="false"/>
          <w:color w:val="444441"/>
          <w:sz w:val="22"/>
          <w:szCs w:val="22"/>
        </w:rPr>
        <w:t xml:space="preserve">This shared view of reality — kept continuously current — becomes the anchor for all subsequent strategic decisions.</w:t>
      </w:r>
    </w:p>
    <w:p>
      <w:pPr>
        <w:spacing w:after="80"/>
      </w:pPr>
    </w:p>
    <w:p>
      <w:pPr>
        <w:pStyle w:val="Heading3"/>
        <w:spacing w:before="280" w:after="80"/>
      </w:pPr>
      <w:r>
        <w:rPr>
          <w:rFonts w:ascii="Georgia" w:cs="Georgia" w:eastAsia="Georgia" w:hAnsi="Georgia"/>
          <w:b/>
          <w:bCs/>
          <w:color w:val="1A1A2E"/>
          <w:sz w:val="26"/>
          <w:szCs w:val="26"/>
        </w:rPr>
        <w:t xml:space="preserve">2. Sustainable Value Generation — What must endure</w:t>
      </w:r>
    </w:p>
    <w:p>
      <w:pPr>
        <w:spacing w:after="160" w:line="288"/>
      </w:pPr>
      <w:r>
        <w:rPr>
          <w:rFonts w:ascii="Calibri" w:cs="Calibri" w:eastAsia="Calibri" w:hAnsi="Calibri"/>
          <w:b w:val="false"/>
          <w:bCs w:val="false"/>
          <w:i w:val="false"/>
          <w:iCs w:val="false"/>
          <w:color w:val="444441"/>
          <w:sz w:val="22"/>
          <w:szCs w:val="22"/>
        </w:rPr>
        <w:t xml:space="preserve">Based on the conditions analysis, we focus on the value the organisation must generate, protect, refine, and renew over time. This is not about financial metrics alone. It is about understanding what is genuinely valued by members, stakeholders, partners, and the broader system — and where the organisation must differentiate to remain relevant and trusted.</w:t>
      </w:r>
    </w:p>
    <w:p>
      <w:pPr>
        <w:spacing w:after="160" w:line="288"/>
      </w:pPr>
      <w:r>
        <w:rPr>
          <w:rFonts w:ascii="Calibri" w:cs="Calibri" w:eastAsia="Calibri" w:hAnsi="Calibri"/>
          <w:b w:val="false"/>
          <w:bCs w:val="false"/>
          <w:i w:val="false"/>
          <w:iCs w:val="false"/>
          <w:color w:val="444441"/>
          <w:sz w:val="22"/>
          <w:szCs w:val="22"/>
        </w:rPr>
        <w:t xml:space="preserve">This sharpens strategic judgement by answering the hardest question: what is this organisation actually for, in the conditions we now face?</w:t>
      </w:r>
    </w:p>
    <w:p>
      <w:pPr>
        <w:spacing w:after="80"/>
      </w:pPr>
    </w:p>
    <w:p>
      <w:pPr>
        <w:pStyle w:val="Heading3"/>
        <w:spacing w:before="280" w:after="80"/>
      </w:pPr>
      <w:r>
        <w:rPr>
          <w:rFonts w:ascii="Georgia" w:cs="Georgia" w:eastAsia="Georgia" w:hAnsi="Georgia"/>
          <w:b/>
          <w:bCs/>
          <w:color w:val="1A1A2E"/>
          <w:sz w:val="26"/>
          <w:szCs w:val="26"/>
        </w:rPr>
        <w:t xml:space="preserve">3. Strategic Opportunity-Risk (SOR) — Focus where it matters</w:t>
      </w:r>
    </w:p>
    <w:p>
      <w:pPr>
        <w:spacing w:after="160" w:line="288"/>
      </w:pPr>
      <w:r>
        <w:rPr>
          <w:rFonts w:ascii="Calibri" w:cs="Calibri" w:eastAsia="Calibri" w:hAnsi="Calibri"/>
          <w:b w:val="false"/>
          <w:bCs w:val="false"/>
          <w:i w:val="false"/>
          <w:iCs w:val="false"/>
          <w:color w:val="444441"/>
          <w:sz w:val="22"/>
          <w:szCs w:val="22"/>
        </w:rPr>
        <w:t xml:space="preserve">In complex environments, opportunity and risk are frequently two sides of the same coin. SiA identifies and prioritises Strategic Opportunity-Risks — the conditions, choices, and dynamics that have the most significant implications for the organisation's trajectory.</w:t>
      </w:r>
    </w:p>
    <w:p>
      <w:pPr>
        <w:spacing w:after="160" w:line="288"/>
      </w:pPr>
      <w:r>
        <w:rPr>
          <w:rFonts w:ascii="Calibri" w:cs="Calibri" w:eastAsia="Calibri" w:hAnsi="Calibri"/>
          <w:b w:val="false"/>
          <w:bCs w:val="false"/>
          <w:i w:val="false"/>
          <w:iCs w:val="false"/>
          <w:color w:val="444441"/>
          <w:sz w:val="22"/>
          <w:szCs w:val="22"/>
        </w:rPr>
        <w:t xml:space="preserve">This provides clear strategic focus: a disciplined view of what initiatives should continue, adapt, accelerate, or stop, structured across near, medium, and longer-term horizons.</w:t>
      </w:r>
    </w:p>
    <w:p>
      <w:pPr>
        <w:spacing w:after="80"/>
      </w:pPr>
    </w:p>
    <w:p>
      <w:pPr>
        <w:pStyle w:val="Heading3"/>
        <w:spacing w:before="280" w:after="80"/>
      </w:pPr>
      <w:r>
        <w:rPr>
          <w:rFonts w:ascii="Georgia" w:cs="Georgia" w:eastAsia="Georgia" w:hAnsi="Georgia"/>
          <w:b/>
          <w:bCs/>
          <w:color w:val="1A1A2E"/>
          <w:sz w:val="26"/>
          <w:szCs w:val="26"/>
        </w:rPr>
        <w:t xml:space="preserve">4. Capability Investment — Matching ambition with readiness</w:t>
      </w:r>
    </w:p>
    <w:p>
      <w:pPr>
        <w:spacing w:after="160" w:line="288"/>
      </w:pPr>
      <w:r>
        <w:rPr>
          <w:rFonts w:ascii="Calibri" w:cs="Calibri" w:eastAsia="Calibri" w:hAnsi="Calibri"/>
          <w:b w:val="false"/>
          <w:bCs w:val="false"/>
          <w:i w:val="false"/>
          <w:iCs w:val="false"/>
          <w:color w:val="444441"/>
          <w:sz w:val="22"/>
          <w:szCs w:val="22"/>
        </w:rPr>
        <w:t xml:space="preserve">Capability is the engine of sustainable value generation. SiA creates a deliberate, networked view of the capabilities an organisation must build, acquire, release, or repurpose — in people, systems, infrastructure, and operating models — to remain effective as conditions evolve.</w:t>
      </w:r>
    </w:p>
    <w:p>
      <w:pPr>
        <w:spacing w:after="160" w:line="288"/>
      </w:pPr>
      <w:r>
        <w:rPr>
          <w:rFonts w:ascii="Calibri" w:cs="Calibri" w:eastAsia="Calibri" w:hAnsi="Calibri"/>
          <w:b w:val="false"/>
          <w:bCs w:val="false"/>
          <w:i w:val="false"/>
          <w:iCs w:val="false"/>
          <w:color w:val="444441"/>
          <w:sz w:val="22"/>
          <w:szCs w:val="22"/>
        </w:rPr>
        <w:t xml:space="preserve">This is where strategy stops being aspirational and becomes honest about what the organisation can and cannot do.</w:t>
      </w:r>
    </w:p>
    <w:p>
      <w:pPr>
        <w:spacing w:after="80"/>
      </w:pPr>
    </w:p>
    <w:p>
      <w:pPr>
        <w:pStyle w:val="Heading3"/>
        <w:spacing w:before="280" w:after="80"/>
      </w:pPr>
      <w:r>
        <w:rPr>
          <w:rFonts w:ascii="Georgia" w:cs="Georgia" w:eastAsia="Georgia" w:hAnsi="Georgia"/>
          <w:b/>
          <w:bCs/>
          <w:color w:val="1A1A2E"/>
          <w:sz w:val="26"/>
          <w:szCs w:val="26"/>
        </w:rPr>
        <w:t xml:space="preserve">5. Catalytic Action — Strategy that moves</w:t>
      </w:r>
    </w:p>
    <w:p>
      <w:pPr>
        <w:spacing w:after="160" w:line="288"/>
      </w:pPr>
      <w:r>
        <w:rPr>
          <w:rFonts w:ascii="Calibri" w:cs="Calibri" w:eastAsia="Calibri" w:hAnsi="Calibri"/>
          <w:b w:val="false"/>
          <w:bCs w:val="false"/>
          <w:i w:val="false"/>
          <w:iCs w:val="false"/>
          <w:color w:val="444441"/>
          <w:sz w:val="22"/>
          <w:szCs w:val="22"/>
        </w:rPr>
        <w:t xml:space="preserve">SiA translates strategy into targeted catalytic action: initiatives with multi-pronged impact that generate feedback quickly and determine next action — all moving in flow with the pace of change. Rather than large, slow, linear programs, this approach emphasises fast learning cycles and adaptive execution.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val="false"/>
                <w:bCs w:val="false"/>
                <w:i/>
                <w:iCs/>
                <w:color w:val="FFFFFF"/>
                <w:sz w:val="22"/>
                <w:szCs w:val="22"/>
              </w:rPr>
              <w:t xml:space="preserve">As a complete framework, SiA works at all levels of the organisation and across silos. It provides a common strategic language, supports genuine empowerment of people, and fosters accountability to action — not just to plans.</w:t>
            </w:r>
          </w:p>
        </w:tc>
      </w:tr>
    </w:tbl>
    <w:p>
      <w:pPr>
        <w:spacing w:after="200"/>
      </w:pPr>
    </w:p>
    <w:p>
      <w:pPr>
        <w:pStyle w:val="Heading2"/>
        <w:spacing w:before="360" w:after="120"/>
      </w:pPr>
      <w:r>
        <w:rPr>
          <w:rFonts w:ascii="Georgia" w:cs="Georgia" w:eastAsia="Georgia" w:hAnsi="Georgia"/>
          <w:b/>
          <w:bCs/>
          <w:color w:val="085041"/>
          <w:sz w:val="32"/>
          <w:szCs w:val="32"/>
        </w:rPr>
        <w:t xml:space="preserve">What makes this fundamentally different</w:t>
      </w:r>
    </w:p>
    <w:p>
      <w:pPr>
        <w:spacing w:after="160" w:line="288"/>
      </w:pPr>
      <w:r>
        <w:rPr>
          <w:rFonts w:ascii="Calibri" w:cs="Calibri" w:eastAsia="Calibri" w:hAnsi="Calibri"/>
          <w:b w:val="false"/>
          <w:bCs w:val="false"/>
          <w:i w:val="false"/>
          <w:iCs w:val="false"/>
          <w:color w:val="444441"/>
          <w:sz w:val="22"/>
          <w:szCs w:val="22"/>
        </w:rPr>
        <w:t xml:space="preserve">Most strategic advisory practices do the thinking for you — and leave when the document is done. Resilient Futures does something more important and more enduring: we transfer the mindset, tools, and behaviours required to think and act strategically to your people, so your organisation builds genuine internal capability over time.</w:t>
      </w:r>
    </w:p>
    <w:p>
      <w:pPr>
        <w:spacing w:after="160" w:line="288"/>
      </w:pPr>
      <w:r>
        <w:rPr>
          <w:rFonts w:ascii="Calibri" w:cs="Calibri" w:eastAsia="Calibri" w:hAnsi="Calibri"/>
          <w:b w:val="false"/>
          <w:bCs w:val="false"/>
          <w:i w:val="false"/>
          <w:iCs w:val="false"/>
          <w:color w:val="444441"/>
          <w:sz w:val="22"/>
          <w:szCs w:val="22"/>
        </w:rPr>
        <w:t xml:space="preserve">This is not about outsourcing strategic thinking. It is about building it into the fabric of how your Board and leadership team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500"/>
        <w:gridCol w:w="4500"/>
      </w:tblGrid>
      <w:tr>
        <w:tc>
          <w:tcPr>
            <w:tcW w:type="dxa" w:w="4500"/>
            <w:tcBorders>
              <w:top w:val="none" w:color="FFFFFF" w:sz="0"/>
              <w:left w:val="none" w:color="FFFFFF" w:sz="0"/>
              <w:bottom w:val="none" w:color="FFFFFF" w:sz="0"/>
              <w:right w:val="none" w:color="FFFFFF" w:sz="0"/>
            </w:tcBorders>
            <w:shd w:fill="F5F5F5" w:val="clear"/>
            <w:tcMar>
              <w:top w:type="dxa" w:w="200"/>
              <w:left w:type="dxa" w:w="200"/>
              <w:bottom w:type="dxa" w:w="200"/>
              <w:right w:type="dxa" w:w="200"/>
            </w:tcMar>
          </w:tcPr>
          <w:p>
            <w:pPr>
              <w:spacing w:after="100"/>
            </w:pPr>
            <w:r>
              <w:rPr>
                <w:rFonts w:ascii="Georgia" w:cs="Georgia" w:eastAsia="Georgia" w:hAnsi="Georgia"/>
                <w:b/>
                <w:bCs/>
                <w:color w:val="5F5E5A"/>
                <w:sz w:val="22"/>
                <w:szCs w:val="22"/>
              </w:rPr>
              <w:t xml:space="preserve">Traditional strategy consulting</w:t>
            </w:r>
          </w:p>
          <w:p>
            <w:pPr>
              <w:pStyle w:val="ListParagraph"/>
              <w:numPr>
                <w:ilvl w:val="0"/>
                <w:numId w:val="2"/>
              </w:numPr>
              <w:spacing w:after="80"/>
            </w:pPr>
            <w:r>
              <w:rPr>
                <w:rFonts w:ascii="Calibri" w:cs="Calibri" w:eastAsia="Calibri" w:hAnsi="Calibri"/>
                <w:color w:val="5F5E5A"/>
                <w:sz w:val="20"/>
                <w:szCs w:val="20"/>
              </w:rPr>
              <w:t xml:space="preserve">Produces a plan</w:t>
            </w:r>
          </w:p>
          <w:p>
            <w:pPr>
              <w:pStyle w:val="ListParagraph"/>
              <w:numPr>
                <w:ilvl w:val="0"/>
                <w:numId w:val="2"/>
              </w:numPr>
              <w:spacing w:after="80"/>
            </w:pPr>
            <w:r>
              <w:rPr>
                <w:rFonts w:ascii="Calibri" w:cs="Calibri" w:eastAsia="Calibri" w:hAnsi="Calibri"/>
                <w:color w:val="5F5E5A"/>
                <w:sz w:val="20"/>
                <w:szCs w:val="20"/>
              </w:rPr>
              <w:t xml:space="preserve">Framework is proprietary to the consultant</w:t>
            </w:r>
          </w:p>
          <w:p>
            <w:pPr>
              <w:pStyle w:val="ListParagraph"/>
              <w:numPr>
                <w:ilvl w:val="0"/>
                <w:numId w:val="2"/>
              </w:numPr>
              <w:spacing w:after="80"/>
            </w:pPr>
            <w:r>
              <w:rPr>
                <w:rFonts w:ascii="Calibri" w:cs="Calibri" w:eastAsia="Calibri" w:hAnsi="Calibri"/>
                <w:color w:val="5F5E5A"/>
                <w:sz w:val="20"/>
                <w:szCs w:val="20"/>
              </w:rPr>
              <w:t xml:space="preserve">Engagement ends at delivery</w:t>
            </w:r>
          </w:p>
          <w:p>
            <w:pPr>
              <w:pStyle w:val="ListParagraph"/>
              <w:numPr>
                <w:ilvl w:val="0"/>
                <w:numId w:val="2"/>
              </w:numPr>
              <w:spacing w:after="80"/>
            </w:pPr>
            <w:r>
              <w:rPr>
                <w:rFonts w:ascii="Calibri" w:cs="Calibri" w:eastAsia="Calibri" w:hAnsi="Calibri"/>
                <w:color w:val="5F5E5A"/>
                <w:sz w:val="20"/>
                <w:szCs w:val="20"/>
              </w:rPr>
              <w:t xml:space="preserve">Juniors do the work</w:t>
            </w:r>
          </w:p>
          <w:p>
            <w:pPr>
              <w:pStyle w:val="ListParagraph"/>
              <w:numPr>
                <w:ilvl w:val="0"/>
                <w:numId w:val="2"/>
              </w:numPr>
              <w:spacing w:after="80"/>
            </w:pPr>
            <w:r>
              <w:rPr>
                <w:rFonts w:ascii="Calibri" w:cs="Calibri" w:eastAsia="Calibri" w:hAnsi="Calibri"/>
                <w:color w:val="5F5E5A"/>
                <w:sz w:val="20"/>
                <w:szCs w:val="20"/>
              </w:rPr>
              <w:t xml:space="preserve">Board sees polished outputs</w:t>
            </w:r>
          </w:p>
        </w:tc>
        <w:tc>
          <w:tcPr>
            <w:tcW w:type="dxa" w:w="4500"/>
            <w:tcBorders>
              <w:top w:val="none" w:color="FFFFFF" w:sz="0"/>
              <w:left w:val="none" w:color="FFFFFF" w:sz="0"/>
              <w:bottom w:val="none" w:color="FFFFFF" w:sz="0"/>
              <w:right w:val="none" w:color="FFFFFF" w:sz="0"/>
            </w:tcBorders>
            <w:shd w:fill="E1F5EE" w:val="clear"/>
            <w:tcMar>
              <w:top w:type="dxa" w:w="200"/>
              <w:left w:type="dxa" w:w="200"/>
              <w:bottom w:type="dxa" w:w="200"/>
              <w:right w:type="dxa" w:w="200"/>
            </w:tcMar>
          </w:tcPr>
          <w:p>
            <w:pPr>
              <w:spacing w:after="100"/>
            </w:pPr>
            <w:r>
              <w:rPr>
                <w:rFonts w:ascii="Georgia" w:cs="Georgia" w:eastAsia="Georgia" w:hAnsi="Georgia"/>
                <w:b/>
                <w:bCs/>
                <w:color w:val="085041"/>
                <w:sz w:val="22"/>
                <w:szCs w:val="22"/>
              </w:rPr>
              <w:t xml:space="preserve">Strategy in Action (SiA)</w:t>
            </w:r>
          </w:p>
          <w:p>
            <w:pPr>
              <w:pStyle w:val="ListParagraph"/>
              <w:numPr>
                <w:ilvl w:val="0"/>
                <w:numId w:val="2"/>
              </w:numPr>
              <w:spacing w:after="80"/>
            </w:pPr>
            <w:r>
              <w:rPr>
                <w:rFonts w:ascii="Calibri" w:cs="Calibri" w:eastAsia="Calibri" w:hAnsi="Calibri"/>
                <w:color w:val="444441"/>
                <w:sz w:val="20"/>
                <w:szCs w:val="20"/>
              </w:rPr>
              <w:t xml:space="preserve">Builds a living strategy system</w:t>
            </w:r>
          </w:p>
          <w:p>
            <w:pPr>
              <w:pStyle w:val="ListParagraph"/>
              <w:numPr>
                <w:ilvl w:val="0"/>
                <w:numId w:val="2"/>
              </w:numPr>
              <w:spacing w:after="80"/>
            </w:pPr>
            <w:r>
              <w:rPr>
                <w:rFonts w:ascii="Calibri" w:cs="Calibri" w:eastAsia="Calibri" w:hAnsi="Calibri"/>
                <w:color w:val="444441"/>
                <w:sz w:val="20"/>
                <w:szCs w:val="20"/>
              </w:rPr>
              <w:t xml:space="preserve">Framework is transferred to your people</w:t>
            </w:r>
          </w:p>
          <w:p>
            <w:pPr>
              <w:pStyle w:val="ListParagraph"/>
              <w:numPr>
                <w:ilvl w:val="0"/>
                <w:numId w:val="2"/>
              </w:numPr>
              <w:spacing w:after="80"/>
            </w:pPr>
            <w:r>
              <w:rPr>
                <w:rFonts w:ascii="Calibri" w:cs="Calibri" w:eastAsia="Calibri" w:hAnsi="Calibri"/>
                <w:color w:val="444441"/>
                <w:sz w:val="20"/>
                <w:szCs w:val="20"/>
              </w:rPr>
              <w:t xml:space="preserve">Engagement builds lasting internal capability</w:t>
            </w:r>
          </w:p>
          <w:p>
            <w:pPr>
              <w:pStyle w:val="ListParagraph"/>
              <w:numPr>
                <w:ilvl w:val="0"/>
                <w:numId w:val="2"/>
              </w:numPr>
              <w:spacing w:after="80"/>
            </w:pPr>
            <w:r>
              <w:rPr>
                <w:rFonts w:ascii="Calibri" w:cs="Calibri" w:eastAsia="Calibri" w:hAnsi="Calibri"/>
                <w:color w:val="444441"/>
                <w:sz w:val="20"/>
                <w:szCs w:val="20"/>
              </w:rPr>
              <w:t xml:space="preserve">Senior practitioners only — your investment trains your team, not ours</w:t>
            </w:r>
          </w:p>
          <w:p>
            <w:pPr>
              <w:pStyle w:val="ListParagraph"/>
              <w:numPr>
                <w:ilvl w:val="0"/>
                <w:numId w:val="2"/>
              </w:numPr>
              <w:spacing w:after="80"/>
            </w:pPr>
            <w:r>
              <w:rPr>
                <w:rFonts w:ascii="Calibri" w:cs="Calibri" w:eastAsia="Calibri" w:hAnsi="Calibri"/>
                <w:color w:val="444441"/>
                <w:sz w:val="20"/>
                <w:szCs w:val="20"/>
              </w:rPr>
              <w:t xml:space="preserve">Board engages directly with real strategic intelligence</w:t>
            </w:r>
          </w:p>
        </w:tc>
      </w:tr>
    </w:tbl>
    <w:p>
      <w:pPr>
        <w:spacing w:after="240"/>
      </w:pPr>
    </w:p>
    <w:p>
      <w:pPr>
        <w:pStyle w:val="Heading2"/>
        <w:spacing w:before="360" w:after="120"/>
      </w:pPr>
      <w:r>
        <w:rPr>
          <w:rFonts w:ascii="Georgia" w:cs="Georgia" w:eastAsia="Georgia" w:hAnsi="Georgia"/>
          <w:b/>
          <w:bCs/>
          <w:color w:val="085041"/>
          <w:sz w:val="32"/>
          <w:szCs w:val="32"/>
        </w:rPr>
        <w:t xml:space="preserve">How we get started</w:t>
      </w:r>
    </w:p>
    <w:p>
      <w:pPr>
        <w:spacing w:after="160" w:line="288"/>
      </w:pPr>
      <w:r>
        <w:rPr>
          <w:rFonts w:ascii="Calibri" w:cs="Calibri" w:eastAsia="Calibri" w:hAnsi="Calibri"/>
          <w:b w:val="false"/>
          <w:bCs w:val="false"/>
          <w:i w:val="false"/>
          <w:iCs w:val="false"/>
          <w:color w:val="444441"/>
          <w:sz w:val="22"/>
          <w:szCs w:val="22"/>
        </w:rPr>
        <w:t xml:space="preserve">Every engagement begins with a short Strategic Fitness conversation to understand your context and determine whether the timing and fit are right. From there, a pathway is co-designed — shaped by your organisation's specific challenges, priorities, and pace.</w:t>
      </w:r>
    </w:p>
    <w:p>
      <w:pPr>
        <w:spacing w:after="160" w:line="288"/>
      </w:pPr>
      <w:r>
        <w:rPr>
          <w:rFonts w:ascii="Calibri" w:cs="Calibri" w:eastAsia="Calibri" w:hAnsi="Calibri"/>
          <w:b w:val="false"/>
          <w:bCs w:val="false"/>
          <w:i w:val="false"/>
          <w:iCs w:val="false"/>
          <w:color w:val="444441"/>
          <w:sz w:val="22"/>
          <w:szCs w:val="22"/>
        </w:rPr>
        <w:t xml:space="preserve">Our typical starting points include the Strategic Fitness diagnostic workshop, a SiA Kick-Start session, or a full strategy facilitation engagement. All are designed as proof-of-value experiences that demonstrate how we work before any longer-term commitment is made. For organisations that wish to go deeper, the SiA Practice Community provides an online platform for ongoing learning and practice — but this is an option for those who want it, not a requirement of engagement.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Explore whether SiA is right for your organisation.</w:t>
            </w:r>
          </w:p>
          <w:p>
            <w:pPr>
              <w:spacing w:after="0"/>
            </w:pPr>
            <w:r>
              <w:rPr>
                <w:rFonts w:ascii="Calibri" w:cs="Calibri" w:eastAsia="Calibri" w:hAnsi="Calibri"/>
                <w:color w:val="5F5E5A"/>
                <w:sz w:val="22"/>
                <w:szCs w:val="22"/>
              </w:rPr>
              <w:t xml:space="preserve">Book a Strategic Fitness conversation — a short, no-obligation discussion that helps both of us determine whether there is a genuine fit. →  Book a conversation</w:t>
            </w:r>
          </w:p>
        </w:tc>
      </w:tr>
    </w:tbl>
    <w:p>
      <w:r>
        <w:br w:type="page"/>
      </w:r>
    </w:p>
    <w:p>
      <w:pPr>
        <w:spacing w:before="320" w:after="80"/>
      </w:pPr>
      <w:r>
        <w:rPr>
          <w:rFonts w:ascii="Calibri" w:cs="Calibri" w:eastAsia="Calibri" w:hAnsi="Calibri"/>
          <w:b/>
          <w:bCs/>
          <w:caps/>
          <w:color w:val="0F6E56"/>
          <w:sz w:val="18"/>
          <w:szCs w:val="18"/>
        </w:rPr>
        <w:t xml:space="preserve">PAGE 4 — OUR TEAM</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PAGE HEADLINE</w:t>
      </w:r>
    </w:p>
    <w:p>
      <w:pPr>
        <w:pStyle w:val="Heading1"/>
        <w:spacing w:before="480" w:after="160"/>
      </w:pPr>
      <w:r>
        <w:rPr>
          <w:rFonts w:ascii="Georgia" w:cs="Georgia" w:eastAsia="Georgia" w:hAnsi="Georgia"/>
          <w:b/>
          <w:bCs/>
          <w:color w:val="1A1A2E"/>
          <w:sz w:val="44"/>
          <w:szCs w:val="44"/>
        </w:rPr>
        <w:t xml:space="preserve">The people behind the work.</w:t>
      </w:r>
    </w:p>
    <w:p>
      <w:pPr>
        <w:spacing w:after="80"/>
      </w:pPr>
    </w:p>
    <w:p>
      <w:pPr>
        <w:spacing w:after="200" w:line="300"/>
      </w:pPr>
      <w:r>
        <w:rPr>
          <w:rFonts w:ascii="Georgia" w:cs="Georgia" w:eastAsia="Georgia" w:hAnsi="Georgia"/>
          <w:i/>
          <w:iCs/>
          <w:color w:val="1A1A2E"/>
          <w:sz w:val="26"/>
          <w:szCs w:val="26"/>
        </w:rPr>
        <w:t xml:space="preserve">Resilient Futures is a small, senior team of seasoned strategic change and transformation practitioners. When you engage us, you work directly with the people who bring the depth — not with the juniors learning on your investment.</w:t>
      </w:r>
    </w:p>
    <w:p>
      <w:pPr>
        <w:spacing w:after="160"/>
      </w:pPr>
    </w:p>
    <w:p>
      <w:pPr>
        <w:pStyle w:val="Heading2"/>
        <w:spacing w:before="360" w:after="120"/>
      </w:pPr>
      <w:r>
        <w:rPr>
          <w:rFonts w:ascii="Georgia" w:cs="Georgia" w:eastAsia="Georgia" w:hAnsi="Georgia"/>
          <w:b/>
          <w:bCs/>
          <w:color w:val="085041"/>
          <w:sz w:val="32"/>
          <w:szCs w:val="32"/>
        </w:rPr>
        <w:t xml:space="preserve">Larry Quick — Co-founder &amp; Lead Practitioner</w:t>
      </w:r>
    </w:p>
    <w:p>
      <w:pPr>
        <w:spacing w:after="160" w:line="288"/>
      </w:pPr>
      <w:r>
        <w:rPr>
          <w:rFonts w:ascii="Calibri" w:cs="Calibri" w:eastAsia="Calibri" w:hAnsi="Calibri"/>
          <w:b w:val="false"/>
          <w:bCs w:val="false"/>
          <w:i w:val="false"/>
          <w:iCs w:val="false"/>
          <w:color w:val="444441"/>
          <w:sz w:val="22"/>
          <w:szCs w:val="22"/>
        </w:rPr>
        <w:t xml:space="preserve">Larry Quick has spent over 25 years working at the intersection of strategy, complex systems, and organisational transformation. His work has taken him across Australia, the United States, and internationally — engaging with government, industry, health, education, and professional association sectors at the highest levels.</w:t>
      </w:r>
    </w:p>
    <w:p>
      <w:pPr>
        <w:spacing w:after="160" w:line="288"/>
      </w:pPr>
      <w:r>
        <w:rPr>
          <w:rFonts w:ascii="Calibri" w:cs="Calibri" w:eastAsia="Calibri" w:hAnsi="Calibri"/>
          <w:b w:val="false"/>
          <w:bCs w:val="false"/>
          <w:i w:val="false"/>
          <w:iCs w:val="false"/>
          <w:color w:val="444441"/>
          <w:sz w:val="22"/>
          <w:szCs w:val="22"/>
        </w:rPr>
        <w:t xml:space="preserve">Larry's thinking on strategy for disruptive change is grounded in complex adaptive systems theory and resilience science — disciplines that informed the development of Strategy in Action long before 'disruption' became a consulting industry buzzword. He co-authored Disrupted: Strategy for Exponential Change (2015), widely regarded as ahead of its time in its analysis of converging change forces and their strategic implications.</w:t>
      </w:r>
    </w:p>
    <w:p>
      <w:pPr>
        <w:spacing w:after="160" w:line="288"/>
      </w:pPr>
      <w:r>
        <w:rPr>
          <w:rFonts w:ascii="Calibri" w:cs="Calibri" w:eastAsia="Calibri" w:hAnsi="Calibri"/>
          <w:b w:val="false"/>
          <w:bCs w:val="false"/>
          <w:i w:val="false"/>
          <w:iCs w:val="false"/>
          <w:color w:val="444441"/>
          <w:sz w:val="22"/>
          <w:szCs w:val="22"/>
        </w:rPr>
        <w:t xml:space="preserve">His direct experience spans economic development strategy for the State of Rhode Island, community resilience programs across the United States, peak body and professional association strategy in Australia, corporate transformation in manufacturing and higher education, and Board-level advisory work with health networks and government agencies.</w:t>
      </w:r>
    </w:p>
    <w:p>
      <w:pPr>
        <w:spacing w:after="160" w:line="288"/>
      </w:pPr>
      <w:r>
        <w:rPr>
          <w:rFonts w:ascii="Calibri" w:cs="Calibri" w:eastAsia="Calibri" w:hAnsi="Calibri"/>
          <w:b w:val="false"/>
          <w:bCs w:val="false"/>
          <w:i w:val="false"/>
          <w:iCs w:val="false"/>
          <w:color w:val="444441"/>
          <w:sz w:val="22"/>
          <w:szCs w:val="22"/>
        </w:rPr>
        <w:t xml:space="preserve">Larry brings the rare combination of intellectual rigour, practitioner credibility, and the capacity to ask the questions that most advisors are not willing to ask.</w:t>
      </w:r>
    </w:p>
    <w:p>
      <w:pPr>
        <w:spacing w:after="120"/>
      </w:pPr>
    </w:p>
    <w:p>
      <w:pPr>
        <w:pStyle w:val="Heading2"/>
        <w:spacing w:before="360" w:after="120"/>
      </w:pPr>
      <w:r>
        <w:rPr>
          <w:rFonts w:ascii="Georgia" w:cs="Georgia" w:eastAsia="Georgia" w:hAnsi="Georgia"/>
          <w:b/>
          <w:bCs/>
          <w:color w:val="085041"/>
          <w:sz w:val="32"/>
          <w:szCs w:val="32"/>
        </w:rPr>
        <w:t xml:space="preserve">David Platt — Co-founder &amp; Lead Practitioner</w:t>
      </w:r>
    </w:p>
    <w:p>
      <w:pPr>
        <w:spacing w:after="160" w:line="288"/>
      </w:pPr>
      <w:r>
        <w:rPr>
          <w:rFonts w:ascii="Calibri" w:cs="Calibri" w:eastAsia="Calibri" w:hAnsi="Calibri"/>
          <w:b w:val="false"/>
          <w:bCs w:val="false"/>
          <w:i w:val="false"/>
          <w:iCs w:val="false"/>
          <w:color w:val="444441"/>
          <w:sz w:val="22"/>
          <w:szCs w:val="22"/>
        </w:rPr>
        <w:t xml:space="preserve">David Platt brings deep expertise in organisational transformation, capability development, and the human dimensions of strategic change. With a career spanning complex change programs in manufacturing, professional associations, health services, and multi-stakeholder environments, David brings both the strategic and the practical to every engagement.</w:t>
      </w:r>
    </w:p>
    <w:p>
      <w:pPr>
        <w:spacing w:after="160" w:line="288"/>
      </w:pPr>
      <w:r>
        <w:rPr>
          <w:rFonts w:ascii="Calibri" w:cs="Calibri" w:eastAsia="Calibri" w:hAnsi="Calibri"/>
          <w:b w:val="false"/>
          <w:bCs w:val="false"/>
          <w:i w:val="false"/>
          <w:iCs w:val="false"/>
          <w:color w:val="444441"/>
          <w:sz w:val="22"/>
          <w:szCs w:val="22"/>
        </w:rPr>
        <w:t xml:space="preserve">He co-authored Disrupted: Strategy for Exponential Change alongside Larry Quick, and has spent over two decades developing and refining the facilitation approaches, learning systems, and capability transfer methodologies that make Strategy in Action practical and enduring for client organisations.</w:t>
      </w:r>
    </w:p>
    <w:p>
      <w:pPr>
        <w:spacing w:after="160" w:line="288"/>
      </w:pPr>
      <w:r>
        <w:rPr>
          <w:rFonts w:ascii="Calibri" w:cs="Calibri" w:eastAsia="Calibri" w:hAnsi="Calibri"/>
          <w:b w:val="false"/>
          <w:bCs w:val="false"/>
          <w:i w:val="false"/>
          <w:iCs w:val="false"/>
          <w:color w:val="444441"/>
          <w:sz w:val="22"/>
          <w:szCs w:val="22"/>
        </w:rPr>
        <w:t xml:space="preserve">David's particular focus is on what it takes for leadership teams to genuinely think and act differently — not just to understand a new framework, but to build the mindset, behaviours, and habits that make adaptive strategy a natural part of how an organisation operates.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240"/>
              <w:left w:type="dxa" w:w="360"/>
              <w:bottom w:type="dxa" w:w="240"/>
              <w:right w:type="dxa" w:w="360"/>
            </w:tcMar>
          </w:tcPr>
          <w:p>
            <w:pPr>
              <w:spacing w:after="120" w:line="288"/>
            </w:pPr>
            <w:r>
              <w:rPr>
                <w:rFonts w:ascii="Georgia" w:cs="Georgia" w:eastAsia="Georgia" w:hAnsi="Georgia"/>
                <w:b w:val="false"/>
                <w:bCs w:val="false"/>
                <w:i/>
                <w:iCs/>
                <w:color w:val="FFFFFF"/>
                <w:sz w:val="22"/>
                <w:szCs w:val="22"/>
              </w:rPr>
              <w:t xml:space="preserve">We're not a traditional consultancy. Our role is to work alongside your leadership team — bringing the thinking, challenging the assumptions, and transferring the tools — so that your organisation builds real strategic capability over time. Not dependency.</w:t>
            </w:r>
          </w:p>
        </w:tc>
      </w:tr>
    </w:tbl>
    <w:p>
      <w:pPr>
        <w:spacing w:after="200"/>
      </w:pPr>
    </w:p>
    <w:p>
      <w:pPr>
        <w:pStyle w:val="Heading2"/>
        <w:spacing w:before="360" w:after="120"/>
      </w:pPr>
      <w:r>
        <w:rPr>
          <w:rFonts w:ascii="Georgia" w:cs="Georgia" w:eastAsia="Georgia" w:hAnsi="Georgia"/>
          <w:b/>
          <w:bCs/>
          <w:color w:val="085041"/>
          <w:sz w:val="32"/>
          <w:szCs w:val="32"/>
        </w:rPr>
        <w:t xml:space="preserve">How we work</w:t>
      </w:r>
    </w:p>
    <w:p>
      <w:pPr>
        <w:spacing w:after="160" w:line="288"/>
      </w:pPr>
      <w:r>
        <w:rPr>
          <w:rFonts w:ascii="Calibri" w:cs="Calibri" w:eastAsia="Calibri" w:hAnsi="Calibri"/>
          <w:b w:val="false"/>
          <w:bCs w:val="false"/>
          <w:i w:val="false"/>
          <w:iCs w:val="false"/>
          <w:color w:val="444441"/>
          <w:sz w:val="22"/>
          <w:szCs w:val="22"/>
        </w:rPr>
        <w:t xml:space="preserve">Resilient Futures operates as a fully distributed, hybrid practice. We deliver engagements in person and online, synchronously and asynchronously — through what we call RF3D Collaboration: Dynamic Dialogue and Documentation.</w:t>
      </w:r>
    </w:p>
    <w:p>
      <w:pPr>
        <w:spacing w:after="160" w:line="288"/>
      </w:pPr>
      <w:r>
        <w:rPr>
          <w:rFonts w:ascii="Calibri" w:cs="Calibri" w:eastAsia="Calibri" w:hAnsi="Calibri"/>
          <w:b w:val="false"/>
          <w:bCs w:val="false"/>
          <w:i w:val="false"/>
          <w:iCs w:val="false"/>
          <w:color w:val="444441"/>
          <w:sz w:val="22"/>
          <w:szCs w:val="22"/>
        </w:rPr>
        <w:t xml:space="preserve">This approach reflects both a principled commitment to minimising unnecessary travel and a genuine capability advantage: our cloud-based virtual project environment means that analysis, synthesis, and strategic dialogue are available continuously to all participants — not just during workshop days.</w:t>
      </w:r>
    </w:p>
    <w:p>
      <w:pPr>
        <w:spacing w:after="160" w:line="288"/>
      </w:pPr>
      <w:r>
        <w:rPr>
          <w:rFonts w:ascii="Calibri" w:cs="Calibri" w:eastAsia="Calibri" w:hAnsi="Calibri"/>
          <w:b w:val="false"/>
          <w:bCs w:val="false"/>
          <w:i w:val="false"/>
          <w:iCs w:val="false"/>
          <w:color w:val="444441"/>
          <w:sz w:val="22"/>
          <w:szCs w:val="22"/>
        </w:rPr>
        <w:t xml:space="preserve">It also means that participants who cannot attend scheduled sessions do not fall behind. They can engage asynchronously, at their own pace, and re-enter the program flow without disruption.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Want to understand how we work before committing?</w:t>
            </w:r>
          </w:p>
          <w:p>
            <w:pPr>
              <w:spacing w:after="0"/>
            </w:pPr>
            <w:r>
              <w:rPr>
                <w:rFonts w:ascii="Calibri" w:cs="Calibri" w:eastAsia="Calibri" w:hAnsi="Calibri"/>
                <w:color w:val="5F5E5A"/>
                <w:sz w:val="22"/>
                <w:szCs w:val="22"/>
              </w:rPr>
              <w:t xml:space="preserve">A short Strategic Fitness conversation is the best place to start. You'll get a clear sense of who we are, how we think, and whether the fit is right. →  Book a conversation with the team</w:t>
            </w:r>
          </w:p>
        </w:tc>
      </w:tr>
    </w:tbl>
    <w:p>
      <w:r>
        <w:br w:type="page"/>
      </w:r>
    </w:p>
    <w:p>
      <w:pPr>
        <w:spacing w:before="320" w:after="80"/>
      </w:pPr>
      <w:r>
        <w:rPr>
          <w:rFonts w:ascii="Calibri" w:cs="Calibri" w:eastAsia="Calibri" w:hAnsi="Calibri"/>
          <w:b/>
          <w:bCs/>
          <w:caps/>
          <w:color w:val="0F6E56"/>
          <w:sz w:val="18"/>
          <w:szCs w:val="18"/>
        </w:rPr>
        <w:t xml:space="preserve">PAGE 5 — WHO WE WORK WITH</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PAGE HEADLINE</w:t>
      </w:r>
    </w:p>
    <w:p>
      <w:pPr>
        <w:pStyle w:val="Heading1"/>
        <w:spacing w:before="480" w:after="160"/>
      </w:pPr>
      <w:r>
        <w:rPr>
          <w:rFonts w:ascii="Georgia" w:cs="Georgia" w:eastAsia="Georgia" w:hAnsi="Georgia"/>
          <w:b/>
          <w:bCs/>
          <w:color w:val="1A1A2E"/>
          <w:sz w:val="44"/>
          <w:szCs w:val="44"/>
        </w:rPr>
        <w:t xml:space="preserve">We work with leaders of organisations where relevance, legitimacy, and impact are non-negotiable.</w:t>
      </w:r>
    </w:p>
    <w:p>
      <w:pPr>
        <w:spacing w:after="80"/>
      </w:pPr>
    </w:p>
    <w:p>
      <w:pPr>
        <w:spacing w:after="200" w:line="300"/>
      </w:pPr>
      <w:r>
        <w:rPr>
          <w:rFonts w:ascii="Georgia" w:cs="Georgia" w:eastAsia="Georgia" w:hAnsi="Georgia"/>
          <w:i/>
          <w:iCs/>
          <w:color w:val="1A1A2E"/>
          <w:sz w:val="26"/>
          <w:szCs w:val="26"/>
        </w:rPr>
        <w:t xml:space="preserve">Not every organisation needs what Resilient Futures offers. The conditions we work best in are specific: complex operating environments, multiple stakeholder groups, high accountability, and a genuine need to see change clearly and act before the window closes.</w:t>
      </w:r>
    </w:p>
    <w:p>
      <w:pPr>
        <w:spacing w:after="160"/>
      </w:pPr>
    </w:p>
    <w:p>
      <w:pPr>
        <w:pStyle w:val="Heading2"/>
        <w:spacing w:before="360" w:after="120"/>
      </w:pPr>
      <w:r>
        <w:rPr>
          <w:rFonts w:ascii="Georgia" w:cs="Georgia" w:eastAsia="Georgia" w:hAnsi="Georgia"/>
          <w:b/>
          <w:bCs/>
          <w:color w:val="085041"/>
          <w:sz w:val="32"/>
          <w:szCs w:val="32"/>
        </w:rPr>
        <w:t xml:space="preserve">The organisations we serve</w:t>
      </w:r>
    </w:p>
    <w:p>
      <w:pPr>
        <w:spacing w:after="160" w:line="288"/>
      </w:pPr>
      <w:r>
        <w:rPr>
          <w:rFonts w:ascii="Calibri" w:cs="Calibri" w:eastAsia="Calibri" w:hAnsi="Calibri"/>
          <w:b w:val="false"/>
          <w:bCs w:val="false"/>
          <w:i w:val="false"/>
          <w:iCs w:val="false"/>
          <w:color w:val="444441"/>
          <w:sz w:val="22"/>
          <w:szCs w:val="22"/>
        </w:rPr>
        <w:t xml:space="preserve">Resilient Futures works primarily with organisations operating in complex, member-based and multi-stakeholder environments — where the ability to demonstrate sustained value to a diverse range of stakeholders is central to organisational legitimacy.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3080"/>
        <w:gridCol w:w="3080"/>
        <w:gridCol w:w="3080"/>
      </w:tblGrid>
      <w:tr>
        <w:tc>
          <w:tcPr>
            <w:tcW w:type="dxa" w:w="3080"/>
            <w:tcBorders>
              <w:top w:val="none" w:color="FFFFFF" w:sz="0"/>
              <w:left w:val="none" w:color="FFFFFF" w:sz="0"/>
              <w:bottom w:val="none" w:color="FFFFFF" w:sz="0"/>
              <w:right w:val="none" w:color="FFFFFF" w:sz="0"/>
            </w:tcBorders>
            <w:shd w:fill="E1F5EE" w:val="clear"/>
            <w:tcMar>
              <w:top w:type="dxa" w:w="240"/>
              <w:left w:type="dxa" w:w="200"/>
              <w:bottom w:type="dxa" w:w="240"/>
              <w:right w:type="dxa" w:w="200"/>
            </w:tcMar>
          </w:tcPr>
          <w:p>
            <w:pPr>
              <w:spacing w:after="100"/>
            </w:pPr>
            <w:r>
              <w:rPr>
                <w:rFonts w:ascii="Georgia" w:cs="Georgia" w:eastAsia="Georgia" w:hAnsi="Georgia"/>
                <w:b/>
                <w:bCs/>
                <w:color w:val="085041"/>
                <w:sz w:val="22"/>
                <w:szCs w:val="22"/>
              </w:rPr>
              <w:t xml:space="preserve">Professional Associations &amp; Peak Bodies</w:t>
            </w:r>
          </w:p>
          <w:p>
            <w:pPr>
              <w:spacing w:after="0"/>
            </w:pPr>
            <w:r>
              <w:rPr>
                <w:rFonts w:ascii="Calibri" w:cs="Calibri" w:eastAsia="Calibri" w:hAnsi="Calibri"/>
                <w:color w:val="444441"/>
                <w:sz w:val="20"/>
                <w:szCs w:val="20"/>
              </w:rPr>
              <w:t xml:space="preserve">National and state-level associations whose relevance to members is under pressure from rapidly shifting professional landscapes, changing expectations, and new models of engagement.</w:t>
            </w:r>
          </w:p>
        </w:tc>
        <w:tc>
          <w:tcPr>
            <w:tcW w:type="dxa" w:w="3080"/>
            <w:tcBorders>
              <w:top w:val="none" w:color="FFFFFF" w:sz="0"/>
              <w:left w:val="none" w:color="FFFFFF" w:sz="0"/>
              <w:bottom w:val="none" w:color="FFFFFF" w:sz="0"/>
              <w:right w:val="none" w:color="FFFFFF" w:sz="0"/>
            </w:tcBorders>
            <w:shd w:fill="F5F5F5" w:val="clear"/>
            <w:tcMar>
              <w:top w:type="dxa" w:w="240"/>
              <w:left w:type="dxa" w:w="200"/>
              <w:bottom w:type="dxa" w:w="240"/>
              <w:right w:type="dxa" w:w="200"/>
            </w:tcMar>
          </w:tcPr>
          <w:p>
            <w:pPr>
              <w:spacing w:after="100"/>
            </w:pPr>
            <w:r>
              <w:rPr>
                <w:rFonts w:ascii="Georgia" w:cs="Georgia" w:eastAsia="Georgia" w:hAnsi="Georgia"/>
                <w:b/>
                <w:bCs/>
                <w:color w:val="1A1A2E"/>
                <w:sz w:val="22"/>
                <w:szCs w:val="22"/>
              </w:rPr>
              <w:t xml:space="preserve">Health &amp; Human Services</w:t>
            </w:r>
          </w:p>
          <w:p>
            <w:pPr>
              <w:spacing w:after="0"/>
            </w:pPr>
            <w:r>
              <w:rPr>
                <w:rFonts w:ascii="Calibri" w:cs="Calibri" w:eastAsia="Calibri" w:hAnsi="Calibri"/>
                <w:color w:val="444441"/>
                <w:sz w:val="20"/>
                <w:szCs w:val="20"/>
              </w:rPr>
              <w:t xml:space="preserve">Health networks, primary health networks, and human services organisations navigating system transformation, funding reform, and community need that is growing faster than delivery models can adapt.</w:t>
            </w:r>
          </w:p>
        </w:tc>
        <w:tc>
          <w:tcPr>
            <w:tcW w:type="dxa" w:w="3080"/>
            <w:tcBorders>
              <w:top w:val="none" w:color="FFFFFF" w:sz="0"/>
              <w:left w:val="none" w:color="FFFFFF" w:sz="0"/>
              <w:bottom w:val="none" w:color="FFFFFF" w:sz="0"/>
              <w:right w:val="none" w:color="FFFFFF" w:sz="0"/>
            </w:tcBorders>
            <w:shd w:fill="E1F5EE" w:val="clear"/>
            <w:tcMar>
              <w:top w:type="dxa" w:w="240"/>
              <w:left w:type="dxa" w:w="200"/>
              <w:bottom w:type="dxa" w:w="240"/>
              <w:right w:type="dxa" w:w="200"/>
            </w:tcMar>
          </w:tcPr>
          <w:p>
            <w:pPr>
              <w:spacing w:after="100"/>
            </w:pPr>
            <w:r>
              <w:rPr>
                <w:rFonts w:ascii="Georgia" w:cs="Georgia" w:eastAsia="Georgia" w:hAnsi="Georgia"/>
                <w:b/>
                <w:bCs/>
                <w:color w:val="085041"/>
                <w:sz w:val="22"/>
                <w:szCs w:val="22"/>
              </w:rPr>
              <w:t xml:space="preserve">Education &amp; Research</w:t>
            </w:r>
          </w:p>
          <w:p>
            <w:pPr>
              <w:spacing w:after="0"/>
            </w:pPr>
            <w:r>
              <w:rPr>
                <w:rFonts w:ascii="Calibri" w:cs="Calibri" w:eastAsia="Calibri" w:hAnsi="Calibri"/>
                <w:color w:val="444441"/>
                <w:sz w:val="20"/>
                <w:szCs w:val="20"/>
              </w:rPr>
              <w:t xml:space="preserve">Universities, TAFEs, and research bodies contending with competitive disruption, shifting funding models, changing student expectations, and the challenge of remaining a valued anchor institution in their communities.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080"/>
        <w:gridCol w:w="3080"/>
        <w:gridCol w:w="3080"/>
      </w:tblGrid>
      <w:tr>
        <w:tc>
          <w:tcPr>
            <w:tcW w:type="dxa" w:w="3080"/>
            <w:tcBorders>
              <w:top w:val="none" w:color="FFFFFF" w:sz="0"/>
              <w:left w:val="none" w:color="FFFFFF" w:sz="0"/>
              <w:bottom w:val="none" w:color="FFFFFF" w:sz="0"/>
              <w:right w:val="none" w:color="FFFFFF" w:sz="0"/>
            </w:tcBorders>
            <w:shd w:fill="F5F5F5" w:val="clear"/>
            <w:tcMar>
              <w:top w:type="dxa" w:w="240"/>
              <w:left w:type="dxa" w:w="200"/>
              <w:bottom w:type="dxa" w:w="240"/>
              <w:right w:type="dxa" w:w="200"/>
            </w:tcMar>
          </w:tcPr>
          <w:p>
            <w:pPr>
              <w:spacing w:after="100"/>
            </w:pPr>
            <w:r>
              <w:rPr>
                <w:rFonts w:ascii="Georgia" w:cs="Georgia" w:eastAsia="Georgia" w:hAnsi="Georgia"/>
                <w:b/>
                <w:bCs/>
                <w:color w:val="1A1A2E"/>
                <w:sz w:val="22"/>
                <w:szCs w:val="22"/>
              </w:rPr>
              <w:t xml:space="preserve">Government &amp; Public Sector</w:t>
            </w:r>
          </w:p>
          <w:p>
            <w:pPr>
              <w:spacing w:after="0"/>
            </w:pPr>
            <w:r>
              <w:rPr>
                <w:rFonts w:ascii="Calibri" w:cs="Calibri" w:eastAsia="Calibri" w:hAnsi="Calibri"/>
                <w:color w:val="444441"/>
                <w:sz w:val="20"/>
                <w:szCs w:val="20"/>
              </w:rPr>
              <w:t xml:space="preserve">Government agencies and public sector bodies managing the intersection of policy obligation, community expectation, resource constraint, and the need to demonstrate meaningful impact in rapidly changing conditions.</w:t>
            </w:r>
          </w:p>
        </w:tc>
        <w:tc>
          <w:tcPr>
            <w:tcW w:type="dxa" w:w="3080"/>
            <w:tcBorders>
              <w:top w:val="none" w:color="FFFFFF" w:sz="0"/>
              <w:left w:val="none" w:color="FFFFFF" w:sz="0"/>
              <w:bottom w:val="none" w:color="FFFFFF" w:sz="0"/>
              <w:right w:val="none" w:color="FFFFFF" w:sz="0"/>
            </w:tcBorders>
            <w:shd w:fill="E1F5EE" w:val="clear"/>
            <w:tcMar>
              <w:top w:type="dxa" w:w="240"/>
              <w:left w:type="dxa" w:w="200"/>
              <w:bottom w:type="dxa" w:w="240"/>
              <w:right w:type="dxa" w:w="200"/>
            </w:tcMar>
          </w:tcPr>
          <w:p>
            <w:pPr>
              <w:spacing w:after="100"/>
            </w:pPr>
            <w:r>
              <w:rPr>
                <w:rFonts w:ascii="Georgia" w:cs="Georgia" w:eastAsia="Georgia" w:hAnsi="Georgia"/>
                <w:b/>
                <w:bCs/>
                <w:color w:val="085041"/>
                <w:sz w:val="22"/>
                <w:szCs w:val="22"/>
              </w:rPr>
              <w:t xml:space="preserve">Industry &amp; Not-for-Profit</w:t>
            </w:r>
          </w:p>
          <w:p>
            <w:pPr>
              <w:spacing w:after="0"/>
            </w:pPr>
            <w:r>
              <w:rPr>
                <w:rFonts w:ascii="Calibri" w:cs="Calibri" w:eastAsia="Calibri" w:hAnsi="Calibri"/>
                <w:color w:val="444441"/>
                <w:sz w:val="20"/>
                <w:szCs w:val="20"/>
              </w:rPr>
              <w:t xml:space="preserve">Industry bodies, advocacy organisations, and purpose-driven not-for-profits whose mission depends on maintaining strategic clarity and stakeholder trust in volatile conditions.</w:t>
            </w:r>
          </w:p>
        </w:tc>
        <w:tc>
          <w:tcPr>
            <w:tcW w:type="dxa" w:w="3080"/>
            <w:tcBorders>
              <w:top w:val="none" w:color="FFFFFF" w:sz="0"/>
              <w:left w:val="none" w:color="FFFFFF" w:sz="0"/>
              <w:bottom w:val="none" w:color="FFFFFF" w:sz="0"/>
              <w:right w:val="none" w:color="FFFFFF" w:sz="0"/>
            </w:tcBorders>
            <w:shd w:fill="F5F5F5" w:val="clear"/>
            <w:tcMar>
              <w:top w:type="dxa" w:w="240"/>
              <w:left w:type="dxa" w:w="200"/>
              <w:bottom w:type="dxa" w:w="240"/>
              <w:right w:type="dxa" w:w="200"/>
            </w:tcMar>
          </w:tcPr>
          <w:p>
            <w:pPr>
              <w:spacing w:after="100"/>
            </w:pPr>
            <w:r>
              <w:rPr>
                <w:rFonts w:ascii="Georgia" w:cs="Georgia" w:eastAsia="Georgia" w:hAnsi="Georgia"/>
                <w:b/>
                <w:bCs/>
                <w:color w:val="1A1A2E"/>
                <w:sz w:val="22"/>
                <w:szCs w:val="22"/>
              </w:rPr>
              <w:t xml:space="preserve">Corporate &amp; Private Sector</w:t>
            </w:r>
          </w:p>
          <w:p>
            <w:pPr>
              <w:spacing w:after="0"/>
            </w:pPr>
            <w:r>
              <w:rPr>
                <w:rFonts w:ascii="Calibri" w:cs="Calibri" w:eastAsia="Calibri" w:hAnsi="Calibri"/>
                <w:color w:val="444441"/>
                <w:sz w:val="20"/>
                <w:szCs w:val="20"/>
              </w:rPr>
              <w:t xml:space="preserve">Organisations in sectors experiencing structural disruption — from manufacturing and chemicals to energy and technology — where leadership teams need both the strategic framing and the internal capability to navigate transformation.</w:t>
            </w:r>
          </w:p>
        </w:tc>
      </w:tr>
    </w:tbl>
    <w:p>
      <w:pPr>
        <w:spacing w:after="200"/>
      </w:pPr>
    </w:p>
    <w:p>
      <w:pPr>
        <w:pStyle w:val="Heading2"/>
        <w:spacing w:before="360" w:after="120"/>
      </w:pPr>
      <w:r>
        <w:rPr>
          <w:rFonts w:ascii="Georgia" w:cs="Georgia" w:eastAsia="Georgia" w:hAnsi="Georgia"/>
          <w:b/>
          <w:bCs/>
          <w:color w:val="085041"/>
          <w:sz w:val="32"/>
          <w:szCs w:val="32"/>
        </w:rPr>
        <w:t xml:space="preserve">The leaders we work with</w:t>
      </w:r>
    </w:p>
    <w:p>
      <w:pPr>
        <w:spacing w:after="160" w:line="288"/>
      </w:pPr>
      <w:r>
        <w:rPr>
          <w:rFonts w:ascii="Calibri" w:cs="Calibri" w:eastAsia="Calibri" w:hAnsi="Calibri"/>
          <w:b w:val="false"/>
          <w:bCs w:val="false"/>
          <w:i w:val="false"/>
          <w:iCs w:val="false"/>
          <w:color w:val="444441"/>
          <w:sz w:val="22"/>
          <w:szCs w:val="22"/>
        </w:rPr>
        <w:t xml:space="preserve">Within these organisations, we engage directly with the people responsible for strategic direction and organisational leadership: Boards and Board Directors who need real strategic intelligence to govern effectively; CEOs and Managing Directors leading through periods of significant change; Executive and Senior Leadership Teams who need a shared strategic context for decision-making; Strategy, Risk, and Innovation leaders building the internal capability to navigate complexity.</w:t>
      </w:r>
    </w:p>
    <w:p>
      <w:pPr>
        <w:spacing w:after="120"/>
      </w:pPr>
    </w:p>
    <w:p>
      <w:pPr>
        <w:pStyle w:val="Heading2"/>
        <w:spacing w:before="360" w:after="120"/>
      </w:pPr>
      <w:r>
        <w:rPr>
          <w:rFonts w:ascii="Georgia" w:cs="Georgia" w:eastAsia="Georgia" w:hAnsi="Georgia"/>
          <w:b/>
          <w:bCs/>
          <w:color w:val="085041"/>
          <w:sz w:val="32"/>
          <w:szCs w:val="32"/>
        </w:rPr>
        <w:t xml:space="preserve">Is there a fit?</w:t>
      </w:r>
    </w:p>
    <w:p>
      <w:pPr>
        <w:spacing w:after="160" w:line="288"/>
      </w:pPr>
      <w:r>
        <w:rPr>
          <w:rFonts w:ascii="Calibri" w:cs="Calibri" w:eastAsia="Calibri" w:hAnsi="Calibri"/>
          <w:b w:val="false"/>
          <w:bCs w:val="false"/>
          <w:i w:val="false"/>
          <w:iCs w:val="false"/>
          <w:color w:val="444441"/>
          <w:sz w:val="22"/>
          <w:szCs w:val="22"/>
        </w:rPr>
        <w:t xml:space="preserve">The organisations that gain the most from working with Resilient Futures typically share several characteristics. They are operating in an environment where the rules are changing — where member expectations, funding models, competitive dynamics, or regulatory frameworks are shifting in ways that cannot be addressed through incremental adjustment. Their leaders are intellectually honest about the gap between where they are and where they need to be. They are ready to do the real work of strategy — not just the documentation of it.</w:t>
      </w:r>
    </w:p>
    <w:p>
      <w:pPr>
        <w:spacing w:after="160" w:line="288"/>
      </w:pPr>
      <w:r>
        <w:rPr>
          <w:rFonts w:ascii="Calibri" w:cs="Calibri" w:eastAsia="Calibri" w:hAnsi="Calibri"/>
          <w:b w:val="false"/>
          <w:bCs w:val="false"/>
          <w:i w:val="false"/>
          <w:iCs w:val="false"/>
          <w:color w:val="444441"/>
          <w:sz w:val="22"/>
          <w:szCs w:val="22"/>
        </w:rPr>
        <w:t xml:space="preserve">They also understand that the capability to navigate disruptive change cannot be permanently outsourced. The goal of every Resilient Futures engagement is to build that capability inside the organisation — so that when we step back, strategic fitness is an ongoing internal practice, not a periodic external intervention.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40"/>
              <w:left w:type="dxa" w:w="360"/>
              <w:bottom w:type="dxa" w:w="240"/>
              <w:right w:type="dxa" w:w="360"/>
            </w:tcMar>
          </w:tcPr>
          <w:p>
            <w:pPr>
              <w:spacing w:after="120" w:line="300"/>
            </w:pPr>
            <w:r>
              <w:rPr>
                <w:rFonts w:ascii="Georgia" w:cs="Georgia" w:eastAsia="Georgia" w:hAnsi="Georgia"/>
                <w:i/>
                <w:iCs/>
                <w:color w:val="085041"/>
                <w:sz w:val="26"/>
                <w:szCs w:val="26"/>
              </w:rPr>
              <w:t xml:space="preserve">"Strategy in Action is a new way of thinking for a world that works differently. Whether you are in senior management, strategy, planning, or any key decision-making role in an organisation or community, you need to be aware of this framework and why it matters."</w:t>
            </w:r>
          </w:p>
          <w:p>
            <w:pPr>
              <w:spacing w:after="0"/>
            </w:pPr>
            <w:r>
              <w:rPr>
                <w:rFonts w:ascii="Calibri" w:cs="Calibri" w:eastAsia="Calibri" w:hAnsi="Calibri"/>
                <w:b/>
                <w:bCs/>
                <w:color w:val="5F5E5A"/>
                <w:sz w:val="20"/>
                <w:szCs w:val="20"/>
              </w:rPr>
              <w:t xml:space="preserve">— Business &amp; Social Entrepreneur and Investor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Not sure if there's a fit? That's exactly what a Strategic Fitness conversation is for.</w:t>
            </w:r>
          </w:p>
          <w:p>
            <w:pPr>
              <w:spacing w:after="0"/>
            </w:pPr>
            <w:r>
              <w:rPr>
                <w:rFonts w:ascii="Calibri" w:cs="Calibri" w:eastAsia="Calibri" w:hAnsi="Calibri"/>
                <w:color w:val="5F5E5A"/>
                <w:sz w:val="22"/>
                <w:szCs w:val="22"/>
              </w:rPr>
              <w:t xml:space="preserve">A short, no-obligation discussion to understand your context and whether Resilient Futures can add genuine value at this point. →  Book a conversation</w:t>
            </w:r>
          </w:p>
        </w:tc>
      </w:tr>
    </w:tbl>
    <w:p>
      <w:r>
        <w:br w:type="page"/>
      </w:r>
    </w:p>
    <w:p>
      <w:pPr>
        <w:spacing w:before="320" w:after="80"/>
      </w:pPr>
      <w:r>
        <w:rPr>
          <w:rFonts w:ascii="Calibri" w:cs="Calibri" w:eastAsia="Calibri" w:hAnsi="Calibri"/>
          <w:b/>
          <w:bCs/>
          <w:caps/>
          <w:color w:val="0F6E56"/>
          <w:sz w:val="18"/>
          <w:szCs w:val="18"/>
        </w:rPr>
        <w:t xml:space="preserve">PAGE 6 — OUR WORK</w:t>
      </w:r>
    </w:p>
    <w:p>
      <w:pPr>
        <w:pBdr>
          <w:bottom w:val="single" w:color="0F6E56" w:sz="6" w:space="4"/>
        </w:pBdr>
        <w:spacing w:after="320"/>
      </w:pPr>
    </w:p>
    <w:p>
      <w:pPr>
        <w:spacing w:after="80"/>
      </w:pPr>
      <w:r>
        <w:rPr>
          <w:rFonts w:ascii="Calibri" w:cs="Calibri" w:eastAsia="Calibri" w:hAnsi="Calibri"/>
          <w:b/>
          <w:bCs/>
          <w:caps/>
          <w:color w:val="0F6E56"/>
          <w:sz w:val="18"/>
          <w:szCs w:val="18"/>
        </w:rPr>
        <w:t xml:space="preserve">PAGE HEADLINE</w:t>
      </w:r>
    </w:p>
    <w:p>
      <w:pPr>
        <w:pStyle w:val="Heading1"/>
        <w:spacing w:before="480" w:after="160"/>
      </w:pPr>
      <w:r>
        <w:rPr>
          <w:rFonts w:ascii="Georgia" w:cs="Georgia" w:eastAsia="Georgia" w:hAnsi="Georgia"/>
          <w:b/>
          <w:bCs/>
          <w:color w:val="1A1A2E"/>
          <w:sz w:val="44"/>
          <w:szCs w:val="44"/>
        </w:rPr>
        <w:t xml:space="preserve">Strategy in action.
Real organisations, real change, real outcomes.</w:t>
      </w:r>
    </w:p>
    <w:p>
      <w:pPr>
        <w:spacing w:after="80"/>
      </w:pPr>
    </w:p>
    <w:p>
      <w:pPr>
        <w:spacing w:after="200" w:line="300"/>
      </w:pPr>
      <w:r>
        <w:rPr>
          <w:rFonts w:ascii="Georgia" w:cs="Georgia" w:eastAsia="Georgia" w:hAnsi="Georgia"/>
          <w:i/>
          <w:iCs/>
          <w:color w:val="1A1A2E"/>
          <w:sz w:val="26"/>
          <w:szCs w:val="26"/>
        </w:rPr>
        <w:t xml:space="preserve">Over 25 years, Resilient Futures has worked with Australian Boards and leadership teams across a wide range of sectors and contexts — from national peak bodies to health networks, higher education to manufacturing, and government. These are representative examples of that work and its outcomes.</w:t>
      </w:r>
    </w:p>
    <w:p>
      <w:pPr>
        <w:spacing w:after="160"/>
      </w:pPr>
    </w:p>
    <w:p>
      <w:pPr>
        <w:pBdr>
          <w:left w:val="single" w:color="0F6E56" w:sz="16"/>
        </w:pBdr>
        <w:spacing w:after="120"/>
        <w:ind w:left="360"/>
      </w:pPr>
      <w:r>
        <w:rPr>
          <w:rFonts w:ascii="Georgia" w:cs="Georgia" w:eastAsia="Georgia" w:hAnsi="Georgia"/>
          <w:b/>
          <w:bCs/>
          <w:color w:val="1A1A2E"/>
          <w:sz w:val="28"/>
          <w:szCs w:val="28"/>
        </w:rPr>
        <w:t xml:space="preserve">National Professional Association — Strategy for a Changing Profession</w:t>
      </w:r>
    </w:p>
    <w:p>
      <w:pPr>
        <w:spacing w:after="120"/>
        <w:ind w:left="360"/>
      </w:pPr>
      <w:r>
        <w:rPr>
          <w:rFonts w:ascii="Calibri" w:cs="Calibri" w:eastAsia="Calibri" w:hAnsi="Calibri"/>
          <w:b/>
          <w:bCs/>
          <w:color w:val="0F6E56"/>
          <w:sz w:val="18"/>
          <w:szCs w:val="18"/>
        </w:rPr>
        <w:t xml:space="preserve">SECTOR: Professional Association  |  SCOPE: Full SiA strategy engagement</w:t>
      </w:r>
    </w:p>
    <w:p>
      <w:pPr>
        <w:spacing w:after="160" w:line="288"/>
        <w:ind w:left="360"/>
      </w:pPr>
      <w:r>
        <w:rPr>
          <w:rFonts w:ascii="Calibri" w:cs="Calibri" w:eastAsia="Calibri" w:hAnsi="Calibri"/>
          <w:color w:val="444441"/>
          <w:sz w:val="22"/>
          <w:szCs w:val="22"/>
        </w:rPr>
        <w:t xml:space="preserve">The Context: A national professional body representing tens of thousands of members was approaching a new strategy cycle against a backdrop of rapid change in the profession it represents — from AI adoption and changing workforce models to shifting government policy and evolving member expectations. Their Board and Executive recognised that the previous strategy cycle had produced good work, but that the planning approach itself needed to be reset for a more complex operating environment.</w:t>
      </w:r>
    </w:p>
    <w:p>
      <w:pPr>
        <w:spacing w:after="160" w:line="288"/>
        <w:ind w:left="360"/>
      </w:pPr>
      <w:r>
        <w:rPr>
          <w:rFonts w:ascii="Calibri" w:cs="Calibri" w:eastAsia="Calibri" w:hAnsi="Calibri"/>
          <w:color w:val="444441"/>
          <w:sz w:val="22"/>
          <w:szCs w:val="22"/>
        </w:rPr>
        <w:t xml:space="preserve">The Engagement: Resilient Futures co-designed a full SiA engagement spanning Board and Executive workshops, structured stakeholder engagement, conditions analysis across global through to internal domains, and the development of a 2027–2030 strategy. The process built a genuine shared context for decision-making — not just a document — and produced clear strategic priorities aligned to the organisation's most significant opportunity-risks.</w:t>
      </w:r>
    </w:p>
    <w:p>
      <w:pPr>
        <w:spacing w:after="200" w:line="288"/>
        <w:ind w:left="360"/>
      </w:pPr>
      <w:r>
        <w:rPr>
          <w:rFonts w:ascii="Calibri" w:cs="Calibri" w:eastAsia="Calibri" w:hAnsi="Calibri"/>
          <w:color w:val="444441"/>
          <w:sz w:val="22"/>
          <w:szCs w:val="22"/>
        </w:rPr>
        <w:t xml:space="preserve">The Outcomes: A Board-endorsed strategy grounded in an evidence-based understanding of the change landscape. Clear strategic priorities across a 2027–2030 horizon. A shared language and framework for ongoing strategic decision-making across the Board and Executive. A capability investment pathway aligned to future conditions rather than past practice.</w:t>
      </w:r>
    </w:p>
    <w:p>
      <w:pPr>
        <w:spacing w:after="120"/>
      </w:pPr>
    </w:p>
    <w:p>
      <w:pPr>
        <w:pBdr>
          <w:left w:val="single" w:color="0F6E56" w:sz="16"/>
        </w:pBdr>
        <w:spacing w:after="120"/>
        <w:ind w:left="360"/>
      </w:pPr>
      <w:r>
        <w:rPr>
          <w:rFonts w:ascii="Georgia" w:cs="Georgia" w:eastAsia="Georgia" w:hAnsi="Georgia"/>
          <w:b/>
          <w:bCs/>
          <w:color w:val="1A1A2E"/>
          <w:sz w:val="28"/>
          <w:szCs w:val="28"/>
        </w:rPr>
        <w:t xml:space="preserve">Primary Health Network — Strategic Fitness Under Structural Pressure</w:t>
      </w:r>
    </w:p>
    <w:p>
      <w:pPr>
        <w:spacing w:after="120"/>
        <w:ind w:left="360"/>
      </w:pPr>
      <w:r>
        <w:rPr>
          <w:rFonts w:ascii="Calibri" w:cs="Calibri" w:eastAsia="Calibri" w:hAnsi="Calibri"/>
          <w:b/>
          <w:bCs/>
          <w:color w:val="0F6E56"/>
          <w:sz w:val="18"/>
          <w:szCs w:val="18"/>
        </w:rPr>
        <w:t xml:space="preserve">SECTOR: Health &amp; Human Services  |  SCOPE: SiA Facilitation + Conditions Analysis</w:t>
      </w:r>
    </w:p>
    <w:p>
      <w:pPr>
        <w:spacing w:after="160" w:line="288"/>
        <w:ind w:left="360"/>
      </w:pPr>
      <w:r>
        <w:rPr>
          <w:rFonts w:ascii="Calibri" w:cs="Calibri" w:eastAsia="Calibri" w:hAnsi="Calibri"/>
          <w:color w:val="444441"/>
          <w:sz w:val="22"/>
          <w:szCs w:val="22"/>
        </w:rPr>
        <w:t xml:space="preserve">The Context: A regional Primary Health Network was operating in an environment shaped by simultaneous pressures: shifting federal funding frameworks, increasing community need, workforce shortages, and the complexity of coordinating services across a geographically diverse area. Leadership recognised that the organisation's strategy needed to be tested against these conditions, not just reviewed in isolation.</w:t>
      </w:r>
    </w:p>
    <w:p>
      <w:pPr>
        <w:spacing w:after="160" w:line="288"/>
        <w:ind w:left="360"/>
      </w:pPr>
      <w:r>
        <w:rPr>
          <w:rFonts w:ascii="Calibri" w:cs="Calibri" w:eastAsia="Calibri" w:hAnsi="Calibri"/>
          <w:color w:val="444441"/>
          <w:sz w:val="22"/>
          <w:szCs w:val="22"/>
        </w:rPr>
        <w:t xml:space="preserve">The Engagement: A structured conditions analysis and strategic opportunity-risk assessment, delivered through Board and Executive workshops. The process surfaced the interdependencies between the forces shaping the operating environment and helped the leadership team develop a shared, prioritised view of where the organisation needed to direct its attention and resources.</w:t>
      </w:r>
    </w:p>
    <w:p>
      <w:pPr>
        <w:spacing w:after="200" w:line="288"/>
        <w:ind w:left="360"/>
      </w:pPr>
      <w:r>
        <w:rPr>
          <w:rFonts w:ascii="Calibri" w:cs="Calibri" w:eastAsia="Calibri" w:hAnsi="Calibri"/>
          <w:color w:val="444441"/>
          <w:sz w:val="22"/>
          <w:szCs w:val="22"/>
        </w:rPr>
        <w:t xml:space="preserve">The Outcomes: A clear conditions picture with strategic implications understood at Board level. A prioritised set of strategic opportunity-risks providing direction for resource allocation. A strengthened governance framework for ongoing strategy review. Alignment between Board and Executive on what the next period demands.</w:t>
      </w:r>
    </w:p>
    <w:p>
      <w:pPr>
        <w:spacing w:after="120"/>
      </w:pPr>
    </w:p>
    <w:p>
      <w:pPr>
        <w:pBdr>
          <w:left w:val="single" w:color="0F6E56" w:sz="16"/>
        </w:pBdr>
        <w:spacing w:after="120"/>
        <w:ind w:left="360"/>
      </w:pPr>
      <w:r>
        <w:rPr>
          <w:rFonts w:ascii="Georgia" w:cs="Georgia" w:eastAsia="Georgia" w:hAnsi="Georgia"/>
          <w:b/>
          <w:bCs/>
          <w:color w:val="1A1A2E"/>
          <w:sz w:val="28"/>
          <w:szCs w:val="28"/>
        </w:rPr>
        <w:t xml:space="preserve">Specialist Medical College — Redefining Member Value in a Changing Profession</w:t>
      </w:r>
    </w:p>
    <w:p>
      <w:pPr>
        <w:spacing w:after="120"/>
        <w:ind w:left="360"/>
      </w:pPr>
      <w:r>
        <w:rPr>
          <w:rFonts w:ascii="Calibri" w:cs="Calibri" w:eastAsia="Calibri" w:hAnsi="Calibri"/>
          <w:b/>
          <w:bCs/>
          <w:color w:val="0F6E56"/>
          <w:sz w:val="18"/>
          <w:szCs w:val="18"/>
        </w:rPr>
        <w:t xml:space="preserve">SECTOR: Medical Education &amp; Member Association  |  SCOPE: Full strategy engagement + value network analysis</w:t>
      </w:r>
    </w:p>
    <w:p>
      <w:pPr>
        <w:spacing w:after="160" w:line="288"/>
        <w:ind w:left="360"/>
      </w:pPr>
      <w:r>
        <w:rPr>
          <w:rFonts w:ascii="Calibri" w:cs="Calibri" w:eastAsia="Calibri" w:hAnsi="Calibri"/>
          <w:color w:val="444441"/>
          <w:sz w:val="22"/>
          <w:szCs w:val="22"/>
        </w:rPr>
        <w:t xml:space="preserve">The Context: A specialist medical college responsible for training, education, and professional standards was facing both external and internal disruption. Changes to medical education, evolving models of specialist practice, and shifting expectations of what a medical college should provide were converging in ways that challenged the existing business and membership model.</w:t>
      </w:r>
    </w:p>
    <w:p>
      <w:pPr>
        <w:spacing w:after="160" w:line="288"/>
        <w:ind w:left="360"/>
      </w:pPr>
      <w:r>
        <w:rPr>
          <w:rFonts w:ascii="Calibri" w:cs="Calibri" w:eastAsia="Calibri" w:hAnsi="Calibri"/>
          <w:color w:val="444441"/>
          <w:sz w:val="22"/>
          <w:szCs w:val="22"/>
        </w:rPr>
        <w:t xml:space="preserve">The Engagement: A comprehensive SiA facilitation engagement that combined conditions analysis, value network mapping, strategic opportunity-risk identification, and business model exploration. The work engaged Board, Executive, and key stakeholders in a structured process designed to build both strategic clarity and genuine alignment.</w:t>
      </w:r>
    </w:p>
    <w:p>
      <w:pPr>
        <w:spacing w:after="200" w:line="288"/>
        <w:ind w:left="360"/>
      </w:pPr>
      <w:r>
        <w:rPr>
          <w:rFonts w:ascii="Calibri" w:cs="Calibri" w:eastAsia="Calibri" w:hAnsi="Calibri"/>
          <w:color w:val="444441"/>
          <w:sz w:val="22"/>
          <w:szCs w:val="22"/>
        </w:rPr>
        <w:t xml:space="preserve">The Outcomes: A redefined value proposition for current and future members. Clarity on new business and operating model directions. A strengthened relationship with key partners. A Board and Executive aligned on where to invest and where to evolve — grounded in evidence, not aspiration.</w:t>
      </w:r>
    </w:p>
    <w:p>
      <w:pPr>
        <w:spacing w:after="120"/>
      </w:pPr>
    </w:p>
    <w:p>
      <w:pPr>
        <w:pBdr>
          <w:left w:val="single" w:color="0F6E56" w:sz="16"/>
        </w:pBdr>
        <w:spacing w:after="120"/>
        <w:ind w:left="360"/>
      </w:pPr>
      <w:r>
        <w:rPr>
          <w:rFonts w:ascii="Georgia" w:cs="Georgia" w:eastAsia="Georgia" w:hAnsi="Georgia"/>
          <w:b/>
          <w:bCs/>
          <w:color w:val="1A1A2E"/>
          <w:sz w:val="28"/>
          <w:szCs w:val="28"/>
        </w:rPr>
        <w:t xml:space="preserve">Manufacturing Organisation — Strategy Reset Under Disruption</w:t>
      </w:r>
    </w:p>
    <w:p>
      <w:pPr>
        <w:spacing w:after="120"/>
        <w:ind w:left="360"/>
      </w:pPr>
      <w:r>
        <w:rPr>
          <w:rFonts w:ascii="Calibri" w:cs="Calibri" w:eastAsia="Calibri" w:hAnsi="Calibri"/>
          <w:b/>
          <w:bCs/>
          <w:color w:val="0F6E56"/>
          <w:sz w:val="18"/>
          <w:szCs w:val="18"/>
        </w:rPr>
        <w:t xml:space="preserve">SECTOR: Manufacturing  |  SCOPE: Conditions analysis, strategy stress-test, SiA facilitation</w:t>
      </w:r>
    </w:p>
    <w:p>
      <w:pPr>
        <w:spacing w:after="160" w:line="288"/>
        <w:ind w:left="360"/>
      </w:pPr>
      <w:r>
        <w:rPr>
          <w:rFonts w:ascii="Calibri" w:cs="Calibri" w:eastAsia="Calibri" w:hAnsi="Calibri"/>
          <w:color w:val="444441"/>
          <w:sz w:val="22"/>
          <w:szCs w:val="22"/>
        </w:rPr>
        <w:t xml:space="preserve">The Context: A major manufacturing organisation was facing structural disruption to its supply chain, competitive landscape, and workforce model simultaneously. Leadership recognised that their existing strategy had been formulated in different conditions and needed to be tested — not just refreshed — against the current and emerging reality.</w:t>
      </w:r>
    </w:p>
    <w:p>
      <w:pPr>
        <w:spacing w:after="160" w:line="288"/>
        <w:ind w:left="360"/>
      </w:pPr>
      <w:r>
        <w:rPr>
          <w:rFonts w:ascii="Calibri" w:cs="Calibri" w:eastAsia="Calibri" w:hAnsi="Calibri"/>
          <w:color w:val="444441"/>
          <w:sz w:val="22"/>
          <w:szCs w:val="22"/>
        </w:rPr>
        <w:t xml:space="preserve">The Engagement: A strategy stress-test combined with a SiA facilitation engagement. The process started with an objective conditions analysis — from global supply chain and energy dynamics to internal capability and organisational culture — and moved through to a structured reassessment of strategic focus and initiative prioritisation.</w:t>
      </w:r>
    </w:p>
    <w:p>
      <w:pPr>
        <w:spacing w:after="200" w:line="288"/>
        <w:ind w:left="360"/>
      </w:pPr>
      <w:r>
        <w:rPr>
          <w:rFonts w:ascii="Calibri" w:cs="Calibri" w:eastAsia="Calibri" w:hAnsi="Calibri"/>
          <w:color w:val="444441"/>
          <w:sz w:val="22"/>
          <w:szCs w:val="22"/>
        </w:rPr>
        <w:t xml:space="preserve">The Outcomes: From Board to frontline, alignment on the real change landscape. A reset strategic focus anchored to current and emerging conditions. Supply chain opportunity and risk addressed as strategic priorities. A leadership team with a shared context and common language for ongoing strategic decision-making.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40"/>
              <w:left w:type="dxa" w:w="360"/>
              <w:bottom w:type="dxa" w:w="240"/>
              <w:right w:type="dxa" w:w="360"/>
            </w:tcMar>
          </w:tcPr>
          <w:p>
            <w:pPr>
              <w:spacing w:after="120" w:line="300"/>
            </w:pPr>
            <w:r>
              <w:rPr>
                <w:rFonts w:ascii="Georgia" w:cs="Georgia" w:eastAsia="Georgia" w:hAnsi="Georgia"/>
                <w:i/>
                <w:iCs/>
                <w:color w:val="085041"/>
                <w:sz w:val="26"/>
                <w:szCs w:val="26"/>
              </w:rPr>
              <w:t xml:space="preserve">"Larry Quick and David Platt give leaders an antidote to uncertainty, insecurity and complacency. Their approach to strategy can be applied across all organisational types — from defence to advanced manufacturing, from education to logistics."</w:t>
            </w:r>
          </w:p>
          <w:p>
            <w:pPr>
              <w:spacing w:after="0"/>
            </w:pPr>
            <w:r>
              <w:rPr>
                <w:rFonts w:ascii="Calibri" w:cs="Calibri" w:eastAsia="Calibri" w:hAnsi="Calibri"/>
                <w:b/>
                <w:bCs/>
                <w:color w:val="5F5E5A"/>
                <w:sz w:val="20"/>
                <w:szCs w:val="20"/>
              </w:rPr>
              <w:t xml:space="preserve">— CEO, Education Organisation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0F6E56" w:sz="8"/>
              <w:left w:val="none" w:color="FFFFFF" w:sz="0"/>
              <w:bottom w:val="single" w:color="0F6E56" w:sz="8"/>
              <w:right w:val="none" w:color="FFFFFF" w:sz="0"/>
            </w:tcBorders>
            <w:shd w:fill="F5F5F5" w:val="clear"/>
            <w:tcMar>
              <w:top w:type="dxa" w:w="280"/>
              <w:left w:type="dxa" w:w="360"/>
              <w:bottom w:type="dxa" w:w="280"/>
              <w:right w:type="dxa" w:w="360"/>
            </w:tcMar>
          </w:tcPr>
          <w:p>
            <w:pPr>
              <w:spacing w:after="100"/>
            </w:pPr>
            <w:r>
              <w:rPr>
                <w:rFonts w:ascii="Georgia" w:cs="Georgia" w:eastAsia="Georgia" w:hAnsi="Georgia"/>
                <w:b/>
                <w:bCs/>
                <w:color w:val="1A1A2E"/>
                <w:sz w:val="28"/>
                <w:szCs w:val="28"/>
              </w:rPr>
              <w:t xml:space="preserve">Interested in what this could look like for your organisation?</w:t>
            </w:r>
          </w:p>
          <w:p>
            <w:pPr>
              <w:spacing w:after="0"/>
            </w:pPr>
            <w:r>
              <w:rPr>
                <w:rFonts w:ascii="Calibri" w:cs="Calibri" w:eastAsia="Calibri" w:hAnsi="Calibri"/>
                <w:color w:val="5F5E5A"/>
                <w:sz w:val="22"/>
                <w:szCs w:val="22"/>
              </w:rPr>
              <w:t xml:space="preserve">The best way to understand what a Resilient Futures engagement produces is to begin a conversation. A short Strategic Fitness discussion is where we start. →  Book a conversation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60"/>
      <w:outlineLvl w:val="0"/>
    </w:pPr>
    <w:rPr>
      <w:rFonts w:ascii="Georgia" w:cs="Georgia" w:eastAsia="Georgia" w:hAnsi="Georgia"/>
      <w:b/>
      <w:bCs/>
      <w:color w:val="1A1A2E"/>
      <w:sz w:val="44"/>
      <w:szCs w:val="44"/>
    </w:rPr>
  </w:style>
  <w:style w:type="paragraph" w:styleId="Heading2">
    <w:name w:val="Heading 2"/>
    <w:basedOn w:val="Normal"/>
    <w:next w:val="Normal"/>
    <w:pPr>
      <w:spacing w:before="360" w:after="120"/>
      <w:outlineLvl w:val="1"/>
    </w:pPr>
    <w:rPr>
      <w:rFonts w:ascii="Georgia" w:cs="Georgia" w:eastAsia="Georgia" w:hAnsi="Georgia"/>
      <w:b/>
      <w:bCs/>
      <w:color w:val="085041"/>
      <w:sz w:val="32"/>
      <w:szCs w:val="32"/>
    </w:rPr>
  </w:style>
  <w:style w:type="paragraph" w:styleId="Heading3">
    <w:name w:val="Heading 3"/>
    <w:basedOn w:val="Normal"/>
    <w:next w:val="Normal"/>
    <w:pPr>
      <w:spacing w:before="280" w:after="80"/>
      <w:outlineLvl w:val="2"/>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0E7B712A271E4E800D22FED9027CFC" ma:contentTypeVersion="3" ma:contentTypeDescription="Create a new document." ma:contentTypeScope="" ma:versionID="4d7acab4738ceb406e69c208f90bfea6">
  <xsd:schema xmlns:xsd="http://www.w3.org/2001/XMLSchema" xmlns:xs="http://www.w3.org/2001/XMLSchema" xmlns:p="http://schemas.microsoft.com/office/2006/metadata/properties" xmlns:ns2="62580b50-451c-4344-805d-ac8e2e3625a3" targetNamespace="http://schemas.microsoft.com/office/2006/metadata/properties" ma:root="true" ma:fieldsID="8d9ba63127f5730bc22cdafbccd53c67" ns2:_="">
    <xsd:import namespace="62580b50-451c-4344-805d-ac8e2e3625a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80b50-451c-4344-805d-ac8e2e362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DAE25C-5459-4D2D-BCD0-57967D6381C5}"/>
</file>

<file path=customXml/itemProps2.xml><?xml version="1.0" encoding="utf-8"?>
<ds:datastoreItem xmlns:ds="http://schemas.openxmlformats.org/officeDocument/2006/customXml" ds:itemID="{075B2651-F87A-4688-8659-42DF07A602CF}"/>
</file>

<file path=customXml/itemProps3.xml><?xml version="1.0" encoding="utf-8"?>
<ds:datastoreItem xmlns:ds="http://schemas.openxmlformats.org/officeDocument/2006/customXml" ds:itemID="{634EE996-FD6F-4E89-A717-11AF5870421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2026-03-18T00:50:34Z</dcterms:created>
  <dcterms:modified xsi:type="dcterms:W3CDTF">2026-03-18T00:50:34Z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0x010100090E7B712A271E4E800D22FED9027CFC</vt:lpwstr>
  </property>
</Properties>
</file>