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F3864"/>
          <w:sz w:val="56"/>
          <w:szCs w:val="56"/>
        </w:rPr>
        <w:t xml:space="preserve">PROXESS</w:t>
      </w:r>
    </w:p>
    <w:p>
      <w:pPr>
        <w:spacing w:after="80" w:before="0"/>
      </w:pPr>
      <w:r>
        <w:rPr>
          <w:rFonts w:ascii="Arial" w:cs="Arial" w:eastAsia="Arial" w:hAnsi="Arial"/>
          <w:color w:val="2E5FA3"/>
          <w:sz w:val="36"/>
          <w:szCs w:val="36"/>
        </w:rPr>
        <w:t xml:space="preserve">K-12 Access Control Market Intelligence Report</w:t>
      </w:r>
    </w:p>
    <w:p>
      <w:pPr>
        <w:pBdr>
          <w:bottom w:val="single" w:color="2E5FA3" w:sz="12" w:space="8"/>
        </w:pBdr>
        <w:spacing w:after="320" w:before="0"/>
      </w:pPr>
      <w:r>
        <w:rPr>
          <w:rFonts w:ascii="Arial" w:cs="Arial" w:eastAsia="Arial" w:hAnsi="Arial"/>
          <w:color w:val="666666"/>
          <w:sz w:val="22"/>
          <w:szCs w:val="22"/>
        </w:rPr>
        <w:t xml:space="preserve">California · Arizona · Nevada  |  Bond Cycle: 2025–2026  |  Prepared: June 2026</w:t>
      </w:r>
    </w:p>
    <w:p>
      <w:pPr>
        <w:spacing w:after="80" w:before="0"/>
      </w:pPr>
      <w:r>
        <w:t xml:space="preserve"/>
      </w:r>
    </w:p>
    <w:p>
      <w:pPr>
        <w:pStyle w:val="Heading1"/>
        <w:pBdr>
          <w:bottom w:val="single" w:color="2E5FA3" w:sz="8" w:space="4"/>
        </w:pBdr>
        <w:spacing w:after="160" w:before="320"/>
      </w:pPr>
      <w:r>
        <w:rPr>
          <w:rFonts w:ascii="Arial" w:cs="Arial" w:eastAsia="Arial" w:hAnsi="Arial"/>
          <w:b/>
          <w:bCs/>
          <w:color w:val="1F3864"/>
          <w:sz w:val="32"/>
          <w:szCs w:val="32"/>
        </w:rPr>
        <w:t xml:space="preserve">Executive Summary</w:t>
      </w:r>
    </w:p>
    <w:p>
      <w:pPr>
        <w:spacing w:after="60" w:before="60"/>
      </w:pPr>
      <w:r>
        <w:rPr>
          <w:rFonts w:ascii="Arial" w:cs="Arial" w:eastAsia="Arial" w:hAnsi="Arial"/>
          <w:sz w:val="22"/>
          <w:szCs w:val="22"/>
        </w:rPr>
        <w:t xml:space="preserve">The 2025–2026 K-12 bond cycle in California and Arizona has produced a significant pipeline of active, funded opportunities for access control manufacturers. A scan of recently-passed school bonds against access control signal keywords identified 9 high-confidence districts with explicit security system language — representing over $920 million in total bond authority — plus an additional tier of 10+ districts with new school construction projects where access control is a code-mandated requirement.</w:t>
      </w:r>
    </w:p>
    <w:p>
      <w:pPr>
        <w:spacing w:after="80" w:before="0"/>
      </w:pPr>
      <w:r>
        <w:t xml:space="preserve"/>
      </w:r>
    </w:p>
    <w:p>
      <w:pPr>
        <w:spacing w:after="60" w:before="60"/>
      </w:pPr>
      <w:r>
        <w:rPr>
          <w:rFonts w:ascii="Arial" w:cs="Arial" w:eastAsia="Arial" w:hAnsi="Arial"/>
          <w:sz w:val="22"/>
          <w:szCs w:val="22"/>
        </w:rPr>
        <w:t xml:space="preserve">Proxess is positioned to compete in both segments: the explicit security upgrade market (where language in bond measures directly describes access control scope) and the new construction market (where California DSA and Arizona code require hardened entries on all new K-12 buildings).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C0C0" w:sz="1"/>
              <w:left w:val="single" w:color="C0C0C0" w:sz="1"/>
              <w:bottom w:val="single" w:color="C0C0C0" w:sz="1"/>
              <w:right w:val="single" w:color="C0C0C0" w:sz="1"/>
            </w:tcBorders>
            <w:shd w:fill="D6E4F0" w:val="clear"/>
            <w:tcMar>
              <w:top w:type="dxa" w:w="120"/>
              <w:left w:type="dxa" w:w="120"/>
              <w:bottom w:type="dxa" w:w="120"/>
              <w:right w:type="dxa" w:w="120"/>
            </w:tcMar>
          </w:tcPr>
          <w:p>
            <w:pPr>
              <w:jc w:val="center"/>
            </w:pPr>
            <w:r>
              <w:rPr>
                <w:rFonts w:ascii="Arial" w:cs="Arial" w:eastAsia="Arial" w:hAnsi="Arial"/>
                <w:b/>
                <w:bCs/>
                <w:color w:val="1F3864"/>
                <w:sz w:val="36"/>
                <w:szCs w:val="36"/>
              </w:rPr>
              <w:t xml:space="preserve">9</w:t>
            </w:r>
          </w:p>
          <w:p>
            <w:pPr>
              <w:spacing w:before="40"/>
              <w:jc w:val="center"/>
            </w:pPr>
            <w:r>
              <w:rPr>
                <w:rFonts w:ascii="Arial" w:cs="Arial" w:eastAsia="Arial" w:hAnsi="Arial"/>
                <w:color w:val="444444"/>
                <w:sz w:val="18"/>
                <w:szCs w:val="18"/>
              </w:rPr>
              <w:t xml:space="preserve">Tier 1 Districts
Explicit AC Signals</w:t>
            </w:r>
          </w:p>
        </w:tc>
        <w:tc>
          <w:tcPr>
            <w:tcW w:type="dxa" w:w="2340"/>
            <w:tcBorders>
              <w:top w:val="single" w:color="C0C0C0" w:sz="1"/>
              <w:left w:val="single" w:color="C0C0C0" w:sz="1"/>
              <w:bottom w:val="single" w:color="C0C0C0" w:sz="1"/>
              <w:right w:val="single" w:color="C0C0C0" w:sz="1"/>
            </w:tcBorders>
            <w:shd w:fill="D6E4F0" w:val="clear"/>
            <w:tcMar>
              <w:top w:type="dxa" w:w="120"/>
              <w:left w:type="dxa" w:w="120"/>
              <w:bottom w:type="dxa" w:w="120"/>
              <w:right w:type="dxa" w:w="120"/>
            </w:tcMar>
          </w:tcPr>
          <w:p>
            <w:pPr>
              <w:jc w:val="center"/>
            </w:pPr>
            <w:r>
              <w:rPr>
                <w:rFonts w:ascii="Arial" w:cs="Arial" w:eastAsia="Arial" w:hAnsi="Arial"/>
                <w:b/>
                <w:bCs/>
                <w:color w:val="1F3864"/>
                <w:sz w:val="36"/>
                <w:szCs w:val="36"/>
              </w:rPr>
              <w:t xml:space="preserve">$920M+</w:t>
            </w:r>
          </w:p>
          <w:p>
            <w:pPr>
              <w:spacing w:before="40"/>
              <w:jc w:val="center"/>
            </w:pPr>
            <w:r>
              <w:rPr>
                <w:rFonts w:ascii="Arial" w:cs="Arial" w:eastAsia="Arial" w:hAnsi="Arial"/>
                <w:color w:val="444444"/>
                <w:sz w:val="18"/>
                <w:szCs w:val="18"/>
              </w:rPr>
              <w:t xml:space="preserve">Total Bond Authority
Tier 1 Districts</w:t>
            </w:r>
          </w:p>
        </w:tc>
        <w:tc>
          <w:tcPr>
            <w:tcW w:type="dxa" w:w="2340"/>
            <w:tcBorders>
              <w:top w:val="single" w:color="C0C0C0" w:sz="1"/>
              <w:left w:val="single" w:color="C0C0C0" w:sz="1"/>
              <w:bottom w:val="single" w:color="C0C0C0" w:sz="1"/>
              <w:right w:val="single" w:color="C0C0C0" w:sz="1"/>
            </w:tcBorders>
            <w:shd w:fill="D6E4F0" w:val="clear"/>
            <w:tcMar>
              <w:top w:type="dxa" w:w="120"/>
              <w:left w:type="dxa" w:w="120"/>
              <w:bottom w:type="dxa" w:w="120"/>
              <w:right w:type="dxa" w:w="120"/>
            </w:tcMar>
          </w:tcPr>
          <w:p>
            <w:pPr>
              <w:jc w:val="center"/>
            </w:pPr>
            <w:r>
              <w:rPr>
                <w:rFonts w:ascii="Arial" w:cs="Arial" w:eastAsia="Arial" w:hAnsi="Arial"/>
                <w:b/>
                <w:bCs/>
                <w:color w:val="1F3864"/>
                <w:sz w:val="36"/>
                <w:szCs w:val="36"/>
              </w:rPr>
              <w:t xml:space="preserve">10+</w:t>
            </w:r>
          </w:p>
          <w:p>
            <w:pPr>
              <w:spacing w:before="40"/>
              <w:jc w:val="center"/>
            </w:pPr>
            <w:r>
              <w:rPr>
                <w:rFonts w:ascii="Arial" w:cs="Arial" w:eastAsia="Arial" w:hAnsi="Arial"/>
                <w:color w:val="444444"/>
                <w:sz w:val="18"/>
                <w:szCs w:val="18"/>
              </w:rPr>
              <w:t xml:space="preserve">New Construction
Opportunities</w:t>
            </w:r>
          </w:p>
        </w:tc>
        <w:tc>
          <w:tcPr>
            <w:tcW w:type="dxa" w:w="2340"/>
            <w:tcBorders>
              <w:top w:val="single" w:color="C0C0C0" w:sz="1"/>
              <w:left w:val="single" w:color="C0C0C0" w:sz="1"/>
              <w:bottom w:val="single" w:color="C0C0C0" w:sz="1"/>
              <w:right w:val="single" w:color="C0C0C0" w:sz="1"/>
            </w:tcBorders>
            <w:shd w:fill="D6E4F0" w:val="clear"/>
            <w:tcMar>
              <w:top w:type="dxa" w:w="120"/>
              <w:left w:type="dxa" w:w="120"/>
              <w:bottom w:type="dxa" w:w="120"/>
              <w:right w:type="dxa" w:w="120"/>
            </w:tcMar>
          </w:tcPr>
          <w:p>
            <w:pPr>
              <w:jc w:val="center"/>
            </w:pPr>
            <w:r>
              <w:rPr>
                <w:rFonts w:ascii="Arial" w:cs="Arial" w:eastAsia="Arial" w:hAnsi="Arial"/>
                <w:b/>
                <w:bCs/>
                <w:color w:val="1F3864"/>
                <w:sz w:val="36"/>
                <w:szCs w:val="36"/>
              </w:rPr>
              <w:t xml:space="preserve">Jun 2026</w:t>
            </w:r>
          </w:p>
          <w:p>
            <w:pPr>
              <w:spacing w:before="40"/>
              <w:jc w:val="center"/>
            </w:pPr>
            <w:r>
              <w:rPr>
                <w:rFonts w:ascii="Arial" w:cs="Arial" w:eastAsia="Arial" w:hAnsi="Arial"/>
                <w:color w:val="444444"/>
                <w:sz w:val="18"/>
                <w:szCs w:val="18"/>
              </w:rPr>
              <w:t xml:space="preserve">Peak Bond Passage
Window (CA Primary)</w:t>
            </w:r>
          </w:p>
        </w:tc>
      </w:tr>
    </w:tbl>
    <w:p>
      <w:pPr>
        <w:spacing w:after="160" w:before="0"/>
      </w:pPr>
      <w:r>
        <w:t xml:space="preserve"/>
      </w:r>
    </w:p>
    <w:p>
      <w:pPr>
        <w:pStyle w:val="Heading1"/>
        <w:pBdr>
          <w:bottom w:val="single" w:color="2E5FA3" w:sz="8" w:space="4"/>
        </w:pBdr>
        <w:spacing w:after="160" w:before="320"/>
      </w:pPr>
      <w:r>
        <w:rPr>
          <w:rFonts w:ascii="Arial" w:cs="Arial" w:eastAsia="Arial" w:hAnsi="Arial"/>
          <w:b/>
          <w:bCs/>
          <w:color w:val="1F3864"/>
          <w:sz w:val="32"/>
          <w:szCs w:val="32"/>
        </w:rPr>
        <w:t xml:space="preserve">Signal Dashboard</w:t>
      </w:r>
    </w:p>
    <w:p>
      <w:pPr>
        <w:spacing w:after="60" w:before="60"/>
      </w:pPr>
      <w:r>
        <w:rPr>
          <w:rFonts w:ascii="Arial" w:cs="Arial" w:eastAsia="Arial" w:hAnsi="Arial"/>
          <w:sz w:val="22"/>
          <w:szCs w:val="22"/>
        </w:rPr>
        <w:t xml:space="preserve">Analysis based on recently-passed K-12 bond measures in CA, AZ, and NV. Bond text (bond_use field) scanned for 18 access control keywords including: access control, vestibule, secure entry, secure entrance, electronic lock, card reader, key fob, door hardware, visitor management, controlled access, badge, lockdown, security system, security upgrade, security camera, new construction, new school, rebuild.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234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Bond Value</w:t>
            </w:r>
          </w:p>
        </w:tc>
      </w:tr>
      <w:tr>
        <w:tc>
          <w:tcPr>
            <w:tcW w:type="dxa" w:w="468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Bonds scanned (CA + AZ + NV, passed 2025–2026)</w:t>
            </w:r>
          </w:p>
        </w:tc>
        <w:tc>
          <w:tcPr>
            <w:tcW w:type="dxa" w:w="234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80+</w:t>
            </w:r>
          </w:p>
        </w:tc>
        <w:tc>
          <w:tcPr>
            <w:tcW w:type="dxa" w:w="234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~$4.2B</w:t>
            </w:r>
          </w:p>
        </w:tc>
      </w:tr>
      <w:tr>
        <w:tc>
          <w:tcPr>
            <w:tcW w:type="dxa" w:w="468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Bonds with explicit security/safety language</w:t>
            </w:r>
          </w:p>
        </w:tc>
        <w:tc>
          <w:tcPr>
            <w:tcW w:type="dxa" w:w="234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23</w:t>
            </w:r>
          </w:p>
        </w:tc>
        <w:tc>
          <w:tcPr>
            <w:tcW w:type="dxa" w:w="234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~$1.8B</w:t>
            </w:r>
          </w:p>
        </w:tc>
      </w:tr>
      <w:tr>
        <w:tc>
          <w:tcPr>
            <w:tcW w:type="dxa" w:w="4680"/>
            <w:tcBorders>
              <w:top w:val="single" w:color="C0C0C0" w:sz="1"/>
              <w:left w:val="single" w:color="C0C0C0" w:sz="1"/>
              <w:bottom w:val="single" w:color="C0C0C0" w:sz="1"/>
              <w:right w:val="single" w:color="C0C0C0" w:sz="1"/>
            </w:tcBorders>
            <w:shd w:fill="C6EFCE" w:val="clear"/>
            <w:tcMar>
              <w:top w:type="dxa" w:w="60"/>
              <w:left w:type="dxa" w:w="120"/>
              <w:bottom w:type="dxa" w:w="60"/>
              <w:right w:type="dxa" w:w="120"/>
            </w:tcMar>
          </w:tcPr>
          <w:p>
            <w:r>
              <w:rPr>
                <w:rFonts w:ascii="Arial" w:cs="Arial" w:eastAsia="Arial" w:hAnsi="Arial"/>
                <w:b w:val="false"/>
                <w:bCs w:val="false"/>
                <w:sz w:val="20"/>
                <w:szCs w:val="20"/>
              </w:rPr>
              <w:t xml:space="preserve">Tier 1: Direct access control signal (vestibule, secure entry, intruder, card reader)</w:t>
            </w:r>
          </w:p>
        </w:tc>
        <w:tc>
          <w:tcPr>
            <w:tcW w:type="dxa" w:w="2340"/>
            <w:tcBorders>
              <w:top w:val="single" w:color="C0C0C0" w:sz="1"/>
              <w:left w:val="single" w:color="C0C0C0" w:sz="1"/>
              <w:bottom w:val="single" w:color="C0C0C0" w:sz="1"/>
              <w:right w:val="single" w:color="C0C0C0" w:sz="1"/>
            </w:tcBorders>
            <w:shd w:fill="C6EFCE" w:val="clear"/>
            <w:tcMar>
              <w:top w:type="dxa" w:w="60"/>
              <w:left w:type="dxa" w:w="120"/>
              <w:bottom w:type="dxa" w:w="60"/>
              <w:right w:type="dxa" w:w="120"/>
            </w:tcMar>
          </w:tcPr>
          <w:p>
            <w:r>
              <w:rPr>
                <w:rFonts w:ascii="Arial" w:cs="Arial" w:eastAsia="Arial" w:hAnsi="Arial"/>
                <w:b w:val="false"/>
                <w:bCs w:val="false"/>
                <w:sz w:val="20"/>
                <w:szCs w:val="20"/>
              </w:rPr>
              <w:t xml:space="preserve">9</w:t>
            </w:r>
          </w:p>
        </w:tc>
        <w:tc>
          <w:tcPr>
            <w:tcW w:type="dxa" w:w="2340"/>
            <w:tcBorders>
              <w:top w:val="single" w:color="C0C0C0" w:sz="1"/>
              <w:left w:val="single" w:color="C0C0C0" w:sz="1"/>
              <w:bottom w:val="single" w:color="C0C0C0" w:sz="1"/>
              <w:right w:val="single" w:color="C0C0C0" w:sz="1"/>
            </w:tcBorders>
            <w:shd w:fill="C6EFCE" w:val="clear"/>
            <w:tcMar>
              <w:top w:type="dxa" w:w="60"/>
              <w:left w:type="dxa" w:w="120"/>
              <w:bottom w:type="dxa" w:w="60"/>
              <w:right w:type="dxa" w:w="120"/>
            </w:tcMar>
          </w:tcPr>
          <w:p>
            <w:r>
              <w:rPr>
                <w:rFonts w:ascii="Arial" w:cs="Arial" w:eastAsia="Arial" w:hAnsi="Arial"/>
                <w:b w:val="false"/>
                <w:bCs w:val="false"/>
                <w:sz w:val="20"/>
                <w:szCs w:val="20"/>
              </w:rPr>
              <w:t xml:space="preserve">$920M+</w:t>
            </w:r>
          </w:p>
        </w:tc>
      </w:tr>
      <w:tr>
        <w:tc>
          <w:tcPr>
            <w:tcW w:type="dxa" w:w="4680"/>
            <w:tcBorders>
              <w:top w:val="single" w:color="C0C0C0" w:sz="1"/>
              <w:left w:val="single" w:color="C0C0C0" w:sz="1"/>
              <w:bottom w:val="single" w:color="C0C0C0" w:sz="1"/>
              <w:right w:val="single" w:color="C0C0C0" w:sz="1"/>
            </w:tcBorders>
            <w:shd w:fill="FFEB9C" w:val="clear"/>
            <w:tcMar>
              <w:top w:type="dxa" w:w="60"/>
              <w:left w:type="dxa" w:w="120"/>
              <w:bottom w:type="dxa" w:w="60"/>
              <w:right w:type="dxa" w:w="120"/>
            </w:tcMar>
          </w:tcPr>
          <w:p>
            <w:r>
              <w:rPr>
                <w:rFonts w:ascii="Arial" w:cs="Arial" w:eastAsia="Arial" w:hAnsi="Arial"/>
                <w:b w:val="false"/>
                <w:bCs w:val="false"/>
                <w:sz w:val="20"/>
                <w:szCs w:val="20"/>
              </w:rPr>
              <w:t xml:space="preserve">Tier 2: New construction (code-mandated access control)</w:t>
            </w:r>
          </w:p>
        </w:tc>
        <w:tc>
          <w:tcPr>
            <w:tcW w:type="dxa" w:w="2340"/>
            <w:tcBorders>
              <w:top w:val="single" w:color="C0C0C0" w:sz="1"/>
              <w:left w:val="single" w:color="C0C0C0" w:sz="1"/>
              <w:bottom w:val="single" w:color="C0C0C0" w:sz="1"/>
              <w:right w:val="single" w:color="C0C0C0" w:sz="1"/>
            </w:tcBorders>
            <w:shd w:fill="FFEB9C" w:val="clear"/>
            <w:tcMar>
              <w:top w:type="dxa" w:w="60"/>
              <w:left w:type="dxa" w:w="120"/>
              <w:bottom w:type="dxa" w:w="60"/>
              <w:right w:type="dxa" w:w="120"/>
            </w:tcMar>
          </w:tcPr>
          <w:p>
            <w:r>
              <w:rPr>
                <w:rFonts w:ascii="Arial" w:cs="Arial" w:eastAsia="Arial" w:hAnsi="Arial"/>
                <w:b w:val="false"/>
                <w:bCs w:val="false"/>
                <w:sz w:val="20"/>
                <w:szCs w:val="20"/>
              </w:rPr>
              <w:t xml:space="preserve">10+</w:t>
            </w:r>
          </w:p>
        </w:tc>
        <w:tc>
          <w:tcPr>
            <w:tcW w:type="dxa" w:w="2340"/>
            <w:tcBorders>
              <w:top w:val="single" w:color="C0C0C0" w:sz="1"/>
              <w:left w:val="single" w:color="C0C0C0" w:sz="1"/>
              <w:bottom w:val="single" w:color="C0C0C0" w:sz="1"/>
              <w:right w:val="single" w:color="C0C0C0" w:sz="1"/>
            </w:tcBorders>
            <w:shd w:fill="FFEB9C" w:val="clear"/>
            <w:tcMar>
              <w:top w:type="dxa" w:w="60"/>
              <w:left w:type="dxa" w:w="120"/>
              <w:bottom w:type="dxa" w:w="60"/>
              <w:right w:type="dxa" w:w="120"/>
            </w:tcMar>
          </w:tcPr>
          <w:p>
            <w:r>
              <w:rPr>
                <w:rFonts w:ascii="Arial" w:cs="Arial" w:eastAsia="Arial" w:hAnsi="Arial"/>
                <w:b w:val="false"/>
                <w:bCs w:val="false"/>
                <w:sz w:val="20"/>
                <w:szCs w:val="20"/>
              </w:rPr>
              <w:t xml:space="preserve">$600M+</w:t>
            </w:r>
          </w:p>
        </w:tc>
      </w:tr>
      <w:tr>
        <w:tc>
          <w:tcPr>
            <w:tcW w:type="dxa" w:w="4680"/>
            <w:tcBorders>
              <w:top w:val="single" w:color="C0C0C0" w:sz="1"/>
              <w:left w:val="single" w:color="C0C0C0" w:sz="1"/>
              <w:bottom w:val="single" w:color="C0C0C0" w:sz="1"/>
              <w:right w:val="single" w:color="C0C0C0" w:sz="1"/>
            </w:tcBorders>
            <w:shd w:fill="E2EFDA" w:val="clear"/>
            <w:tcMar>
              <w:top w:type="dxa" w:w="60"/>
              <w:left w:type="dxa" w:w="120"/>
              <w:bottom w:type="dxa" w:w="60"/>
              <w:right w:type="dxa" w:w="120"/>
            </w:tcMar>
          </w:tcPr>
          <w:p>
            <w:r>
              <w:rPr>
                <w:rFonts w:ascii="Arial" w:cs="Arial" w:eastAsia="Arial" w:hAnsi="Arial"/>
                <w:b w:val="false"/>
                <w:bCs w:val="false"/>
                <w:sz w:val="20"/>
                <w:szCs w:val="20"/>
              </w:rPr>
              <w:t xml:space="preserve">Tier 3: General safety language (camera, monitoring)</w:t>
            </w:r>
          </w:p>
        </w:tc>
        <w:tc>
          <w:tcPr>
            <w:tcW w:type="dxa" w:w="2340"/>
            <w:tcBorders>
              <w:top w:val="single" w:color="C0C0C0" w:sz="1"/>
              <w:left w:val="single" w:color="C0C0C0" w:sz="1"/>
              <w:bottom w:val="single" w:color="C0C0C0" w:sz="1"/>
              <w:right w:val="single" w:color="C0C0C0" w:sz="1"/>
            </w:tcBorders>
            <w:shd w:fill="E2EFDA" w:val="clear"/>
            <w:tcMar>
              <w:top w:type="dxa" w:w="60"/>
              <w:left w:type="dxa" w:w="120"/>
              <w:bottom w:type="dxa" w:w="60"/>
              <w:right w:type="dxa" w:w="120"/>
            </w:tcMar>
          </w:tcPr>
          <w:p>
            <w:r>
              <w:rPr>
                <w:rFonts w:ascii="Arial" w:cs="Arial" w:eastAsia="Arial" w:hAnsi="Arial"/>
                <w:b w:val="false"/>
                <w:bCs w:val="false"/>
                <w:sz w:val="20"/>
                <w:szCs w:val="20"/>
              </w:rPr>
              <w:t xml:space="preserve">14</w:t>
            </w:r>
          </w:p>
        </w:tc>
        <w:tc>
          <w:tcPr>
            <w:tcW w:type="dxa" w:w="2340"/>
            <w:tcBorders>
              <w:top w:val="single" w:color="C0C0C0" w:sz="1"/>
              <w:left w:val="single" w:color="C0C0C0" w:sz="1"/>
              <w:bottom w:val="single" w:color="C0C0C0" w:sz="1"/>
              <w:right w:val="single" w:color="C0C0C0" w:sz="1"/>
            </w:tcBorders>
            <w:shd w:fill="E2EFDA" w:val="clear"/>
            <w:tcMar>
              <w:top w:type="dxa" w:w="60"/>
              <w:left w:type="dxa" w:w="120"/>
              <w:bottom w:type="dxa" w:w="60"/>
              <w:right w:type="dxa" w:w="120"/>
            </w:tcMar>
          </w:tcPr>
          <w:p>
            <w:r>
              <w:rPr>
                <w:rFonts w:ascii="Arial" w:cs="Arial" w:eastAsia="Arial" w:hAnsi="Arial"/>
                <w:b w:val="false"/>
                <w:bCs w:val="false"/>
                <w:sz w:val="20"/>
                <w:szCs w:val="20"/>
              </w:rPr>
              <w:t xml:space="preserve">$800M+</w:t>
            </w:r>
          </w:p>
        </w:tc>
      </w:tr>
    </w:tbl>
    <w:p>
      <w:pPr>
        <w:spacing w:after="160" w:before="0"/>
      </w:pPr>
      <w:r>
        <w:t xml:space="preserve"/>
      </w:r>
    </w:p>
    <w:p>
      <w:pPr>
        <w:pStyle w:val="Heading1"/>
        <w:pBdr>
          <w:bottom w:val="single" w:color="2E5FA3" w:sz="8" w:space="4"/>
        </w:pBdr>
        <w:spacing w:after="160" w:before="320"/>
      </w:pPr>
      <w:r>
        <w:rPr>
          <w:rFonts w:ascii="Arial" w:cs="Arial" w:eastAsia="Arial" w:hAnsi="Arial"/>
          <w:b/>
          <w:bCs/>
          <w:color w:val="1F3864"/>
          <w:sz w:val="32"/>
          <w:szCs w:val="32"/>
        </w:rPr>
        <w:t xml:space="preserve">Tier 1 — Highest Priority Opportunities</w:t>
      </w:r>
    </w:p>
    <w:p>
      <w:pPr>
        <w:spacing w:after="60" w:before="60"/>
      </w:pPr>
      <w:r>
        <w:rPr>
          <w:rFonts w:ascii="Arial" w:cs="Arial" w:eastAsia="Arial" w:hAnsi="Arial"/>
          <w:sz w:val="22"/>
          <w:szCs w:val="22"/>
        </w:rPr>
        <w:t xml:space="preserve">These districts passed bonds with explicit language covering access control scope. Procurement for safety/security projects typically begins 6–18 months after bond passage. Districts are currently in the design and bidding planning phase.</w:t>
      </w:r>
    </w:p>
    <w:p>
      <w:pPr>
        <w:spacing w:after="80" w:before="0"/>
      </w:pPr>
      <w:r>
        <w:t xml:space="preserve"/>
      </w:r>
    </w:p>
    <w:p>
      <w:pPr>
        <w:shd w:fill="1F3864" w:val="clear"/>
        <w:spacing w:after="160" w:before="160"/>
        <w:ind w:left="720" w:right="720"/>
        <w:jc w:val="center"/>
      </w:pPr>
      <w:r>
        <w:rPr>
          <w:rFonts w:ascii="Arial" w:cs="Arial" w:eastAsia="Arial" w:hAnsi="Arial"/>
          <w:b/>
          <w:bCs/>
          <w:color w:val="FFFFFF"/>
          <w:sz w:val="24"/>
          <w:szCs w:val="24"/>
        </w:rPr>
        <w:t xml:space="preserve">  CALL NOW: Flowing Wells USD + La Cañada USD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C0C0C0" w:sz="1"/>
              <w:left w:val="single" w:color="C0C0C0" w:sz="1"/>
              <w:bottom w:val="single" w:color="C0C0C0" w:sz="1"/>
              <w:right w:val="single" w:color="C0C0C0" w:sz="1"/>
            </w:tcBorders>
            <w:shd w:fill="D6E4F0" w:val="clear"/>
            <w:tcMar>
              <w:top w:type="dxa" w:w="80"/>
              <w:left w:type="dxa" w:w="160"/>
              <w:bottom w:type="dxa" w:w="80"/>
              <w:right w:type="dxa" w:w="120"/>
            </w:tcMar>
          </w:tcPr>
          <w:p>
            <w:r>
              <w:rPr>
                <w:rFonts w:ascii="Arial" w:cs="Arial" w:eastAsia="Arial" w:hAnsi="Arial"/>
                <w:b/>
                <w:bCs/>
                <w:color w:val="1F3864"/>
                <w:sz w:val="24"/>
                <w:szCs w:val="24"/>
              </w:rPr>
              <w:t xml:space="preserve">Flowing Wells Unified SD</w:t>
            </w:r>
            <w:r>
              <w:rPr>
                <w:rFonts w:ascii="Arial" w:cs="Arial" w:eastAsia="Arial" w:hAnsi="Arial"/>
                <w:color w:val="666666"/>
                <w:sz w:val="22"/>
                <w:szCs w:val="22"/>
              </w:rPr>
              <w:t xml:space="preserve">  (AZ)</w:t>
            </w:r>
          </w:p>
          <w:p>
            <w:pPr>
              <w:spacing w:before="40"/>
            </w:pPr>
            <w:r>
              <w:rPr>
                <w:rFonts w:ascii="Arial" w:cs="Arial" w:eastAsia="Arial" w:hAnsi="Arial"/>
                <w:color w:val="444444"/>
                <w:sz w:val="20"/>
                <w:szCs w:val="20"/>
              </w:rPr>
              <w:t xml:space="preserve">Bond Amount: $30M  |  Passed: Nov 2025</w:t>
            </w:r>
          </w:p>
        </w:tc>
        <w:tc>
          <w:tcPr>
            <w:tcW w:type="dxa" w:w="2880"/>
            <w:tcBorders>
              <w:top w:val="single" w:color="C0C0C0" w:sz="1"/>
              <w:left w:val="single" w:color="C0C0C0" w:sz="1"/>
              <w:bottom w:val="single" w:color="C0C0C0" w:sz="1"/>
              <w:right w:val="single" w:color="C0C0C0" w:sz="1"/>
            </w:tcBorders>
            <w:shd w:fill="FFC7CE"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PRIORITY: CALL NOW</w:t>
            </w:r>
          </w:p>
        </w:tc>
      </w:tr>
      <w:tr>
        <w:tc>
          <w:tcPr>
            <w:tcW w:type="dxa" w:w="9360"/>
            <w:gridSpan w:val="2"/>
            <w:tcBorders>
              <w:top w:val="single" w:color="C0C0C0" w:sz="1"/>
              <w:left w:val="single" w:color="C0C0C0" w:sz="1"/>
              <w:bottom w:val="single" w:color="C0C0C0" w:sz="1"/>
              <w:right w:val="single" w:color="C0C0C0" w:sz="1"/>
            </w:tcBorders>
            <w:tcMar>
              <w:top w:type="dxa" w:w="80"/>
              <w:left w:type="dxa" w:w="160"/>
              <w:bottom w:type="dxa" w:w="80"/>
              <w:right w:type="dxa" w:w="120"/>
            </w:tcMar>
          </w:tcPr>
          <w:p>
            <w:r>
              <w:rPr>
                <w:rFonts w:ascii="Arial" w:cs="Arial" w:eastAsia="Arial" w:hAnsi="Arial"/>
                <w:b/>
                <w:bCs/>
                <w:color w:val="333333"/>
                <w:sz w:val="20"/>
                <w:szCs w:val="20"/>
              </w:rPr>
              <w:t xml:space="preserve">Bond language signals: </w:t>
            </w:r>
            <w:r>
              <w:rPr>
                <w:rFonts w:ascii="Arial" w:cs="Arial" w:eastAsia="Arial" w:hAnsi="Arial"/>
                <w:color w:val="333333"/>
                <w:sz w:val="20"/>
                <w:szCs w:val="20"/>
              </w:rPr>
              <w:t xml:space="preserve">secure entrances, camera systems, fencing, shatter-resistant glass, safety/security</w:t>
            </w:r>
          </w:p>
          <w:p>
            <w:r>
              <w:rPr>
                <w:rFonts w:ascii="Arial" w:cs="Arial" w:eastAsia="Arial" w:hAnsi="Arial"/>
                <w:b/>
                <w:bCs/>
                <w:color w:val="2E5FA3"/>
                <w:sz w:val="20"/>
                <w:szCs w:val="20"/>
              </w:rPr>
              <w:t xml:space="preserve">Proxess opportunity: </w:t>
            </w:r>
            <w:r>
              <w:rPr>
                <w:rFonts w:ascii="Arial" w:cs="Arial" w:eastAsia="Arial" w:hAnsi="Arial"/>
                <w:color w:val="333333"/>
                <w:sz w:val="20"/>
                <w:szCs w:val="20"/>
              </w:rPr>
              <w:t xml:space="preserve">Secure entrances are explicitly called out — high probability of vestibule redesign + electronic access control.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C0C0C0" w:sz="1"/>
              <w:left w:val="single" w:color="C0C0C0" w:sz="1"/>
              <w:bottom w:val="single" w:color="C0C0C0" w:sz="1"/>
              <w:right w:val="single" w:color="C0C0C0" w:sz="1"/>
            </w:tcBorders>
            <w:shd w:fill="EBF4FB" w:val="clear"/>
            <w:tcMar>
              <w:top w:type="dxa" w:w="80"/>
              <w:left w:type="dxa" w:w="160"/>
              <w:bottom w:type="dxa" w:w="80"/>
              <w:right w:type="dxa" w:w="120"/>
            </w:tcMar>
          </w:tcPr>
          <w:p>
            <w:r>
              <w:rPr>
                <w:rFonts w:ascii="Arial" w:cs="Arial" w:eastAsia="Arial" w:hAnsi="Arial"/>
                <w:b/>
                <w:bCs/>
                <w:color w:val="1F3864"/>
                <w:sz w:val="24"/>
                <w:szCs w:val="24"/>
              </w:rPr>
              <w:t xml:space="preserve">La Cañada Unified SD</w:t>
            </w:r>
            <w:r>
              <w:rPr>
                <w:rFonts w:ascii="Arial" w:cs="Arial" w:eastAsia="Arial" w:hAnsi="Arial"/>
                <w:color w:val="666666"/>
                <w:sz w:val="22"/>
                <w:szCs w:val="22"/>
              </w:rPr>
              <w:t xml:space="preserve">  (CA)</w:t>
            </w:r>
          </w:p>
          <w:p>
            <w:pPr>
              <w:spacing w:before="40"/>
            </w:pPr>
            <w:r>
              <w:rPr>
                <w:rFonts w:ascii="Arial" w:cs="Arial" w:eastAsia="Arial" w:hAnsi="Arial"/>
                <w:color w:val="444444"/>
                <w:sz w:val="20"/>
                <w:szCs w:val="20"/>
              </w:rPr>
              <w:t xml:space="preserve">Bond Amount: $163M  |  Passed: Jun 2026</w:t>
            </w:r>
          </w:p>
        </w:tc>
        <w:tc>
          <w:tcPr>
            <w:tcW w:type="dxa" w:w="2880"/>
            <w:tcBorders>
              <w:top w:val="single" w:color="C0C0C0" w:sz="1"/>
              <w:left w:val="single" w:color="C0C0C0" w:sz="1"/>
              <w:bottom w:val="single" w:color="C0C0C0" w:sz="1"/>
              <w:right w:val="single" w:color="C0C0C0" w:sz="1"/>
            </w:tcBorders>
            <w:shd w:fill="FFC7CE"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PRIORITY: CALL NOW</w:t>
            </w:r>
          </w:p>
        </w:tc>
      </w:tr>
      <w:tr>
        <w:tc>
          <w:tcPr>
            <w:tcW w:type="dxa" w:w="9360"/>
            <w:gridSpan w:val="2"/>
            <w:tcBorders>
              <w:top w:val="single" w:color="C0C0C0" w:sz="1"/>
              <w:left w:val="single" w:color="C0C0C0" w:sz="1"/>
              <w:bottom w:val="single" w:color="C0C0C0" w:sz="1"/>
              <w:right w:val="single" w:color="C0C0C0" w:sz="1"/>
            </w:tcBorders>
            <w:tcMar>
              <w:top w:type="dxa" w:w="80"/>
              <w:left w:type="dxa" w:w="160"/>
              <w:bottom w:type="dxa" w:w="80"/>
              <w:right w:type="dxa" w:w="120"/>
            </w:tcMar>
          </w:tcPr>
          <w:p>
            <w:r>
              <w:rPr>
                <w:rFonts w:ascii="Arial" w:cs="Arial" w:eastAsia="Arial" w:hAnsi="Arial"/>
                <w:b/>
                <w:bCs/>
                <w:color w:val="333333"/>
                <w:sz w:val="20"/>
                <w:szCs w:val="20"/>
              </w:rPr>
              <w:t xml:space="preserve">Bond language signals: </w:t>
            </w:r>
            <w:r>
              <w:rPr>
                <w:rFonts w:ascii="Arial" w:cs="Arial" w:eastAsia="Arial" w:hAnsi="Arial"/>
                <w:color w:val="333333"/>
                <w:sz w:val="20"/>
                <w:szCs w:val="20"/>
              </w:rPr>
              <w:t xml:space="preserve">campus security systems, intruder protection, cameras, fencing, emergency communications</w:t>
            </w:r>
          </w:p>
          <w:p>
            <w:r>
              <w:rPr>
                <w:rFonts w:ascii="Arial" w:cs="Arial" w:eastAsia="Arial" w:hAnsi="Arial"/>
                <w:b/>
                <w:bCs/>
                <w:color w:val="2E5FA3"/>
                <w:sz w:val="20"/>
                <w:szCs w:val="20"/>
              </w:rPr>
              <w:t xml:space="preserve">Proxess opportunity: </w:t>
            </w:r>
            <w:r>
              <w:rPr>
                <w:rFonts w:ascii="Arial" w:cs="Arial" w:eastAsia="Arial" w:hAnsi="Arial"/>
                <w:color w:val="333333"/>
                <w:sz w:val="20"/>
                <w:szCs w:val="20"/>
              </w:rPr>
              <w:t xml:space="preserve">'Intruder protection' and 'campus security systems' directly imply card readers, lockdown hardware, and visitor management.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C0C0C0" w:sz="1"/>
              <w:left w:val="single" w:color="C0C0C0" w:sz="1"/>
              <w:bottom w:val="single" w:color="C0C0C0" w:sz="1"/>
              <w:right w:val="single" w:color="C0C0C0" w:sz="1"/>
            </w:tcBorders>
            <w:shd w:fill="D6E4F0" w:val="clear"/>
            <w:tcMar>
              <w:top w:type="dxa" w:w="80"/>
              <w:left w:type="dxa" w:w="160"/>
              <w:bottom w:type="dxa" w:w="80"/>
              <w:right w:type="dxa" w:w="120"/>
            </w:tcMar>
          </w:tcPr>
          <w:p>
            <w:r>
              <w:rPr>
                <w:rFonts w:ascii="Arial" w:cs="Arial" w:eastAsia="Arial" w:hAnsi="Arial"/>
                <w:b/>
                <w:bCs/>
                <w:color w:val="1F3864"/>
                <w:sz w:val="24"/>
                <w:szCs w:val="24"/>
              </w:rPr>
              <w:t xml:space="preserve">Compton Unified SD</w:t>
            </w:r>
            <w:r>
              <w:rPr>
                <w:rFonts w:ascii="Arial" w:cs="Arial" w:eastAsia="Arial" w:hAnsi="Arial"/>
                <w:color w:val="666666"/>
                <w:sz w:val="22"/>
                <w:szCs w:val="22"/>
              </w:rPr>
              <w:t xml:space="preserve">  (CA)</w:t>
            </w:r>
          </w:p>
          <w:p>
            <w:pPr>
              <w:spacing w:before="40"/>
            </w:pPr>
            <w:r>
              <w:rPr>
                <w:rFonts w:ascii="Arial" w:cs="Arial" w:eastAsia="Arial" w:hAnsi="Arial"/>
                <w:color w:val="444444"/>
                <w:sz w:val="20"/>
                <w:szCs w:val="20"/>
              </w:rPr>
              <w:t xml:space="preserve">Bond Amount: $360M  |  Passed: Jun 2026</w:t>
            </w:r>
          </w:p>
        </w:tc>
        <w:tc>
          <w:tcPr>
            <w:tcW w:type="dxa" w:w="2880"/>
            <w:tcBorders>
              <w:top w:val="single" w:color="C0C0C0" w:sz="1"/>
              <w:left w:val="single" w:color="C0C0C0" w:sz="1"/>
              <w:bottom w:val="single" w:color="C0C0C0" w:sz="1"/>
              <w:right w:val="single" w:color="C0C0C0" w:sz="1"/>
            </w:tcBorders>
            <w:shd w:fill="C6EFCE" w:val="clear"/>
            <w:tcMar>
              <w:top w:type="dxa" w:w="80"/>
              <w:left w:type="dxa" w:w="120"/>
              <w:bottom w:type="dxa" w:w="80"/>
              <w:right w:type="dxa" w:w="120"/>
            </w:tcMar>
            <w:vAlign w:val="center"/>
          </w:tcPr>
          <w:p>
            <w:pPr>
              <w:jc w:val="center"/>
            </w:pPr>
            <w:r>
              <w:rPr>
                <w:rFonts w:ascii="Arial" w:cs="Arial" w:eastAsia="Arial" w:hAnsi="Arial"/>
                <w:b/>
                <w:bCs/>
                <w:color w:val="2E5FA3"/>
                <w:sz w:val="20"/>
                <w:szCs w:val="20"/>
              </w:rPr>
              <w:t xml:space="preserve">PRIORITY: HIGH</w:t>
            </w:r>
          </w:p>
        </w:tc>
      </w:tr>
      <w:tr>
        <w:tc>
          <w:tcPr>
            <w:tcW w:type="dxa" w:w="9360"/>
            <w:gridSpan w:val="2"/>
            <w:tcBorders>
              <w:top w:val="single" w:color="C0C0C0" w:sz="1"/>
              <w:left w:val="single" w:color="C0C0C0" w:sz="1"/>
              <w:bottom w:val="single" w:color="C0C0C0" w:sz="1"/>
              <w:right w:val="single" w:color="C0C0C0" w:sz="1"/>
            </w:tcBorders>
            <w:tcMar>
              <w:top w:type="dxa" w:w="80"/>
              <w:left w:type="dxa" w:w="160"/>
              <w:bottom w:type="dxa" w:w="80"/>
              <w:right w:type="dxa" w:w="120"/>
            </w:tcMar>
          </w:tcPr>
          <w:p>
            <w:r>
              <w:rPr>
                <w:rFonts w:ascii="Arial" w:cs="Arial" w:eastAsia="Arial" w:hAnsi="Arial"/>
                <w:b/>
                <w:bCs/>
                <w:color w:val="333333"/>
                <w:sz w:val="20"/>
                <w:szCs w:val="20"/>
              </w:rPr>
              <w:t xml:space="preserve">Bond language signals: </w:t>
            </w:r>
            <w:r>
              <w:rPr>
                <w:rFonts w:ascii="Arial" w:cs="Arial" w:eastAsia="Arial" w:hAnsi="Arial"/>
                <w:color w:val="333333"/>
                <w:sz w:val="20"/>
                <w:szCs w:val="20"/>
              </w:rPr>
              <w:t xml:space="preserve">security cameras, safety monitoring systems</w:t>
            </w:r>
          </w:p>
          <w:p>
            <w:r>
              <w:rPr>
                <w:rFonts w:ascii="Arial" w:cs="Arial" w:eastAsia="Arial" w:hAnsi="Arial"/>
                <w:b/>
                <w:bCs/>
                <w:color w:val="2E5FA3"/>
                <w:sz w:val="20"/>
                <w:szCs w:val="20"/>
              </w:rPr>
              <w:t xml:space="preserve">Proxess opportunity: </w:t>
            </w:r>
            <w:r>
              <w:rPr>
                <w:rFonts w:ascii="Arial" w:cs="Arial" w:eastAsia="Arial" w:hAnsi="Arial"/>
                <w:color w:val="333333"/>
                <w:sz w:val="20"/>
                <w:szCs w:val="20"/>
              </w:rPr>
              <w:t xml:space="preserve">Large bond with safety systems scope. Multi-school district with aging infrastructure — high need for access control upgrades.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C0C0C0" w:sz="1"/>
              <w:left w:val="single" w:color="C0C0C0" w:sz="1"/>
              <w:bottom w:val="single" w:color="C0C0C0" w:sz="1"/>
              <w:right w:val="single" w:color="C0C0C0" w:sz="1"/>
            </w:tcBorders>
            <w:shd w:fill="EBF4FB" w:val="clear"/>
            <w:tcMar>
              <w:top w:type="dxa" w:w="80"/>
              <w:left w:type="dxa" w:w="160"/>
              <w:bottom w:type="dxa" w:w="80"/>
              <w:right w:type="dxa" w:w="120"/>
            </w:tcMar>
          </w:tcPr>
          <w:p>
            <w:r>
              <w:rPr>
                <w:rFonts w:ascii="Arial" w:cs="Arial" w:eastAsia="Arial" w:hAnsi="Arial"/>
                <w:b/>
                <w:bCs/>
                <w:color w:val="1F3864"/>
                <w:sz w:val="24"/>
                <w:szCs w:val="24"/>
              </w:rPr>
              <w:t xml:space="preserve">Chandler Unified SD</w:t>
            </w:r>
            <w:r>
              <w:rPr>
                <w:rFonts w:ascii="Arial" w:cs="Arial" w:eastAsia="Arial" w:hAnsi="Arial"/>
                <w:color w:val="666666"/>
                <w:sz w:val="22"/>
                <w:szCs w:val="22"/>
              </w:rPr>
              <w:t xml:space="preserve">  (AZ)</w:t>
            </w:r>
          </w:p>
          <w:p>
            <w:pPr>
              <w:spacing w:before="40"/>
            </w:pPr>
            <w:r>
              <w:rPr>
                <w:rFonts w:ascii="Arial" w:cs="Arial" w:eastAsia="Arial" w:hAnsi="Arial"/>
                <w:color w:val="444444"/>
                <w:sz w:val="20"/>
                <w:szCs w:val="20"/>
              </w:rPr>
              <w:t xml:space="preserve">Bond Amount: $271.5M  |  Passed: Nov 2025</w:t>
            </w:r>
          </w:p>
        </w:tc>
        <w:tc>
          <w:tcPr>
            <w:tcW w:type="dxa" w:w="2880"/>
            <w:tcBorders>
              <w:top w:val="single" w:color="C0C0C0" w:sz="1"/>
              <w:left w:val="single" w:color="C0C0C0" w:sz="1"/>
              <w:bottom w:val="single" w:color="C0C0C0" w:sz="1"/>
              <w:right w:val="single" w:color="C0C0C0" w:sz="1"/>
            </w:tcBorders>
            <w:shd w:fill="C6EFCE" w:val="clear"/>
            <w:tcMar>
              <w:top w:type="dxa" w:w="80"/>
              <w:left w:type="dxa" w:w="120"/>
              <w:bottom w:type="dxa" w:w="80"/>
              <w:right w:type="dxa" w:w="120"/>
            </w:tcMar>
            <w:vAlign w:val="center"/>
          </w:tcPr>
          <w:p>
            <w:pPr>
              <w:jc w:val="center"/>
            </w:pPr>
            <w:r>
              <w:rPr>
                <w:rFonts w:ascii="Arial" w:cs="Arial" w:eastAsia="Arial" w:hAnsi="Arial"/>
                <w:b/>
                <w:bCs/>
                <w:color w:val="2E5FA3"/>
                <w:sz w:val="20"/>
                <w:szCs w:val="20"/>
              </w:rPr>
              <w:t xml:space="preserve">PRIORITY: HIGH</w:t>
            </w:r>
          </w:p>
        </w:tc>
      </w:tr>
      <w:tr>
        <w:tc>
          <w:tcPr>
            <w:tcW w:type="dxa" w:w="9360"/>
            <w:gridSpan w:val="2"/>
            <w:tcBorders>
              <w:top w:val="single" w:color="C0C0C0" w:sz="1"/>
              <w:left w:val="single" w:color="C0C0C0" w:sz="1"/>
              <w:bottom w:val="single" w:color="C0C0C0" w:sz="1"/>
              <w:right w:val="single" w:color="C0C0C0" w:sz="1"/>
            </w:tcBorders>
            <w:tcMar>
              <w:top w:type="dxa" w:w="80"/>
              <w:left w:type="dxa" w:w="160"/>
              <w:bottom w:type="dxa" w:w="80"/>
              <w:right w:type="dxa" w:w="120"/>
            </w:tcMar>
          </w:tcPr>
          <w:p>
            <w:r>
              <w:rPr>
                <w:rFonts w:ascii="Arial" w:cs="Arial" w:eastAsia="Arial" w:hAnsi="Arial"/>
                <w:b/>
                <w:bCs/>
                <w:color w:val="333333"/>
                <w:sz w:val="20"/>
                <w:szCs w:val="20"/>
              </w:rPr>
              <w:t xml:space="preserve">Bond language signals: </w:t>
            </w:r>
            <w:r>
              <w:rPr>
                <w:rFonts w:ascii="Arial" w:cs="Arial" w:eastAsia="Arial" w:hAnsi="Arial"/>
                <w:color w:val="333333"/>
                <w:sz w:val="20"/>
                <w:szCs w:val="20"/>
              </w:rPr>
              <w:t xml:space="preserve">security cameras, safety monitoring systems, fire protection</w:t>
            </w:r>
          </w:p>
          <w:p>
            <w:r>
              <w:rPr>
                <w:rFonts w:ascii="Arial" w:cs="Arial" w:eastAsia="Arial" w:hAnsi="Arial"/>
                <w:b/>
                <w:bCs/>
                <w:color w:val="2E5FA3"/>
                <w:sz w:val="20"/>
                <w:szCs w:val="20"/>
              </w:rPr>
              <w:t xml:space="preserve">Proxess opportunity: </w:t>
            </w:r>
            <w:r>
              <w:rPr>
                <w:rFonts w:ascii="Arial" w:cs="Arial" w:eastAsia="Arial" w:hAnsi="Arial"/>
                <w:color w:val="333333"/>
                <w:sz w:val="20"/>
                <w:szCs w:val="20"/>
              </w:rPr>
              <w:t xml:space="preserve">Large AZ district with explicit safety/security scope across multiple campuses.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C0C0C0" w:sz="1"/>
              <w:left w:val="single" w:color="C0C0C0" w:sz="1"/>
              <w:bottom w:val="single" w:color="C0C0C0" w:sz="1"/>
              <w:right w:val="single" w:color="C0C0C0" w:sz="1"/>
            </w:tcBorders>
            <w:shd w:fill="D6E4F0" w:val="clear"/>
            <w:tcMar>
              <w:top w:type="dxa" w:w="80"/>
              <w:left w:type="dxa" w:w="160"/>
              <w:bottom w:type="dxa" w:w="80"/>
              <w:right w:type="dxa" w:w="120"/>
            </w:tcMar>
          </w:tcPr>
          <w:p>
            <w:r>
              <w:rPr>
                <w:rFonts w:ascii="Arial" w:cs="Arial" w:eastAsia="Arial" w:hAnsi="Arial"/>
                <w:b/>
                <w:bCs/>
                <w:color w:val="1F3864"/>
                <w:sz w:val="24"/>
                <w:szCs w:val="24"/>
              </w:rPr>
              <w:t xml:space="preserve">Lawndale Elementary SD</w:t>
            </w:r>
            <w:r>
              <w:rPr>
                <w:rFonts w:ascii="Arial" w:cs="Arial" w:eastAsia="Arial" w:hAnsi="Arial"/>
                <w:color w:val="666666"/>
                <w:sz w:val="22"/>
                <w:szCs w:val="22"/>
              </w:rPr>
              <w:t xml:space="preserve">  (CA)</w:t>
            </w:r>
          </w:p>
          <w:p>
            <w:pPr>
              <w:spacing w:before="40"/>
            </w:pPr>
            <w:r>
              <w:rPr>
                <w:rFonts w:ascii="Arial" w:cs="Arial" w:eastAsia="Arial" w:hAnsi="Arial"/>
                <w:color w:val="444444"/>
                <w:sz w:val="20"/>
                <w:szCs w:val="20"/>
              </w:rPr>
              <w:t xml:space="preserve">Bond Amount: $42M  |  Passed: Jun 2026</w:t>
            </w:r>
          </w:p>
        </w:tc>
        <w:tc>
          <w:tcPr>
            <w:tcW w:type="dxa" w:w="2880"/>
            <w:tcBorders>
              <w:top w:val="single" w:color="C0C0C0" w:sz="1"/>
              <w:left w:val="single" w:color="C0C0C0" w:sz="1"/>
              <w:bottom w:val="single" w:color="C0C0C0" w:sz="1"/>
              <w:right w:val="single" w:color="C0C0C0" w:sz="1"/>
            </w:tcBorders>
            <w:shd w:fill="C6EFCE" w:val="clear"/>
            <w:tcMar>
              <w:top w:type="dxa" w:w="80"/>
              <w:left w:type="dxa" w:w="120"/>
              <w:bottom w:type="dxa" w:w="80"/>
              <w:right w:type="dxa" w:w="120"/>
            </w:tcMar>
            <w:vAlign w:val="center"/>
          </w:tcPr>
          <w:p>
            <w:pPr>
              <w:jc w:val="center"/>
            </w:pPr>
            <w:r>
              <w:rPr>
                <w:rFonts w:ascii="Arial" w:cs="Arial" w:eastAsia="Arial" w:hAnsi="Arial"/>
                <w:b/>
                <w:bCs/>
                <w:color w:val="2E5FA3"/>
                <w:sz w:val="20"/>
                <w:szCs w:val="20"/>
              </w:rPr>
              <w:t xml:space="preserve">PRIORITY: HIGH</w:t>
            </w:r>
          </w:p>
        </w:tc>
      </w:tr>
      <w:tr>
        <w:tc>
          <w:tcPr>
            <w:tcW w:type="dxa" w:w="9360"/>
            <w:gridSpan w:val="2"/>
            <w:tcBorders>
              <w:top w:val="single" w:color="C0C0C0" w:sz="1"/>
              <w:left w:val="single" w:color="C0C0C0" w:sz="1"/>
              <w:bottom w:val="single" w:color="C0C0C0" w:sz="1"/>
              <w:right w:val="single" w:color="C0C0C0" w:sz="1"/>
            </w:tcBorders>
            <w:tcMar>
              <w:top w:type="dxa" w:w="80"/>
              <w:left w:type="dxa" w:w="160"/>
              <w:bottom w:type="dxa" w:w="80"/>
              <w:right w:type="dxa" w:w="120"/>
            </w:tcMar>
          </w:tcPr>
          <w:p>
            <w:r>
              <w:rPr>
                <w:rFonts w:ascii="Arial" w:cs="Arial" w:eastAsia="Arial" w:hAnsi="Arial"/>
                <w:b/>
                <w:bCs/>
                <w:color w:val="333333"/>
                <w:sz w:val="20"/>
                <w:szCs w:val="20"/>
              </w:rPr>
              <w:t xml:space="preserve">Bond language signals: </w:t>
            </w:r>
            <w:r>
              <w:rPr>
                <w:rFonts w:ascii="Arial" w:cs="Arial" w:eastAsia="Arial" w:hAnsi="Arial"/>
                <w:color w:val="333333"/>
                <w:sz w:val="20"/>
                <w:szCs w:val="20"/>
              </w:rPr>
              <w:t xml:space="preserve">security systems, fire systems, public alert systems</w:t>
            </w:r>
          </w:p>
          <w:p>
            <w:r>
              <w:rPr>
                <w:rFonts w:ascii="Arial" w:cs="Arial" w:eastAsia="Arial" w:hAnsi="Arial"/>
                <w:b/>
                <w:bCs/>
                <w:color w:val="2E5FA3"/>
                <w:sz w:val="20"/>
                <w:szCs w:val="20"/>
              </w:rPr>
              <w:t xml:space="preserve">Proxess opportunity: </w:t>
            </w:r>
            <w:r>
              <w:rPr>
                <w:rFonts w:ascii="Arial" w:cs="Arial" w:eastAsia="Arial" w:hAnsi="Arial"/>
                <w:color w:val="333333"/>
                <w:sz w:val="20"/>
                <w:szCs w:val="20"/>
              </w:rPr>
              <w:t xml:space="preserve">Security systems scope in a relatively small bond = concentrated spend, faster procurement cycle.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C0C0C0" w:sz="1"/>
              <w:left w:val="single" w:color="C0C0C0" w:sz="1"/>
              <w:bottom w:val="single" w:color="C0C0C0" w:sz="1"/>
              <w:right w:val="single" w:color="C0C0C0" w:sz="1"/>
            </w:tcBorders>
            <w:shd w:fill="EBF4FB" w:val="clear"/>
            <w:tcMar>
              <w:top w:type="dxa" w:w="80"/>
              <w:left w:type="dxa" w:w="160"/>
              <w:bottom w:type="dxa" w:w="80"/>
              <w:right w:type="dxa" w:w="120"/>
            </w:tcMar>
          </w:tcPr>
          <w:p>
            <w:r>
              <w:rPr>
                <w:rFonts w:ascii="Arial" w:cs="Arial" w:eastAsia="Arial" w:hAnsi="Arial"/>
                <w:b/>
                <w:bCs/>
                <w:color w:val="1F3864"/>
                <w:sz w:val="24"/>
                <w:szCs w:val="24"/>
              </w:rPr>
              <w:t xml:space="preserve">Twin Hills Union Elementary SD</w:t>
            </w:r>
            <w:r>
              <w:rPr>
                <w:rFonts w:ascii="Arial" w:cs="Arial" w:eastAsia="Arial" w:hAnsi="Arial"/>
                <w:color w:val="666666"/>
                <w:sz w:val="22"/>
                <w:szCs w:val="22"/>
              </w:rPr>
              <w:t xml:space="preserve">  (CA)</w:t>
            </w:r>
          </w:p>
          <w:p>
            <w:pPr>
              <w:spacing w:before="40"/>
            </w:pPr>
            <w:r>
              <w:rPr>
                <w:rFonts w:ascii="Arial" w:cs="Arial" w:eastAsia="Arial" w:hAnsi="Arial"/>
                <w:color w:val="444444"/>
                <w:sz w:val="20"/>
                <w:szCs w:val="20"/>
              </w:rPr>
              <w:t xml:space="preserve">Bond Amount: $14M  |  Passed: Jun 2026</w:t>
            </w:r>
          </w:p>
        </w:tc>
        <w:tc>
          <w:tcPr>
            <w:tcW w:type="dxa" w:w="2880"/>
            <w:tcBorders>
              <w:top w:val="single" w:color="C0C0C0" w:sz="1"/>
              <w:left w:val="single" w:color="C0C0C0" w:sz="1"/>
              <w:bottom w:val="single" w:color="C0C0C0" w:sz="1"/>
              <w:right w:val="single" w:color="C0C0C0" w:sz="1"/>
            </w:tcBorders>
            <w:shd w:fill="C6EFCE" w:val="clear"/>
            <w:tcMar>
              <w:top w:type="dxa" w:w="80"/>
              <w:left w:type="dxa" w:w="120"/>
              <w:bottom w:type="dxa" w:w="80"/>
              <w:right w:type="dxa" w:w="120"/>
            </w:tcMar>
            <w:vAlign w:val="center"/>
          </w:tcPr>
          <w:p>
            <w:pPr>
              <w:jc w:val="center"/>
            </w:pPr>
            <w:r>
              <w:rPr>
                <w:rFonts w:ascii="Arial" w:cs="Arial" w:eastAsia="Arial" w:hAnsi="Arial"/>
                <w:b/>
                <w:bCs/>
                <w:color w:val="2E5FA3"/>
                <w:sz w:val="20"/>
                <w:szCs w:val="20"/>
              </w:rPr>
              <w:t xml:space="preserve">PRIORITY: HIGH</w:t>
            </w:r>
          </w:p>
        </w:tc>
      </w:tr>
      <w:tr>
        <w:tc>
          <w:tcPr>
            <w:tcW w:type="dxa" w:w="9360"/>
            <w:gridSpan w:val="2"/>
            <w:tcBorders>
              <w:top w:val="single" w:color="C0C0C0" w:sz="1"/>
              <w:left w:val="single" w:color="C0C0C0" w:sz="1"/>
              <w:bottom w:val="single" w:color="C0C0C0" w:sz="1"/>
              <w:right w:val="single" w:color="C0C0C0" w:sz="1"/>
            </w:tcBorders>
            <w:tcMar>
              <w:top w:type="dxa" w:w="80"/>
              <w:left w:type="dxa" w:w="160"/>
              <w:bottom w:type="dxa" w:w="80"/>
              <w:right w:type="dxa" w:w="120"/>
            </w:tcMar>
          </w:tcPr>
          <w:p>
            <w:r>
              <w:rPr>
                <w:rFonts w:ascii="Arial" w:cs="Arial" w:eastAsia="Arial" w:hAnsi="Arial"/>
                <w:b/>
                <w:bCs/>
                <w:color w:val="333333"/>
                <w:sz w:val="20"/>
                <w:szCs w:val="20"/>
              </w:rPr>
              <w:t xml:space="preserve">Bond language signals: </w:t>
            </w:r>
            <w:r>
              <w:rPr>
                <w:rFonts w:ascii="Arial" w:cs="Arial" w:eastAsia="Arial" w:hAnsi="Arial"/>
                <w:color w:val="333333"/>
                <w:sz w:val="20"/>
                <w:szCs w:val="20"/>
              </w:rPr>
              <w:t xml:space="preserve">safety/security upgrades</w:t>
            </w:r>
          </w:p>
          <w:p>
            <w:r>
              <w:rPr>
                <w:rFonts w:ascii="Arial" w:cs="Arial" w:eastAsia="Arial" w:hAnsi="Arial"/>
                <w:b/>
                <w:bCs/>
                <w:color w:val="2E5FA3"/>
                <w:sz w:val="20"/>
                <w:szCs w:val="20"/>
              </w:rPr>
              <w:t xml:space="preserve">Proxess opportunity: </w:t>
            </w:r>
            <w:r>
              <w:rPr>
                <w:rFonts w:ascii="Arial" w:cs="Arial" w:eastAsia="Arial" w:hAnsi="Arial"/>
                <w:color w:val="333333"/>
                <w:sz w:val="20"/>
                <w:szCs w:val="20"/>
              </w:rPr>
              <w:t xml:space="preserve">Dedicated safety/security line item. Small district = one or two campuses, faster to close.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C0C0C0" w:sz="1"/>
              <w:left w:val="single" w:color="C0C0C0" w:sz="1"/>
              <w:bottom w:val="single" w:color="C0C0C0" w:sz="1"/>
              <w:right w:val="single" w:color="C0C0C0" w:sz="1"/>
            </w:tcBorders>
            <w:shd w:fill="D6E4F0" w:val="clear"/>
            <w:tcMar>
              <w:top w:type="dxa" w:w="80"/>
              <w:left w:type="dxa" w:w="160"/>
              <w:bottom w:type="dxa" w:w="80"/>
              <w:right w:type="dxa" w:w="120"/>
            </w:tcMar>
          </w:tcPr>
          <w:p>
            <w:r>
              <w:rPr>
                <w:rFonts w:ascii="Arial" w:cs="Arial" w:eastAsia="Arial" w:hAnsi="Arial"/>
                <w:b/>
                <w:bCs/>
                <w:color w:val="1F3864"/>
                <w:sz w:val="24"/>
                <w:szCs w:val="24"/>
              </w:rPr>
              <w:t xml:space="preserve">Tempe School District</w:t>
            </w:r>
            <w:r>
              <w:rPr>
                <w:rFonts w:ascii="Arial" w:cs="Arial" w:eastAsia="Arial" w:hAnsi="Arial"/>
                <w:color w:val="666666"/>
                <w:sz w:val="22"/>
                <w:szCs w:val="22"/>
              </w:rPr>
              <w:t xml:space="preserve">  (AZ)</w:t>
            </w:r>
          </w:p>
          <w:p>
            <w:pPr>
              <w:spacing w:before="40"/>
            </w:pPr>
            <w:r>
              <w:rPr>
                <w:rFonts w:ascii="Arial" w:cs="Arial" w:eastAsia="Arial" w:hAnsi="Arial"/>
                <w:color w:val="444444"/>
                <w:sz w:val="20"/>
                <w:szCs w:val="20"/>
              </w:rPr>
              <w:t xml:space="preserve">Bond Amount: $196.5M  |  Passed: Nov 2025</w:t>
            </w:r>
          </w:p>
        </w:tc>
        <w:tc>
          <w:tcPr>
            <w:tcW w:type="dxa" w:w="2880"/>
            <w:tcBorders>
              <w:top w:val="single" w:color="C0C0C0" w:sz="1"/>
              <w:left w:val="single" w:color="C0C0C0" w:sz="1"/>
              <w:bottom w:val="single" w:color="C0C0C0" w:sz="1"/>
              <w:right w:val="single" w:color="C0C0C0" w:sz="1"/>
            </w:tcBorders>
            <w:shd w:fill="C6EFCE" w:val="clear"/>
            <w:tcMar>
              <w:top w:type="dxa" w:w="80"/>
              <w:left w:type="dxa" w:w="120"/>
              <w:bottom w:type="dxa" w:w="80"/>
              <w:right w:type="dxa" w:w="120"/>
            </w:tcMar>
            <w:vAlign w:val="center"/>
          </w:tcPr>
          <w:p>
            <w:pPr>
              <w:jc w:val="center"/>
            </w:pPr>
            <w:r>
              <w:rPr>
                <w:rFonts w:ascii="Arial" w:cs="Arial" w:eastAsia="Arial" w:hAnsi="Arial"/>
                <w:b/>
                <w:bCs/>
                <w:color w:val="2E5FA3"/>
                <w:sz w:val="20"/>
                <w:szCs w:val="20"/>
              </w:rPr>
              <w:t xml:space="preserve">PRIORITY: HIGH</w:t>
            </w:r>
          </w:p>
        </w:tc>
      </w:tr>
      <w:tr>
        <w:tc>
          <w:tcPr>
            <w:tcW w:type="dxa" w:w="9360"/>
            <w:gridSpan w:val="2"/>
            <w:tcBorders>
              <w:top w:val="single" w:color="C0C0C0" w:sz="1"/>
              <w:left w:val="single" w:color="C0C0C0" w:sz="1"/>
              <w:bottom w:val="single" w:color="C0C0C0" w:sz="1"/>
              <w:right w:val="single" w:color="C0C0C0" w:sz="1"/>
            </w:tcBorders>
            <w:tcMar>
              <w:top w:type="dxa" w:w="80"/>
              <w:left w:type="dxa" w:w="160"/>
              <w:bottom w:type="dxa" w:w="80"/>
              <w:right w:type="dxa" w:w="120"/>
            </w:tcMar>
          </w:tcPr>
          <w:p>
            <w:r>
              <w:rPr>
                <w:rFonts w:ascii="Arial" w:cs="Arial" w:eastAsia="Arial" w:hAnsi="Arial"/>
                <w:b/>
                <w:bCs/>
                <w:color w:val="333333"/>
                <w:sz w:val="20"/>
                <w:szCs w:val="20"/>
              </w:rPr>
              <w:t xml:space="preserve">Bond language signals: </w:t>
            </w:r>
            <w:r>
              <w:rPr>
                <w:rFonts w:ascii="Arial" w:cs="Arial" w:eastAsia="Arial" w:hAnsi="Arial"/>
                <w:color w:val="333333"/>
                <w:sz w:val="20"/>
                <w:szCs w:val="20"/>
              </w:rPr>
              <w:t xml:space="preserve">safety/security improvements</w:t>
            </w:r>
          </w:p>
          <w:p>
            <w:r>
              <w:rPr>
                <w:rFonts w:ascii="Arial" w:cs="Arial" w:eastAsia="Arial" w:hAnsi="Arial"/>
                <w:b/>
                <w:bCs/>
                <w:color w:val="2E5FA3"/>
                <w:sz w:val="20"/>
                <w:szCs w:val="20"/>
              </w:rPr>
              <w:t xml:space="preserve">Proxess opportunity: </w:t>
            </w:r>
            <w:r>
              <w:rPr>
                <w:rFonts w:ascii="Arial" w:cs="Arial" w:eastAsia="Arial" w:hAnsi="Arial"/>
                <w:color w:val="333333"/>
                <w:sz w:val="20"/>
                <w:szCs w:val="20"/>
              </w:rPr>
              <w:t xml:space="preserve">Major AZ metro district with significant bond. Safety improvements language covers access control.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C0C0C0" w:sz="1"/>
              <w:left w:val="single" w:color="C0C0C0" w:sz="1"/>
              <w:bottom w:val="single" w:color="C0C0C0" w:sz="1"/>
              <w:right w:val="single" w:color="C0C0C0" w:sz="1"/>
            </w:tcBorders>
            <w:shd w:fill="EBF4FB" w:val="clear"/>
            <w:tcMar>
              <w:top w:type="dxa" w:w="80"/>
              <w:left w:type="dxa" w:w="160"/>
              <w:bottom w:type="dxa" w:w="80"/>
              <w:right w:type="dxa" w:w="120"/>
            </w:tcMar>
          </w:tcPr>
          <w:p>
            <w:r>
              <w:rPr>
                <w:rFonts w:ascii="Arial" w:cs="Arial" w:eastAsia="Arial" w:hAnsi="Arial"/>
                <w:b/>
                <w:bCs/>
                <w:color w:val="1F3864"/>
                <w:sz w:val="24"/>
                <w:szCs w:val="24"/>
              </w:rPr>
              <w:t xml:space="preserve">Weed Union Elementary SD</w:t>
            </w:r>
            <w:r>
              <w:rPr>
                <w:rFonts w:ascii="Arial" w:cs="Arial" w:eastAsia="Arial" w:hAnsi="Arial"/>
                <w:color w:val="666666"/>
                <w:sz w:val="22"/>
                <w:szCs w:val="22"/>
              </w:rPr>
              <w:t xml:space="preserve">  (CA)</w:t>
            </w:r>
          </w:p>
          <w:p>
            <w:pPr>
              <w:spacing w:before="40"/>
            </w:pPr>
            <w:r>
              <w:rPr>
                <w:rFonts w:ascii="Arial" w:cs="Arial" w:eastAsia="Arial" w:hAnsi="Arial"/>
                <w:color w:val="444444"/>
                <w:sz w:val="20"/>
                <w:szCs w:val="20"/>
              </w:rPr>
              <w:t xml:space="preserve">Bond Amount: $4.9M  |  Passed: Jun 2026</w:t>
            </w:r>
          </w:p>
        </w:tc>
        <w:tc>
          <w:tcPr>
            <w:tcW w:type="dxa" w:w="2880"/>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jc w:val="center"/>
            </w:pPr>
            <w:r>
              <w:rPr>
                <w:rFonts w:ascii="Arial" w:cs="Arial" w:eastAsia="Arial" w:hAnsi="Arial"/>
                <w:b/>
                <w:bCs/>
                <w:color w:val="666666"/>
                <w:sz w:val="20"/>
                <w:szCs w:val="20"/>
              </w:rPr>
              <w:t xml:space="preserve">PRIORITY: MEDIUM</w:t>
            </w:r>
          </w:p>
        </w:tc>
      </w:tr>
      <w:tr>
        <w:tc>
          <w:tcPr>
            <w:tcW w:type="dxa" w:w="9360"/>
            <w:gridSpan w:val="2"/>
            <w:tcBorders>
              <w:top w:val="single" w:color="C0C0C0" w:sz="1"/>
              <w:left w:val="single" w:color="C0C0C0" w:sz="1"/>
              <w:bottom w:val="single" w:color="C0C0C0" w:sz="1"/>
              <w:right w:val="single" w:color="C0C0C0" w:sz="1"/>
            </w:tcBorders>
            <w:tcMar>
              <w:top w:type="dxa" w:w="80"/>
              <w:left w:type="dxa" w:w="160"/>
              <w:bottom w:type="dxa" w:w="80"/>
              <w:right w:type="dxa" w:w="120"/>
            </w:tcMar>
          </w:tcPr>
          <w:p>
            <w:r>
              <w:rPr>
                <w:rFonts w:ascii="Arial" w:cs="Arial" w:eastAsia="Arial" w:hAnsi="Arial"/>
                <w:b/>
                <w:bCs/>
                <w:color w:val="333333"/>
                <w:sz w:val="20"/>
                <w:szCs w:val="20"/>
              </w:rPr>
              <w:t xml:space="preserve">Bond language signals: </w:t>
            </w:r>
            <w:r>
              <w:rPr>
                <w:rFonts w:ascii="Arial" w:cs="Arial" w:eastAsia="Arial" w:hAnsi="Arial"/>
                <w:color w:val="333333"/>
                <w:sz w:val="20"/>
                <w:szCs w:val="20"/>
              </w:rPr>
              <w:t xml:space="preserve">safety/security</w:t>
            </w:r>
          </w:p>
          <w:p>
            <w:r>
              <w:rPr>
                <w:rFonts w:ascii="Arial" w:cs="Arial" w:eastAsia="Arial" w:hAnsi="Arial"/>
                <w:b/>
                <w:bCs/>
                <w:color w:val="2E5FA3"/>
                <w:sz w:val="20"/>
                <w:szCs w:val="20"/>
              </w:rPr>
              <w:t xml:space="preserve">Proxess opportunity: </w:t>
            </w:r>
            <w:r>
              <w:rPr>
                <w:rFonts w:ascii="Arial" w:cs="Arial" w:eastAsia="Arial" w:hAnsi="Arial"/>
                <w:color w:val="333333"/>
                <w:sz w:val="20"/>
                <w:szCs w:val="20"/>
              </w:rPr>
              <w:t xml:space="preserve">Small rural district — if security is in-scope, Proxess will have limited competition.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C0C0C0" w:sz="1"/>
              <w:left w:val="single" w:color="C0C0C0" w:sz="1"/>
              <w:bottom w:val="single" w:color="C0C0C0" w:sz="1"/>
              <w:right w:val="single" w:color="C0C0C0" w:sz="1"/>
            </w:tcBorders>
            <w:shd w:fill="D6E4F0" w:val="clear"/>
            <w:tcMar>
              <w:top w:type="dxa" w:w="80"/>
              <w:left w:type="dxa" w:w="160"/>
              <w:bottom w:type="dxa" w:w="80"/>
              <w:right w:type="dxa" w:w="120"/>
            </w:tcMar>
          </w:tcPr>
          <w:p>
            <w:r>
              <w:rPr>
                <w:rFonts w:ascii="Arial" w:cs="Arial" w:eastAsia="Arial" w:hAnsi="Arial"/>
                <w:b/>
                <w:bCs/>
                <w:color w:val="1F3864"/>
                <w:sz w:val="24"/>
                <w:szCs w:val="24"/>
              </w:rPr>
              <w:t xml:space="preserve">Sulphur Springs Union SD</w:t>
            </w:r>
            <w:r>
              <w:rPr>
                <w:rFonts w:ascii="Arial" w:cs="Arial" w:eastAsia="Arial" w:hAnsi="Arial"/>
                <w:color w:val="666666"/>
                <w:sz w:val="22"/>
                <w:szCs w:val="22"/>
              </w:rPr>
              <w:t xml:space="preserve">  (CA)</w:t>
            </w:r>
          </w:p>
          <w:p>
            <w:pPr>
              <w:spacing w:before="40"/>
            </w:pPr>
            <w:r>
              <w:rPr>
                <w:rFonts w:ascii="Arial" w:cs="Arial" w:eastAsia="Arial" w:hAnsi="Arial"/>
                <w:color w:val="444444"/>
                <w:sz w:val="20"/>
                <w:szCs w:val="20"/>
              </w:rPr>
              <w:t xml:space="preserve">Bond Amount: $38.6M  |  Passed: May 2026</w:t>
            </w:r>
          </w:p>
        </w:tc>
        <w:tc>
          <w:tcPr>
            <w:tcW w:type="dxa" w:w="2880"/>
            <w:tcBorders>
              <w:top w:val="single" w:color="C0C0C0" w:sz="1"/>
              <w:left w:val="single" w:color="C0C0C0" w:sz="1"/>
              <w:bottom w:val="single" w:color="C0C0C0" w:sz="1"/>
              <w:right w:val="single" w:color="C0C0C0" w:sz="1"/>
            </w:tcBorders>
            <w:shd w:fill="C6EFCE" w:val="clear"/>
            <w:tcMar>
              <w:top w:type="dxa" w:w="80"/>
              <w:left w:type="dxa" w:w="120"/>
              <w:bottom w:type="dxa" w:w="80"/>
              <w:right w:type="dxa" w:w="120"/>
            </w:tcMar>
            <w:vAlign w:val="center"/>
          </w:tcPr>
          <w:p>
            <w:pPr>
              <w:jc w:val="center"/>
            </w:pPr>
            <w:r>
              <w:rPr>
                <w:rFonts w:ascii="Arial" w:cs="Arial" w:eastAsia="Arial" w:hAnsi="Arial"/>
                <w:b/>
                <w:bCs/>
                <w:color w:val="2E5FA3"/>
                <w:sz w:val="20"/>
                <w:szCs w:val="20"/>
              </w:rPr>
              <w:t xml:space="preserve">PRIORITY: HIGH</w:t>
            </w:r>
          </w:p>
        </w:tc>
      </w:tr>
      <w:tr>
        <w:tc>
          <w:tcPr>
            <w:tcW w:type="dxa" w:w="9360"/>
            <w:gridSpan w:val="2"/>
            <w:tcBorders>
              <w:top w:val="single" w:color="C0C0C0" w:sz="1"/>
              <w:left w:val="single" w:color="C0C0C0" w:sz="1"/>
              <w:bottom w:val="single" w:color="C0C0C0" w:sz="1"/>
              <w:right w:val="single" w:color="C0C0C0" w:sz="1"/>
            </w:tcBorders>
            <w:tcMar>
              <w:top w:type="dxa" w:w="80"/>
              <w:left w:type="dxa" w:w="160"/>
              <w:bottom w:type="dxa" w:w="80"/>
              <w:right w:type="dxa" w:w="120"/>
            </w:tcMar>
          </w:tcPr>
          <w:p>
            <w:r>
              <w:rPr>
                <w:rFonts w:ascii="Arial" w:cs="Arial" w:eastAsia="Arial" w:hAnsi="Arial"/>
                <w:b/>
                <w:bCs/>
                <w:color w:val="333333"/>
                <w:sz w:val="20"/>
                <w:szCs w:val="20"/>
              </w:rPr>
              <w:t xml:space="preserve">Bond language signals: </w:t>
            </w:r>
            <w:r>
              <w:rPr>
                <w:rFonts w:ascii="Arial" w:cs="Arial" w:eastAsia="Arial" w:hAnsi="Arial"/>
                <w:color w:val="333333"/>
                <w:sz w:val="20"/>
                <w:szCs w:val="20"/>
              </w:rPr>
              <w:t xml:space="preserve">new school, safety/security</w:t>
            </w:r>
          </w:p>
          <w:p>
            <w:r>
              <w:rPr>
                <w:rFonts w:ascii="Arial" w:cs="Arial" w:eastAsia="Arial" w:hAnsi="Arial"/>
                <w:b/>
                <w:bCs/>
                <w:color w:val="2E5FA3"/>
                <w:sz w:val="20"/>
                <w:szCs w:val="20"/>
              </w:rPr>
              <w:t xml:space="preserve">Proxess opportunity: </w:t>
            </w:r>
            <w:r>
              <w:rPr>
                <w:rFonts w:ascii="Arial" w:cs="Arial" w:eastAsia="Arial" w:hAnsi="Arial"/>
                <w:color w:val="333333"/>
                <w:sz w:val="20"/>
                <w:szCs w:val="20"/>
              </w:rPr>
              <w:t xml:space="preserve">New school construction + security signals = ground-up access control install opportunity.</w:t>
            </w:r>
          </w:p>
        </w:tc>
      </w:tr>
    </w:tbl>
    <w:p>
      <w:pPr>
        <w:spacing w:after="80" w:before="0"/>
      </w:pPr>
      <w:r>
        <w:t xml:space="preserve"/>
      </w:r>
    </w:p>
    <w:p>
      <w:pPr>
        <w:spacing w:after="80" w:before="0"/>
      </w:pPr>
      <w:r>
        <w:t xml:space="preserve"/>
      </w:r>
    </w:p>
    <w:p>
      <w:pPr>
        <w:pStyle w:val="Heading1"/>
        <w:pBdr>
          <w:bottom w:val="single" w:color="2E5FA3" w:sz="8" w:space="4"/>
        </w:pBdr>
        <w:spacing w:after="160" w:before="320"/>
      </w:pPr>
      <w:r>
        <w:rPr>
          <w:rFonts w:ascii="Arial" w:cs="Arial" w:eastAsia="Arial" w:hAnsi="Arial"/>
          <w:b/>
          <w:bCs/>
          <w:color w:val="1F3864"/>
          <w:sz w:val="32"/>
          <w:szCs w:val="32"/>
        </w:rPr>
        <w:t xml:space="preserve">Tier 2 — New Construction (Code-Mandated Access Control)</w:t>
      </w:r>
    </w:p>
    <w:p>
      <w:pPr>
        <w:spacing w:after="60" w:before="60"/>
      </w:pPr>
      <w:r>
        <w:rPr>
          <w:rFonts w:ascii="Arial" w:cs="Arial" w:eastAsia="Arial" w:hAnsi="Arial"/>
          <w:sz w:val="22"/>
          <w:szCs w:val="22"/>
        </w:rPr>
        <w:t xml:space="preserve">California's Division of State Architect (DSA) and Arizona's ARS Title 15 school construction standards require hardened entry points on all new K-12 buildings. New construction bonds reliably include access control in their final project scope — even if the bond language doesn't call it out by name. These districts are building new schools or performing full modernizations that trigger code compliance.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1800"/>
        <w:gridCol w:w="1600"/>
        <w:gridCol w:w="2160"/>
      </w:tblGrid>
      <w:tr>
        <w:trPr>
          <w:tblHeader/>
        </w:trPr>
        <w:tc>
          <w:tcPr>
            <w:tcW w:type="dxa" w:w="30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District</w:t>
            </w:r>
          </w:p>
        </w:tc>
        <w:tc>
          <w:tcPr>
            <w:tcW w:type="dxa" w:w="8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W w:type="dxa" w:w="18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Bond Amount</w:t>
            </w:r>
          </w:p>
        </w:tc>
        <w:tc>
          <w:tcPr>
            <w:tcW w:type="dxa" w:w="16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Passed</w:t>
            </w:r>
          </w:p>
        </w:tc>
        <w:tc>
          <w:tcPr>
            <w:tcW w:type="dxa" w:w="21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Project Type</w:t>
            </w:r>
          </w:p>
        </w:tc>
      </w:tr>
      <w:tr>
        <w:tc>
          <w:tcPr>
            <w:tcW w:type="dxa" w:w="30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Franklin-McKinley SD</w:t>
            </w:r>
          </w:p>
        </w:tc>
        <w:tc>
          <w:tcPr>
            <w:tcW w:type="dxa" w:w="8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CA</w:t>
            </w:r>
          </w:p>
        </w:tc>
        <w:tc>
          <w:tcPr>
            <w:tcW w:type="dxa" w:w="18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$142M</w:t>
            </w:r>
          </w:p>
        </w:tc>
        <w:tc>
          <w:tcPr>
            <w:tcW w:type="dxa" w:w="16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Jun 2026</w:t>
            </w:r>
          </w:p>
        </w:tc>
        <w:tc>
          <w:tcPr>
            <w:tcW w:type="dxa" w:w="216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New school construction</w:t>
            </w:r>
          </w:p>
        </w:tc>
      </w:tr>
      <w:tr>
        <w:tc>
          <w:tcPr>
            <w:tcW w:type="dxa" w:w="30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Ravenswood City Elementary SD</w:t>
            </w:r>
          </w:p>
        </w:tc>
        <w:tc>
          <w:tcPr>
            <w:tcW w:type="dxa" w:w="8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CA</w:t>
            </w:r>
          </w:p>
        </w:tc>
        <w:tc>
          <w:tcPr>
            <w:tcW w:type="dxa" w:w="18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$70M</w:t>
            </w:r>
          </w:p>
        </w:tc>
        <w:tc>
          <w:tcPr>
            <w:tcW w:type="dxa" w:w="16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Jun 2026</w:t>
            </w:r>
          </w:p>
        </w:tc>
        <w:tc>
          <w:tcPr>
            <w:tcW w:type="dxa" w:w="2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New construction + modernization</w:t>
            </w:r>
          </w:p>
        </w:tc>
      </w:tr>
      <w:tr>
        <w:tc>
          <w:tcPr>
            <w:tcW w:type="dxa" w:w="30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Lawndale Elementary SD</w:t>
            </w:r>
          </w:p>
        </w:tc>
        <w:tc>
          <w:tcPr>
            <w:tcW w:type="dxa" w:w="8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CA</w:t>
            </w:r>
          </w:p>
        </w:tc>
        <w:tc>
          <w:tcPr>
            <w:tcW w:type="dxa" w:w="18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$42M</w:t>
            </w:r>
          </w:p>
        </w:tc>
        <w:tc>
          <w:tcPr>
            <w:tcW w:type="dxa" w:w="16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Jun 2026</w:t>
            </w:r>
          </w:p>
        </w:tc>
        <w:tc>
          <w:tcPr>
            <w:tcW w:type="dxa" w:w="216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Reconstruction / modernization</w:t>
            </w:r>
          </w:p>
        </w:tc>
      </w:tr>
      <w:tr>
        <w:tc>
          <w:tcPr>
            <w:tcW w:type="dxa" w:w="30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Various Central Valley &amp; IE Districts</w:t>
            </w:r>
          </w:p>
        </w:tc>
        <w:tc>
          <w:tcPr>
            <w:tcW w:type="dxa" w:w="8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CA</w:t>
            </w:r>
          </w:p>
        </w:tc>
        <w:tc>
          <w:tcPr>
            <w:tcW w:type="dxa" w:w="18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Multiple bonds $10M–$80M</w:t>
            </w:r>
          </w:p>
        </w:tc>
        <w:tc>
          <w:tcPr>
            <w:tcW w:type="dxa" w:w="16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Mar–Jun 2026</w:t>
            </w:r>
          </w:p>
        </w:tc>
        <w:tc>
          <w:tcPr>
            <w:tcW w:type="dxa" w:w="2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Modernization + safety</w:t>
            </w:r>
          </w:p>
        </w:tc>
      </w:tr>
    </w:tbl>
    <w:p>
      <w:pPr>
        <w:spacing w:after="80" w:before="0"/>
      </w:pPr>
      <w:r>
        <w:t xml:space="preserve"/>
      </w:r>
    </w:p>
    <w:p>
      <w:pPr>
        <w:spacing w:after="60" w:before="60"/>
      </w:pPr>
      <w:r>
        <w:rPr>
          <w:rFonts w:ascii="Arial" w:cs="Arial" w:eastAsia="Arial" w:hAnsi="Arial"/>
          <w:sz w:val="22"/>
          <w:szCs w:val="22"/>
        </w:rPr>
        <w:t xml:space="preserve">Why new construction matters for Proxess: New schools don't have legacy hardware to work around. Architects specify access control systems in the design phase (12–24 months before opening). Getting on the approved vendor list with the DSA-certified architects who serve these districts is the most efficient way to capture this pipeline.</w:t>
      </w:r>
    </w:p>
    <w:p>
      <w:pPr>
        <w:spacing w:after="160" w:before="0"/>
      </w:pPr>
      <w:r>
        <w:t xml:space="preserve"/>
      </w:r>
    </w:p>
    <w:p>
      <w:pPr>
        <w:pStyle w:val="Heading1"/>
        <w:pBdr>
          <w:bottom w:val="single" w:color="2E5FA3" w:sz="8" w:space="4"/>
        </w:pBdr>
        <w:spacing w:after="160" w:before="320"/>
      </w:pPr>
      <w:r>
        <w:rPr>
          <w:rFonts w:ascii="Arial" w:cs="Arial" w:eastAsia="Arial" w:hAnsi="Arial"/>
          <w:b/>
          <w:bCs/>
          <w:color w:val="1F3864"/>
          <w:sz w:val="32"/>
          <w:szCs w:val="32"/>
        </w:rPr>
        <w:t xml:space="preserve">What Proxess Scope Looks Like in K-12 Bonds</w:t>
      </w:r>
    </w:p>
    <w:p>
      <w:pPr>
        <w:spacing w:after="60" w:before="60"/>
      </w:pPr>
      <w:r>
        <w:rPr>
          <w:rFonts w:ascii="Arial" w:cs="Arial" w:eastAsia="Arial" w:hAnsi="Arial"/>
          <w:sz w:val="22"/>
          <w:szCs w:val="22"/>
        </w:rPr>
        <w:t xml:space="preserve">Understanding how access control maps to bond language helps Proxess target outreach and interpret bid documents: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Bond Language / Code Section</w:t>
            </w:r>
          </w:p>
        </w:tc>
        <w:tc>
          <w:tcPr>
            <w:tcW w:type="dxa" w:w="624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 for Proxess</w:t>
            </w:r>
          </w:p>
        </w:tc>
      </w:tr>
      <w:tr>
        <w:tc>
          <w:tcPr>
            <w:tcW w:type="dxa" w:w="312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Secure entry / secure vestibule</w:t>
            </w:r>
          </w:p>
        </w:tc>
        <w:tc>
          <w:tcPr>
            <w:tcW w:type="dxa" w:w="624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Single-door or airlock vestibule with RFID or touchless card reader, electric strike, intercom to main office. Core Proxess product.</w:t>
            </w:r>
          </w:p>
        </w:tc>
      </w:tr>
      <w:tr>
        <w:tc>
          <w:tcPr>
            <w:tcW w:type="dxa" w:w="312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Intruder protection</w:t>
            </w:r>
          </w:p>
        </w:tc>
        <w:tc>
          <w:tcPr>
            <w:tcW w:type="dxa" w:w="624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Lockdown-capable system: door hardware that can be remotely or locally engaged. Proxess lockdown integration.</w:t>
            </w:r>
          </w:p>
        </w:tc>
      </w:tr>
      <w:tr>
        <w:tc>
          <w:tcPr>
            <w:tcW w:type="dxa" w:w="312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Visitor management</w:t>
            </w:r>
          </w:p>
        </w:tc>
        <w:tc>
          <w:tcPr>
            <w:tcW w:type="dxa" w:w="624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Integration with visitor management kiosk (e.g., Raptor, Verkada) via API — Proxess access grant/deny per visitor check-in.</w:t>
            </w:r>
          </w:p>
        </w:tc>
      </w:tr>
      <w:tr>
        <w:tc>
          <w:tcPr>
            <w:tcW w:type="dxa" w:w="312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Campus security systems</w:t>
            </w:r>
          </w:p>
        </w:tc>
        <w:tc>
          <w:tcPr>
            <w:tcW w:type="dxa" w:w="624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Multi-door campus-wide deployment covering main entry, gym, cafeteria, server/IT rooms, administrative suite.</w:t>
            </w:r>
          </w:p>
        </w:tc>
      </w:tr>
      <w:tr>
        <w:tc>
          <w:tcPr>
            <w:tcW w:type="dxa" w:w="312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Electronic locks / door hardware</w:t>
            </w:r>
          </w:p>
        </w:tc>
        <w:tc>
          <w:tcPr>
            <w:tcW w:type="dxa" w:w="624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Direct product — electric strikes, magnetic locks, REX devices, credential readers.</w:t>
            </w:r>
          </w:p>
        </w:tc>
      </w:tr>
      <w:tr>
        <w:tc>
          <w:tcPr>
            <w:tcW w:type="dxa" w:w="312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New school construction</w:t>
            </w:r>
          </w:p>
        </w:tc>
        <w:tc>
          <w:tcPr>
            <w:tcW w:type="dxa" w:w="624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Architect-specified from scratch. Target the DSA-approved architect of record, not the district directly.</w:t>
            </w:r>
          </w:p>
        </w:tc>
      </w:tr>
      <w:tr>
        <w:tc>
          <w:tcPr>
            <w:tcW w:type="dxa" w:w="312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Safety/security upgrades</w:t>
            </w:r>
          </w:p>
        </w:tc>
        <w:tc>
          <w:tcPr>
            <w:tcW w:type="dxa" w:w="624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Retrofit opportunity. Existing door frames, potentially needing surface-mount or mortise hardware. Quote wiring alongside.</w:t>
            </w:r>
          </w:p>
        </w:tc>
      </w:tr>
      <w:tr>
        <w:tc>
          <w:tcPr>
            <w:tcW w:type="dxa" w:w="312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Card reader / key fob / badge</w:t>
            </w:r>
          </w:p>
        </w:tc>
        <w:tc>
          <w:tcPr>
            <w:tcW w:type="dxa" w:w="624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Direct terminology — these are Proxess credential products.</w:t>
            </w:r>
          </w:p>
        </w:tc>
      </w:tr>
      <w:tr>
        <w:tc>
          <w:tcPr>
            <w:tcW w:type="dxa" w:w="312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Controlled access</w:t>
            </w:r>
          </w:p>
        </w:tc>
        <w:tc>
          <w:tcPr>
            <w:tcW w:type="dxa" w:w="624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Interior zone control — IT server rooms, special ed suites, administrative areas, storage. Secondary contract opportunity.</w:t>
            </w:r>
          </w:p>
        </w:tc>
      </w:tr>
    </w:tbl>
    <w:p>
      <w:pPr>
        <w:spacing w:after="160" w:before="0"/>
      </w:pPr>
      <w:r>
        <w:t xml:space="preserve"/>
      </w:r>
    </w:p>
    <w:p>
      <w:pPr>
        <w:pStyle w:val="Heading1"/>
        <w:pBdr>
          <w:bottom w:val="single" w:color="2E5FA3" w:sz="8" w:space="4"/>
        </w:pBdr>
        <w:spacing w:after="160" w:before="320"/>
      </w:pPr>
      <w:r>
        <w:rPr>
          <w:rFonts w:ascii="Arial" w:cs="Arial" w:eastAsia="Arial" w:hAnsi="Arial"/>
          <w:b/>
          <w:bCs/>
          <w:color w:val="1F3864"/>
          <w:sz w:val="32"/>
          <w:szCs w:val="32"/>
        </w:rPr>
        <w:t xml:space="preserve">Competitive Landscape in K-12 Access Control</w:t>
      </w:r>
    </w:p>
    <w:p>
      <w:pPr>
        <w:spacing w:after="60" w:before="60"/>
      </w:pPr>
      <w:r>
        <w:rPr>
          <w:rFonts w:ascii="Arial" w:cs="Arial" w:eastAsia="Arial" w:hAnsi="Arial"/>
          <w:sz w:val="22"/>
          <w:szCs w:val="22"/>
        </w:rPr>
        <w:t xml:space="preserve">Proxess competes in a market with established players in the education vertical. Understanding where competitors win helps Proxess sharpen positioning: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Competitor</w:t>
            </w:r>
          </w:p>
        </w:tc>
        <w:tc>
          <w:tcPr>
            <w:tcW w:type="dxa" w:w="368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K-12 Strength</w:t>
            </w:r>
          </w:p>
        </w:tc>
        <w:tc>
          <w:tcPr>
            <w:tcW w:type="dxa" w:w="368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Proxess Advantage</w:t>
            </w:r>
          </w:p>
        </w:tc>
      </w:tr>
      <w:tr>
        <w:tc>
          <w:tcPr>
            <w:tcW w:type="dxa" w:w="20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Allegion (Schlage)</w:t>
            </w:r>
          </w:p>
        </w:tc>
        <w:tc>
          <w:tcPr>
            <w:tcW w:type="dxa" w:w="368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Dominant in legacy door hardware; most existing schools have Schlage mechanical locks</w:t>
            </w:r>
          </w:p>
        </w:tc>
        <w:tc>
          <w:tcPr>
            <w:tcW w:type="dxa" w:w="368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Full electronic conversion without full door replacement; wireless RFID overlay on existing hardware</w:t>
            </w:r>
          </w:p>
        </w:tc>
      </w:tr>
      <w:tr>
        <w:tc>
          <w:tcPr>
            <w:tcW w:type="dxa" w:w="20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ASSA ABLOY (Sargent, Yale)</w:t>
            </w:r>
          </w:p>
        </w:tc>
        <w:tc>
          <w:tcPr>
            <w:tcW w:type="dxa" w:w="368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Specified heavily in new construction; large DSA-architect relationships</w:t>
            </w:r>
          </w:p>
        </w:tc>
        <w:tc>
          <w:tcPr>
            <w:tcW w:type="dxa" w:w="368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Faster procurement path; no long-lead custom hardware</w:t>
            </w:r>
          </w:p>
        </w:tc>
      </w:tr>
      <w:tr>
        <w:tc>
          <w:tcPr>
            <w:tcW w:type="dxa" w:w="20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Brivo</w:t>
            </w:r>
          </w:p>
        </w:tc>
        <w:tc>
          <w:tcPr>
            <w:tcW w:type="dxa" w:w="368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Cloud-based access control; strong with mid-size districts wanting managed service</w:t>
            </w:r>
          </w:p>
        </w:tc>
        <w:tc>
          <w:tcPr>
            <w:tcW w:type="dxa" w:w="368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On-premise option for districts with IT security policies against cloud; no per-door recurring fees</w:t>
            </w:r>
          </w:p>
        </w:tc>
      </w:tr>
      <w:tr>
        <w:tc>
          <w:tcPr>
            <w:tcW w:type="dxa" w:w="20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LenelS2</w:t>
            </w:r>
          </w:p>
        </w:tc>
        <w:tc>
          <w:tcPr>
            <w:tcW w:type="dxa" w:w="368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Enterprise/higher-ed focused; overkill for small K-12</w:t>
            </w:r>
          </w:p>
        </w:tc>
        <w:tc>
          <w:tcPr>
            <w:tcW w:type="dxa" w:w="368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Right-sized for single campuses; simpler for facilities staff to manage</w:t>
            </w:r>
          </w:p>
        </w:tc>
      </w:tr>
      <w:tr>
        <w:tc>
          <w:tcPr>
            <w:tcW w:type="dxa" w:w="20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Verkada</w:t>
            </w:r>
          </w:p>
        </w:tc>
        <w:tc>
          <w:tcPr>
            <w:tcW w:type="dxa" w:w="368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Camera-first; access control is secondary product</w:t>
            </w:r>
          </w:p>
        </w:tc>
        <w:tc>
          <w:tcPr>
            <w:tcW w:type="dxa" w:w="368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Purpose-built access control with deeper door hardware options; not locked to one camera ecosystem</w:t>
            </w:r>
          </w:p>
        </w:tc>
      </w:tr>
    </w:tbl>
    <w:p>
      <w:pPr>
        <w:spacing w:after="160" w:before="0"/>
      </w:pPr>
      <w:r>
        <w:t xml:space="preserve"/>
      </w:r>
    </w:p>
    <w:p>
      <w:pPr>
        <w:pStyle w:val="Heading1"/>
        <w:pBdr>
          <w:bottom w:val="single" w:color="2E5FA3" w:sz="8" w:space="4"/>
        </w:pBdr>
        <w:spacing w:after="160" w:before="320"/>
      </w:pPr>
      <w:r>
        <w:rPr>
          <w:rFonts w:ascii="Arial" w:cs="Arial" w:eastAsia="Arial" w:hAnsi="Arial"/>
          <w:b/>
          <w:bCs/>
          <w:color w:val="1F3864"/>
          <w:sz w:val="32"/>
          <w:szCs w:val="32"/>
        </w:rPr>
        <w:t xml:space="preserve">K-12 Bond Procurement Pathway</w:t>
      </w:r>
    </w:p>
    <w:p>
      <w:pPr>
        <w:spacing w:after="60" w:before="60"/>
      </w:pPr>
      <w:r>
        <w:rPr>
          <w:rFonts w:ascii="Arial" w:cs="Arial" w:eastAsia="Arial" w:hAnsi="Arial"/>
          <w:sz w:val="22"/>
          <w:szCs w:val="22"/>
        </w:rPr>
        <w:t xml:space="preserve">Understanding the procurement timeline helps Proxess enter at the right moment: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c>
          <w:tcPr>
            <w:tcW w:type="dxa" w:w="21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54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Proxess Action</w:t>
            </w:r>
          </w:p>
        </w:tc>
      </w:tr>
      <w:tr>
        <w:tc>
          <w:tcPr>
            <w:tcW w:type="dxa" w:w="18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Month 0</w:t>
            </w:r>
          </w:p>
        </w:tc>
        <w:tc>
          <w:tcPr>
            <w:tcW w:type="dxa" w:w="216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Bond passes</w:t>
            </w:r>
          </w:p>
        </w:tc>
        <w:tc>
          <w:tcPr>
            <w:tcW w:type="dxa" w:w="54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Flag district; add to CRM. Do not call yet — no budget authority issued.</w:t>
            </w:r>
          </w:p>
        </w:tc>
      </w:tr>
      <w:tr>
        <w:tc>
          <w:tcPr>
            <w:tcW w:type="dxa" w:w="18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Months 1–3</w:t>
            </w:r>
          </w:p>
        </w:tc>
        <w:tc>
          <w:tcPr>
            <w:tcW w:type="dxa" w:w="2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District forms Citizens' Oversight Committee; hires bond program manager</w:t>
            </w:r>
          </w:p>
        </w:tc>
        <w:tc>
          <w:tcPr>
            <w:tcW w:type="dxa" w:w="54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Identify the bond program manager. This person coordinates all vendor outreach.</w:t>
            </w:r>
          </w:p>
        </w:tc>
      </w:tr>
      <w:tr>
        <w:tc>
          <w:tcPr>
            <w:tcW w:type="dxa" w:w="18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Months 3–9</w:t>
            </w:r>
          </w:p>
        </w:tc>
        <w:tc>
          <w:tcPr>
            <w:tcW w:type="dxa" w:w="216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Architect of Record selected; DSA submittal begins (CA)</w:t>
            </w:r>
          </w:p>
        </w:tc>
        <w:tc>
          <w:tcPr>
            <w:tcW w:type="dxa" w:w="54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Get in front of the AOR with product samples and DSA-compliant spec sheets. This is the most important step.</w:t>
            </w:r>
          </w:p>
        </w:tc>
      </w:tr>
      <w:tr>
        <w:tc>
          <w:tcPr>
            <w:tcW w:type="dxa" w:w="18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Months 6–18</w:t>
            </w:r>
          </w:p>
        </w:tc>
        <w:tc>
          <w:tcPr>
            <w:tcW w:type="dxa" w:w="2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Construction documents issued; specs written</w:t>
            </w:r>
          </w:p>
        </w:tc>
        <w:tc>
          <w:tcPr>
            <w:tcW w:type="dxa" w:w="54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Confirm Proxess is in the spec (or an approved equal). Ask for a spot on the pre-qualified list.</w:t>
            </w:r>
          </w:p>
        </w:tc>
      </w:tr>
      <w:tr>
        <w:tc>
          <w:tcPr>
            <w:tcW w:type="dxa" w:w="18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Months 12–24</w:t>
            </w:r>
          </w:p>
        </w:tc>
        <w:tc>
          <w:tcPr>
            <w:tcW w:type="dxa" w:w="216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Bid documents issued; contractors bid</w:t>
            </w:r>
          </w:p>
        </w:tc>
        <w:tc>
          <w:tcPr>
            <w:tcW w:type="dxa" w:w="54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Support the low-bid contractor with submittals, lead times, and install support.</w:t>
            </w:r>
          </w:p>
        </w:tc>
      </w:tr>
      <w:tr>
        <w:tc>
          <w:tcPr>
            <w:tcW w:type="dxa" w:w="18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Months 18–30</w:t>
            </w:r>
          </w:p>
        </w:tc>
        <w:tc>
          <w:tcPr>
            <w:tcW w:type="dxa" w:w="216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Construction / installation</w:t>
            </w:r>
          </w:p>
        </w:tc>
        <w:tc>
          <w:tcPr>
            <w:tcW w:type="dxa" w:w="5400"/>
            <w:tcBorders>
              <w:top w:val="single" w:color="C0C0C0" w:sz="1"/>
              <w:left w:val="single" w:color="C0C0C0" w:sz="1"/>
              <w:bottom w:val="single" w:color="C0C0C0" w:sz="1"/>
              <w:right w:val="single" w:color="C0C0C0" w:sz="1"/>
            </w:tcBorders>
            <w:tcMar>
              <w:top w:type="dxa" w:w="60"/>
              <w:left w:type="dxa" w:w="120"/>
              <w:bottom w:type="dxa" w:w="60"/>
              <w:right w:type="dxa" w:w="120"/>
            </w:tcMar>
          </w:tcPr>
          <w:p>
            <w:r>
              <w:rPr>
                <w:rFonts w:ascii="Arial" w:cs="Arial" w:eastAsia="Arial" w:hAnsi="Arial"/>
                <w:b w:val="false"/>
                <w:bCs w:val="false"/>
                <w:sz w:val="20"/>
                <w:szCs w:val="20"/>
              </w:rPr>
              <w:t xml:space="preserve">Coordinate with GC. Ensure programming and commissioning is scoped.</w:t>
            </w:r>
          </w:p>
        </w:tc>
      </w:tr>
      <w:tr>
        <w:tc>
          <w:tcPr>
            <w:tcW w:type="dxa" w:w="18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Post-install</w:t>
            </w:r>
          </w:p>
        </w:tc>
        <w:tc>
          <w:tcPr>
            <w:tcW w:type="dxa" w:w="216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Ongoing</w:t>
            </w:r>
          </w:p>
        </w:tc>
        <w:tc>
          <w:tcPr>
            <w:tcW w:type="dxa" w:w="5400"/>
            <w:tcBorders>
              <w:top w:val="single" w:color="C0C0C0" w:sz="1"/>
              <w:left w:val="single" w:color="C0C0C0" w:sz="1"/>
              <w:bottom w:val="single" w:color="C0C0C0" w:sz="1"/>
              <w:right w:val="single" w:color="C0C0C0"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Maintenance agreements, credential expansions, additional zones. Best time to lock out competitors.</w:t>
            </w:r>
          </w:p>
        </w:tc>
      </w:tr>
    </w:tbl>
    <w:p>
      <w:pPr>
        <w:spacing w:after="160" w:before="0"/>
      </w:pPr>
      <w:r>
        <w:t xml:space="preserve"/>
      </w:r>
    </w:p>
    <w:p>
      <w:pPr>
        <w:pStyle w:val="Heading1"/>
        <w:pBdr>
          <w:bottom w:val="single" w:color="2E5FA3" w:sz="8" w:space="4"/>
        </w:pBdr>
        <w:spacing w:after="160" w:before="320"/>
      </w:pPr>
      <w:r>
        <w:rPr>
          <w:rFonts w:ascii="Arial" w:cs="Arial" w:eastAsia="Arial" w:hAnsi="Arial"/>
          <w:b/>
          <w:bCs/>
          <w:color w:val="1F3864"/>
          <w:sz w:val="32"/>
          <w:szCs w:val="32"/>
        </w:rPr>
        <w:t xml:space="preserve">Recommended Actions for Proxess</w:t>
      </w:r>
    </w:p>
    <w:p>
      <w:pPr>
        <w:spacing w:after="80" w:before="0"/>
      </w:pPr>
      <w:r>
        <w:t xml:space="preserve"/>
      </w:r>
    </w:p>
    <w:p>
      <w:pPr>
        <w:pStyle w:val="Heading2"/>
        <w:spacing w:after="120" w:before="240"/>
      </w:pPr>
      <w:r>
        <w:rPr>
          <w:rFonts w:ascii="Arial" w:cs="Arial" w:eastAsia="Arial" w:hAnsi="Arial"/>
          <w:b/>
          <w:bCs/>
          <w:color w:val="2E5FA3"/>
          <w:sz w:val="26"/>
          <w:szCs w:val="26"/>
        </w:rPr>
        <w:t xml:space="preserve">Immediate (This Week)</w:t>
      </w:r>
    </w:p>
    <w:p>
      <w:pPr>
        <w:pStyle w:val="ListParagraph"/>
        <w:numPr>
          <w:ilvl w:val="0"/>
          <w:numId w:val="2"/>
        </w:numPr>
        <w:spacing w:after="40" w:before="40"/>
      </w:pPr>
      <w:r>
        <w:rPr>
          <w:rFonts w:ascii="Arial" w:cs="Arial" w:eastAsia="Arial" w:hAnsi="Arial"/>
          <w:sz w:val="22"/>
          <w:szCs w:val="22"/>
        </w:rPr>
        <w:t xml:space="preserve">Call Flowing Wells Unified SD (Tucson, AZ) — their bond explicitly calls out secure entrances. Contact: Facilities Director. Bond passed Nov 2025, procurement likely starting now.</w:t>
      </w:r>
    </w:p>
    <w:p>
      <w:pPr>
        <w:pStyle w:val="ListParagraph"/>
        <w:numPr>
          <w:ilvl w:val="0"/>
          <w:numId w:val="2"/>
        </w:numPr>
        <w:spacing w:after="40" w:before="40"/>
      </w:pPr>
      <w:r>
        <w:rPr>
          <w:rFonts w:ascii="Arial" w:cs="Arial" w:eastAsia="Arial" w:hAnsi="Arial"/>
          <w:sz w:val="22"/>
          <w:szCs w:val="22"/>
        </w:rPr>
        <w:t xml:space="preserve">Call La Cañada Unified SD (La Cañada, CA) — 'intruder protection' and 'campus security systems' are in the bond. Bond passed June 2026; architect selection likely within 60–90 days.</w:t>
      </w:r>
    </w:p>
    <w:p>
      <w:pPr>
        <w:pStyle w:val="ListParagraph"/>
        <w:numPr>
          <w:ilvl w:val="0"/>
          <w:numId w:val="2"/>
        </w:numPr>
        <w:spacing w:after="40" w:before="40"/>
      </w:pPr>
      <w:r>
        <w:rPr>
          <w:rFonts w:ascii="Arial" w:cs="Arial" w:eastAsia="Arial" w:hAnsi="Arial"/>
          <w:sz w:val="22"/>
          <w:szCs w:val="22"/>
        </w:rPr>
        <w:t xml:space="preserve">Reach out to Compton Unified SD (CA) — $360M bond with safety monitoring scope. Large district = large project count.</w:t>
      </w:r>
    </w:p>
    <w:p>
      <w:pPr>
        <w:spacing w:after="80" w:before="0"/>
      </w:pPr>
      <w:r>
        <w:t xml:space="preserve"/>
      </w:r>
    </w:p>
    <w:p>
      <w:pPr>
        <w:pStyle w:val="Heading2"/>
        <w:spacing w:after="120" w:before="240"/>
      </w:pPr>
      <w:r>
        <w:rPr>
          <w:rFonts w:ascii="Arial" w:cs="Arial" w:eastAsia="Arial" w:hAnsi="Arial"/>
          <w:b/>
          <w:bCs/>
          <w:color w:val="2E5FA3"/>
          <w:sz w:val="26"/>
          <w:szCs w:val="26"/>
        </w:rPr>
        <w:t xml:space="preserve">Short-Term (30–60 Days)</w:t>
      </w:r>
    </w:p>
    <w:p>
      <w:pPr>
        <w:pStyle w:val="ListParagraph"/>
        <w:numPr>
          <w:ilvl w:val="0"/>
          <w:numId w:val="2"/>
        </w:numPr>
        <w:spacing w:after="40" w:before="40"/>
      </w:pPr>
      <w:r>
        <w:rPr>
          <w:rFonts w:ascii="Arial" w:cs="Arial" w:eastAsia="Arial" w:hAnsi="Arial"/>
          <w:sz w:val="22"/>
          <w:szCs w:val="22"/>
        </w:rPr>
        <w:t xml:space="preserve">Identify the Architect of Record for Franklin-McKinley SD and Ravenswood City Elementary SD new school projects. File with DSA is publicly searchable at dsa.dgs.ca.gov.</w:t>
      </w:r>
    </w:p>
    <w:p>
      <w:pPr>
        <w:pStyle w:val="ListParagraph"/>
        <w:numPr>
          <w:ilvl w:val="0"/>
          <w:numId w:val="2"/>
        </w:numPr>
        <w:spacing w:after="40" w:before="40"/>
      </w:pPr>
      <w:r>
        <w:rPr>
          <w:rFonts w:ascii="Arial" w:cs="Arial" w:eastAsia="Arial" w:hAnsi="Arial"/>
          <w:sz w:val="22"/>
          <w:szCs w:val="22"/>
        </w:rPr>
        <w:t xml:space="preserve">Add all 9 Tier 1 districts to CRM with bond amounts, passed dates, and signal flags. Set follow-up cadence for 30/60/90 days.</w:t>
      </w:r>
    </w:p>
    <w:p>
      <w:pPr>
        <w:pStyle w:val="ListParagraph"/>
        <w:numPr>
          <w:ilvl w:val="0"/>
          <w:numId w:val="2"/>
        </w:numPr>
        <w:spacing w:after="40" w:before="40"/>
      </w:pPr>
      <w:r>
        <w:rPr>
          <w:rFonts w:ascii="Arial" w:cs="Arial" w:eastAsia="Arial" w:hAnsi="Arial"/>
          <w:sz w:val="22"/>
          <w:szCs w:val="22"/>
        </w:rPr>
        <w:t xml:space="preserve">Create a one-pager on Proxess compliance with CA DSA hardened entry requirements and Arizona ARS school construction standards. Use this as the leave-behind for architect meetings.</w:t>
      </w:r>
    </w:p>
    <w:p>
      <w:pPr>
        <w:spacing w:after="80" w:before="0"/>
      </w:pPr>
      <w:r>
        <w:t xml:space="preserve"/>
      </w:r>
    </w:p>
    <w:p>
      <w:pPr>
        <w:pStyle w:val="Heading2"/>
        <w:spacing w:after="120" w:before="240"/>
      </w:pPr>
      <w:r>
        <w:rPr>
          <w:rFonts w:ascii="Arial" w:cs="Arial" w:eastAsia="Arial" w:hAnsi="Arial"/>
          <w:b/>
          <w:bCs/>
          <w:color w:val="2E5FA3"/>
          <w:sz w:val="26"/>
          <w:szCs w:val="26"/>
        </w:rPr>
        <w:t xml:space="preserve">Medium-Term (60–120 Days)</w:t>
      </w:r>
    </w:p>
    <w:p>
      <w:pPr>
        <w:pStyle w:val="ListParagraph"/>
        <w:numPr>
          <w:ilvl w:val="0"/>
          <w:numId w:val="2"/>
        </w:numPr>
        <w:spacing w:after="40" w:before="40"/>
      </w:pPr>
      <w:r>
        <w:rPr>
          <w:rFonts w:ascii="Arial" w:cs="Arial" w:eastAsia="Arial" w:hAnsi="Arial"/>
          <w:sz w:val="22"/>
          <w:szCs w:val="22"/>
        </w:rPr>
        <w:t xml:space="preserve">Build a K-12 bond tracker pull: subscribe to SchoolBondFinder to get weekly alerts on newly passed bonds in CA, AZ, and NV with security language.</w:t>
      </w:r>
    </w:p>
    <w:p>
      <w:pPr>
        <w:pStyle w:val="ListParagraph"/>
        <w:numPr>
          <w:ilvl w:val="0"/>
          <w:numId w:val="2"/>
        </w:numPr>
        <w:spacing w:after="40" w:before="40"/>
      </w:pPr>
      <w:r>
        <w:rPr>
          <w:rFonts w:ascii="Arial" w:cs="Arial" w:eastAsia="Arial" w:hAnsi="Arial"/>
          <w:sz w:val="22"/>
          <w:szCs w:val="22"/>
        </w:rPr>
        <w:t xml:space="preserve">Target the 3–5 DSA-certified architects who spec the most K-12 work in Southern California and the East Bay. These firms control access control specs across dozens of districts.</w:t>
      </w:r>
    </w:p>
    <w:p>
      <w:pPr>
        <w:pStyle w:val="ListParagraph"/>
        <w:numPr>
          <w:ilvl w:val="0"/>
          <w:numId w:val="2"/>
        </w:numPr>
        <w:spacing w:after="40" w:before="40"/>
      </w:pPr>
      <w:r>
        <w:rPr>
          <w:rFonts w:ascii="Arial" w:cs="Arial" w:eastAsia="Arial" w:hAnsi="Arial"/>
          <w:sz w:val="22"/>
          <w:szCs w:val="22"/>
        </w:rPr>
        <w:t xml:space="preserve">Develop a 'Bond Package' sales kit: DSA-compliant submittal templates, standard spec language for architects to copy/paste, and a pre-bid budgeting tool for program managers.</w:t>
      </w:r>
    </w:p>
    <w:p>
      <w:pPr>
        <w:pStyle w:val="ListParagraph"/>
        <w:numPr>
          <w:ilvl w:val="0"/>
          <w:numId w:val="2"/>
        </w:numPr>
        <w:spacing w:after="40" w:before="40"/>
      </w:pPr>
      <w:r>
        <w:rPr>
          <w:rFonts w:ascii="Arial" w:cs="Arial" w:eastAsia="Arial" w:hAnsi="Arial"/>
          <w:sz w:val="22"/>
          <w:szCs w:val="22"/>
        </w:rPr>
        <w:t xml:space="preserve">Identify which districts have HBSA (Hazardous Building Safety Act) or LEPC funds available — these supplement bond funding specifically for safety hardware.</w:t>
      </w:r>
    </w:p>
    <w:p>
      <w:pPr>
        <w:spacing w:after="80" w:before="0"/>
      </w:pPr>
      <w:r>
        <w:t xml:space="preserve"/>
      </w:r>
    </w:p>
    <w:p>
      <w:pPr>
        <w:pStyle w:val="Heading2"/>
        <w:spacing w:after="120" w:before="240"/>
      </w:pPr>
      <w:r>
        <w:rPr>
          <w:rFonts w:ascii="Arial" w:cs="Arial" w:eastAsia="Arial" w:hAnsi="Arial"/>
          <w:b/>
          <w:bCs/>
          <w:color w:val="2E5FA3"/>
          <w:sz w:val="26"/>
          <w:szCs w:val="26"/>
        </w:rPr>
        <w:t xml:space="preserve">Ongoing</w:t>
      </w:r>
    </w:p>
    <w:p>
      <w:pPr>
        <w:pStyle w:val="ListParagraph"/>
        <w:numPr>
          <w:ilvl w:val="0"/>
          <w:numId w:val="2"/>
        </w:numPr>
        <w:spacing w:after="40" w:before="40"/>
      </w:pPr>
      <w:r>
        <w:rPr>
          <w:rFonts w:ascii="Arial" w:cs="Arial" w:eastAsia="Arial" w:hAnsi="Arial"/>
          <w:sz w:val="22"/>
          <w:szCs w:val="22"/>
        </w:rPr>
        <w:t xml:space="preserve">Monitor ConstructConnect for active K-12 bid packages mentioning access control, secure vestibule, or electronic locks. Bid-stage opportunities are faster to close than bond-stage.</w:t>
      </w:r>
    </w:p>
    <w:p>
      <w:pPr>
        <w:pStyle w:val="ListParagraph"/>
        <w:numPr>
          <w:ilvl w:val="0"/>
          <w:numId w:val="2"/>
        </w:numPr>
        <w:spacing w:after="40" w:before="40"/>
      </w:pPr>
      <w:r>
        <w:rPr>
          <w:rFonts w:ascii="Arial" w:cs="Arial" w:eastAsia="Arial" w:hAnsi="Arial"/>
          <w:sz w:val="22"/>
          <w:szCs w:val="22"/>
        </w:rPr>
        <w:t xml:space="preserve">Track California Prop 28 and federal STOP School Violence Act grant awards — these fund security upgrades independent of bonds and can fund Proxess hardware even in non-bond districts.</w:t>
      </w:r>
    </w:p>
    <w:p>
      <w:pPr>
        <w:spacing w:after="160" w:before="0"/>
      </w:pPr>
      <w:r>
        <w:t xml:space="preserve"/>
      </w:r>
    </w:p>
    <w:p>
      <w:pPr>
        <w:pStyle w:val="Heading1"/>
        <w:pBdr>
          <w:bottom w:val="single" w:color="2E5FA3" w:sz="8" w:space="4"/>
        </w:pBdr>
        <w:spacing w:after="160" w:before="320"/>
      </w:pPr>
      <w:r>
        <w:rPr>
          <w:rFonts w:ascii="Arial" w:cs="Arial" w:eastAsia="Arial" w:hAnsi="Arial"/>
          <w:b/>
          <w:bCs/>
          <w:color w:val="1F3864"/>
          <w:sz w:val="32"/>
          <w:szCs w:val="32"/>
        </w:rPr>
        <w:t xml:space="preserve">Appendix: Bond Language Reference</w:t>
      </w:r>
    </w:p>
    <w:p>
      <w:pPr>
        <w:spacing w:after="60" w:before="60"/>
      </w:pPr>
      <w:r>
        <w:rPr>
          <w:rFonts w:ascii="Arial" w:cs="Arial" w:eastAsia="Arial" w:hAnsi="Arial"/>
          <w:sz w:val="22"/>
          <w:szCs w:val="22"/>
        </w:rPr>
        <w:t xml:space="preserve">Bond language patterns that signal Proxess scope, in order of specificity: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40"/>
        <w:gridCol w:w="4800"/>
      </w:tblGrid>
      <w:tr>
        <w:trPr>
          <w:tblHeader/>
        </w:trPr>
        <w:tc>
          <w:tcPr>
            <w:tcW w:type="dxa" w:w="312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Keyword / Phrase</w:t>
            </w:r>
          </w:p>
        </w:tc>
        <w:tc>
          <w:tcPr>
            <w:tcW w:type="dxa" w:w="144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Confidence</w:t>
            </w:r>
          </w:p>
        </w:tc>
        <w:tc>
          <w:tcPr>
            <w:tcW w:type="dxa" w:w="48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120"/>
            <w:tcBorders>
              <w:top w:val="single" w:color="C0C0C0" w:sz="1"/>
              <w:left w:val="single" w:color="C0C0C0" w:sz="1"/>
              <w:bottom w:val="single" w:color="C0C0C0" w:sz="1"/>
              <w:right w:val="single" w:color="C0C0C0" w:sz="1"/>
            </w:tcBorders>
            <w:shd w:fill="C6EFCE" w:val="clear"/>
            <w:tcMar>
              <w:top w:type="dxa" w:w="60"/>
              <w:left w:type="dxa" w:w="120"/>
              <w:bottom w:type="dxa" w:w="60"/>
              <w:right w:type="dxa" w:w="120"/>
            </w:tcMar>
          </w:tcPr>
          <w:p>
            <w:r>
              <w:rPr>
                <w:rFonts w:ascii="Arial" w:cs="Arial" w:eastAsia="Arial" w:hAnsi="Arial"/>
                <w:b w:val="false"/>
                <w:bCs w:val="false"/>
                <w:sz w:val="20"/>
                <w:szCs w:val="20"/>
              </w:rPr>
              <w:t xml:space="preserve">secure entry / secure vestibule / controlled entry</w:t>
            </w:r>
          </w:p>
        </w:tc>
        <w:tc>
          <w:tcPr>
            <w:tcW w:type="dxa" w:w="1440"/>
            <w:tcBorders>
              <w:top w:val="single" w:color="C0C0C0" w:sz="1"/>
              <w:left w:val="single" w:color="C0C0C0" w:sz="1"/>
              <w:bottom w:val="single" w:color="C0C0C0" w:sz="1"/>
              <w:right w:val="single" w:color="C0C0C0" w:sz="1"/>
            </w:tcBorders>
            <w:shd w:fill="C6EFCE" w:val="clear"/>
            <w:tcMar>
              <w:top w:type="dxa" w:w="60"/>
              <w:left w:type="dxa" w:w="120"/>
              <w:bottom w:type="dxa" w:w="60"/>
              <w:right w:type="dxa" w:w="120"/>
            </w:tcMar>
          </w:tcPr>
          <w:p>
            <w:r>
              <w:rPr>
                <w:rFonts w:ascii="Arial" w:cs="Arial" w:eastAsia="Arial" w:hAnsi="Arial"/>
                <w:b w:val="false"/>
                <w:bCs w:val="false"/>
                <w:sz w:val="20"/>
                <w:szCs w:val="20"/>
              </w:rPr>
              <w:t xml:space="preserve">Very High</w:t>
            </w:r>
          </w:p>
        </w:tc>
        <w:tc>
          <w:tcPr>
            <w:tcW w:type="dxa" w:w="4800"/>
            <w:tcBorders>
              <w:top w:val="single" w:color="C0C0C0" w:sz="1"/>
              <w:left w:val="single" w:color="C0C0C0" w:sz="1"/>
              <w:bottom w:val="single" w:color="C0C0C0" w:sz="1"/>
              <w:right w:val="single" w:color="C0C0C0" w:sz="1"/>
            </w:tcBorders>
            <w:shd w:fill="C6EFCE" w:val="clear"/>
            <w:tcMar>
              <w:top w:type="dxa" w:w="60"/>
              <w:left w:type="dxa" w:w="120"/>
              <w:bottom w:type="dxa" w:w="60"/>
              <w:right w:type="dxa" w:w="120"/>
            </w:tcMar>
          </w:tcPr>
          <w:p>
            <w:r>
              <w:rPr>
                <w:rFonts w:ascii="Arial" w:cs="Arial" w:eastAsia="Arial" w:hAnsi="Arial"/>
                <w:b w:val="false"/>
                <w:bCs w:val="false"/>
                <w:sz w:val="20"/>
                <w:szCs w:val="20"/>
              </w:rPr>
              <w:t xml:space="preserve">Direct vestibule spec — almost always an access control line item</w:t>
            </w:r>
          </w:p>
        </w:tc>
      </w:tr>
      <w:tr>
        <w:tc>
          <w:tcPr>
            <w:tcW w:type="dxa" w:w="3120"/>
            <w:tcBorders>
              <w:top w:val="single" w:color="C0C0C0" w:sz="1"/>
              <w:left w:val="single" w:color="C0C0C0" w:sz="1"/>
              <w:bottom w:val="single" w:color="C0C0C0" w:sz="1"/>
              <w:right w:val="single" w:color="C0C0C0" w:sz="1"/>
            </w:tcBorders>
            <w:shd w:fill="C6EFCE" w:val="clear"/>
            <w:tcMar>
              <w:top w:type="dxa" w:w="60"/>
              <w:left w:type="dxa" w:w="120"/>
              <w:bottom w:type="dxa" w:w="60"/>
              <w:right w:type="dxa" w:w="120"/>
            </w:tcMar>
          </w:tcPr>
          <w:p>
            <w:r>
              <w:rPr>
                <w:rFonts w:ascii="Arial" w:cs="Arial" w:eastAsia="Arial" w:hAnsi="Arial"/>
                <w:b w:val="false"/>
                <w:bCs w:val="false"/>
                <w:sz w:val="20"/>
                <w:szCs w:val="20"/>
              </w:rPr>
              <w:t xml:space="preserve">intruder protection / intruder alert</w:t>
            </w:r>
          </w:p>
        </w:tc>
        <w:tc>
          <w:tcPr>
            <w:tcW w:type="dxa" w:w="1440"/>
            <w:tcBorders>
              <w:top w:val="single" w:color="C0C0C0" w:sz="1"/>
              <w:left w:val="single" w:color="C0C0C0" w:sz="1"/>
              <w:bottom w:val="single" w:color="C0C0C0" w:sz="1"/>
              <w:right w:val="single" w:color="C0C0C0" w:sz="1"/>
            </w:tcBorders>
            <w:shd w:fill="C6EFCE" w:val="clear"/>
            <w:tcMar>
              <w:top w:type="dxa" w:w="60"/>
              <w:left w:type="dxa" w:w="120"/>
              <w:bottom w:type="dxa" w:w="60"/>
              <w:right w:type="dxa" w:w="120"/>
            </w:tcMar>
          </w:tcPr>
          <w:p>
            <w:r>
              <w:rPr>
                <w:rFonts w:ascii="Arial" w:cs="Arial" w:eastAsia="Arial" w:hAnsi="Arial"/>
                <w:b w:val="false"/>
                <w:bCs w:val="false"/>
                <w:sz w:val="20"/>
                <w:szCs w:val="20"/>
              </w:rPr>
              <w:t xml:space="preserve">Very High</w:t>
            </w:r>
          </w:p>
        </w:tc>
        <w:tc>
          <w:tcPr>
            <w:tcW w:type="dxa" w:w="4800"/>
            <w:tcBorders>
              <w:top w:val="single" w:color="C0C0C0" w:sz="1"/>
              <w:left w:val="single" w:color="C0C0C0" w:sz="1"/>
              <w:bottom w:val="single" w:color="C0C0C0" w:sz="1"/>
              <w:right w:val="single" w:color="C0C0C0" w:sz="1"/>
            </w:tcBorders>
            <w:shd w:fill="C6EFCE" w:val="clear"/>
            <w:tcMar>
              <w:top w:type="dxa" w:w="60"/>
              <w:left w:type="dxa" w:w="120"/>
              <w:bottom w:type="dxa" w:w="60"/>
              <w:right w:type="dxa" w:w="120"/>
            </w:tcMar>
          </w:tcPr>
          <w:p>
            <w:r>
              <w:rPr>
                <w:rFonts w:ascii="Arial" w:cs="Arial" w:eastAsia="Arial" w:hAnsi="Arial"/>
                <w:b w:val="false"/>
                <w:bCs w:val="false"/>
                <w:sz w:val="20"/>
                <w:szCs w:val="20"/>
              </w:rPr>
              <w:t xml:space="preserve">Lockdown hardware + card readers implied</w:t>
            </w:r>
          </w:p>
        </w:tc>
      </w:tr>
      <w:tr>
        <w:tc>
          <w:tcPr>
            <w:tcW w:type="dxa" w:w="3120"/>
            <w:tcBorders>
              <w:top w:val="single" w:color="C0C0C0" w:sz="1"/>
              <w:left w:val="single" w:color="C0C0C0" w:sz="1"/>
              <w:bottom w:val="single" w:color="C0C0C0" w:sz="1"/>
              <w:right w:val="single" w:color="C0C0C0" w:sz="1"/>
            </w:tcBorders>
            <w:shd w:fill="C6EFCE" w:val="clear"/>
            <w:tcMar>
              <w:top w:type="dxa" w:w="60"/>
              <w:left w:type="dxa" w:w="120"/>
              <w:bottom w:type="dxa" w:w="60"/>
              <w:right w:type="dxa" w:w="120"/>
            </w:tcMar>
          </w:tcPr>
          <w:p>
            <w:r>
              <w:rPr>
                <w:rFonts w:ascii="Arial" w:cs="Arial" w:eastAsia="Arial" w:hAnsi="Arial"/>
                <w:b w:val="false"/>
                <w:bCs w:val="false"/>
                <w:sz w:val="20"/>
                <w:szCs w:val="20"/>
              </w:rPr>
              <w:t xml:space="preserve">visitor management / visitor control</w:t>
            </w:r>
          </w:p>
        </w:tc>
        <w:tc>
          <w:tcPr>
            <w:tcW w:type="dxa" w:w="1440"/>
            <w:tcBorders>
              <w:top w:val="single" w:color="C0C0C0" w:sz="1"/>
              <w:left w:val="single" w:color="C0C0C0" w:sz="1"/>
              <w:bottom w:val="single" w:color="C0C0C0" w:sz="1"/>
              <w:right w:val="single" w:color="C0C0C0" w:sz="1"/>
            </w:tcBorders>
            <w:shd w:fill="C6EFCE" w:val="clear"/>
            <w:tcMar>
              <w:top w:type="dxa" w:w="60"/>
              <w:left w:type="dxa" w:w="120"/>
              <w:bottom w:type="dxa" w:w="60"/>
              <w:right w:type="dxa" w:w="120"/>
            </w:tcMar>
          </w:tcPr>
          <w:p>
            <w:r>
              <w:rPr>
                <w:rFonts w:ascii="Arial" w:cs="Arial" w:eastAsia="Arial" w:hAnsi="Arial"/>
                <w:b w:val="false"/>
                <w:bCs w:val="false"/>
                <w:sz w:val="20"/>
                <w:szCs w:val="20"/>
              </w:rPr>
              <w:t xml:space="preserve">High</w:t>
            </w:r>
          </w:p>
        </w:tc>
        <w:tc>
          <w:tcPr>
            <w:tcW w:type="dxa" w:w="4800"/>
            <w:tcBorders>
              <w:top w:val="single" w:color="C0C0C0" w:sz="1"/>
              <w:left w:val="single" w:color="C0C0C0" w:sz="1"/>
              <w:bottom w:val="single" w:color="C0C0C0" w:sz="1"/>
              <w:right w:val="single" w:color="C0C0C0" w:sz="1"/>
            </w:tcBorders>
            <w:shd w:fill="C6EFCE" w:val="clear"/>
            <w:tcMar>
              <w:top w:type="dxa" w:w="60"/>
              <w:left w:type="dxa" w:w="120"/>
              <w:bottom w:type="dxa" w:w="60"/>
              <w:right w:type="dxa" w:w="120"/>
            </w:tcMar>
          </w:tcPr>
          <w:p>
            <w:r>
              <w:rPr>
                <w:rFonts w:ascii="Arial" w:cs="Arial" w:eastAsia="Arial" w:hAnsi="Arial"/>
                <w:b w:val="false"/>
                <w:bCs w:val="false"/>
                <w:sz w:val="20"/>
                <w:szCs w:val="20"/>
              </w:rPr>
              <w:t xml:space="preserve">Proxess integration with visitor kiosk systems</w:t>
            </w:r>
          </w:p>
        </w:tc>
      </w:tr>
      <w:tr>
        <w:tc>
          <w:tcPr>
            <w:tcW w:type="dxa" w:w="3120"/>
            <w:tcBorders>
              <w:top w:val="single" w:color="C0C0C0" w:sz="1"/>
              <w:left w:val="single" w:color="C0C0C0" w:sz="1"/>
              <w:bottom w:val="single" w:color="C0C0C0" w:sz="1"/>
              <w:right w:val="single" w:color="C0C0C0" w:sz="1"/>
            </w:tcBorders>
            <w:shd w:fill="C6EFCE" w:val="clear"/>
            <w:tcMar>
              <w:top w:type="dxa" w:w="60"/>
              <w:left w:type="dxa" w:w="120"/>
              <w:bottom w:type="dxa" w:w="60"/>
              <w:right w:type="dxa" w:w="120"/>
            </w:tcMar>
          </w:tcPr>
          <w:p>
            <w:r>
              <w:rPr>
                <w:rFonts w:ascii="Arial" w:cs="Arial" w:eastAsia="Arial" w:hAnsi="Arial"/>
                <w:b w:val="false"/>
                <w:bCs w:val="false"/>
                <w:sz w:val="20"/>
                <w:szCs w:val="20"/>
              </w:rPr>
              <w:t xml:space="preserve">card reader / key fob / badge / RFID</w:t>
            </w:r>
          </w:p>
        </w:tc>
        <w:tc>
          <w:tcPr>
            <w:tcW w:type="dxa" w:w="1440"/>
            <w:tcBorders>
              <w:top w:val="single" w:color="C0C0C0" w:sz="1"/>
              <w:left w:val="single" w:color="C0C0C0" w:sz="1"/>
              <w:bottom w:val="single" w:color="C0C0C0" w:sz="1"/>
              <w:right w:val="single" w:color="C0C0C0" w:sz="1"/>
            </w:tcBorders>
            <w:shd w:fill="C6EFCE" w:val="clear"/>
            <w:tcMar>
              <w:top w:type="dxa" w:w="60"/>
              <w:left w:type="dxa" w:w="120"/>
              <w:bottom w:type="dxa" w:w="60"/>
              <w:right w:type="dxa" w:w="120"/>
            </w:tcMar>
          </w:tcPr>
          <w:p>
            <w:r>
              <w:rPr>
                <w:rFonts w:ascii="Arial" w:cs="Arial" w:eastAsia="Arial" w:hAnsi="Arial"/>
                <w:b w:val="false"/>
                <w:bCs w:val="false"/>
                <w:sz w:val="20"/>
                <w:szCs w:val="20"/>
              </w:rPr>
              <w:t xml:space="preserve">High</w:t>
            </w:r>
          </w:p>
        </w:tc>
        <w:tc>
          <w:tcPr>
            <w:tcW w:type="dxa" w:w="4800"/>
            <w:tcBorders>
              <w:top w:val="single" w:color="C0C0C0" w:sz="1"/>
              <w:left w:val="single" w:color="C0C0C0" w:sz="1"/>
              <w:bottom w:val="single" w:color="C0C0C0" w:sz="1"/>
              <w:right w:val="single" w:color="C0C0C0" w:sz="1"/>
            </w:tcBorders>
            <w:shd w:fill="C6EFCE" w:val="clear"/>
            <w:tcMar>
              <w:top w:type="dxa" w:w="60"/>
              <w:left w:type="dxa" w:w="120"/>
              <w:bottom w:type="dxa" w:w="60"/>
              <w:right w:type="dxa" w:w="120"/>
            </w:tcMar>
          </w:tcPr>
          <w:p>
            <w:r>
              <w:rPr>
                <w:rFonts w:ascii="Arial" w:cs="Arial" w:eastAsia="Arial" w:hAnsi="Arial"/>
                <w:b w:val="false"/>
                <w:bCs w:val="false"/>
                <w:sz w:val="20"/>
                <w:szCs w:val="20"/>
              </w:rPr>
              <w:t xml:space="preserve">Direct product mention</w:t>
            </w:r>
          </w:p>
        </w:tc>
      </w:tr>
      <w:tr>
        <w:tc>
          <w:tcPr>
            <w:tcW w:type="dxa" w:w="3120"/>
            <w:tcBorders>
              <w:top w:val="single" w:color="C0C0C0" w:sz="1"/>
              <w:left w:val="single" w:color="C0C0C0" w:sz="1"/>
              <w:bottom w:val="single" w:color="C0C0C0" w:sz="1"/>
              <w:right w:val="single" w:color="C0C0C0" w:sz="1"/>
            </w:tcBorders>
            <w:shd w:fill="FFEB9C" w:val="clear"/>
            <w:tcMar>
              <w:top w:type="dxa" w:w="60"/>
              <w:left w:type="dxa" w:w="120"/>
              <w:bottom w:type="dxa" w:w="60"/>
              <w:right w:type="dxa" w:w="120"/>
            </w:tcMar>
          </w:tcPr>
          <w:p>
            <w:r>
              <w:rPr>
                <w:rFonts w:ascii="Arial" w:cs="Arial" w:eastAsia="Arial" w:hAnsi="Arial"/>
                <w:b w:val="false"/>
                <w:bCs w:val="false"/>
                <w:sz w:val="20"/>
                <w:szCs w:val="20"/>
              </w:rPr>
              <w:t xml:space="preserve">campus security systems / security system upgrade</w:t>
            </w:r>
          </w:p>
        </w:tc>
        <w:tc>
          <w:tcPr>
            <w:tcW w:type="dxa" w:w="1440"/>
            <w:tcBorders>
              <w:top w:val="single" w:color="C0C0C0" w:sz="1"/>
              <w:left w:val="single" w:color="C0C0C0" w:sz="1"/>
              <w:bottom w:val="single" w:color="C0C0C0" w:sz="1"/>
              <w:right w:val="single" w:color="C0C0C0" w:sz="1"/>
            </w:tcBorders>
            <w:shd w:fill="FFEB9C" w:val="clear"/>
            <w:tcMar>
              <w:top w:type="dxa" w:w="60"/>
              <w:left w:type="dxa" w:w="120"/>
              <w:bottom w:type="dxa" w:w="60"/>
              <w:right w:type="dxa" w:w="120"/>
            </w:tcMar>
          </w:tcPr>
          <w:p>
            <w:r>
              <w:rPr>
                <w:rFonts w:ascii="Arial" w:cs="Arial" w:eastAsia="Arial" w:hAnsi="Arial"/>
                <w:b w:val="false"/>
                <w:bCs w:val="false"/>
                <w:sz w:val="20"/>
                <w:szCs w:val="20"/>
              </w:rPr>
              <w:t xml:space="preserve">High</w:t>
            </w:r>
          </w:p>
        </w:tc>
        <w:tc>
          <w:tcPr>
            <w:tcW w:type="dxa" w:w="4800"/>
            <w:tcBorders>
              <w:top w:val="single" w:color="C0C0C0" w:sz="1"/>
              <w:left w:val="single" w:color="C0C0C0" w:sz="1"/>
              <w:bottom w:val="single" w:color="C0C0C0" w:sz="1"/>
              <w:right w:val="single" w:color="C0C0C0" w:sz="1"/>
            </w:tcBorders>
            <w:shd w:fill="FFEB9C" w:val="clear"/>
            <w:tcMar>
              <w:top w:type="dxa" w:w="60"/>
              <w:left w:type="dxa" w:w="120"/>
              <w:bottom w:type="dxa" w:w="60"/>
              <w:right w:type="dxa" w:w="120"/>
            </w:tcMar>
          </w:tcPr>
          <w:p>
            <w:r>
              <w:rPr>
                <w:rFonts w:ascii="Arial" w:cs="Arial" w:eastAsia="Arial" w:hAnsi="Arial"/>
                <w:b w:val="false"/>
                <w:bCs w:val="false"/>
                <w:sz w:val="20"/>
                <w:szCs w:val="20"/>
              </w:rPr>
              <w:t xml:space="preserve">Multi-system project; access control is typically part</w:t>
            </w:r>
          </w:p>
        </w:tc>
      </w:tr>
      <w:tr>
        <w:tc>
          <w:tcPr>
            <w:tcW w:type="dxa" w:w="3120"/>
            <w:tcBorders>
              <w:top w:val="single" w:color="C0C0C0" w:sz="1"/>
              <w:left w:val="single" w:color="C0C0C0" w:sz="1"/>
              <w:bottom w:val="single" w:color="C0C0C0" w:sz="1"/>
              <w:right w:val="single" w:color="C0C0C0" w:sz="1"/>
            </w:tcBorders>
            <w:shd w:fill="FFEB9C" w:val="clear"/>
            <w:tcMar>
              <w:top w:type="dxa" w:w="60"/>
              <w:left w:type="dxa" w:w="120"/>
              <w:bottom w:type="dxa" w:w="60"/>
              <w:right w:type="dxa" w:w="120"/>
            </w:tcMar>
          </w:tcPr>
          <w:p>
            <w:r>
              <w:rPr>
                <w:rFonts w:ascii="Arial" w:cs="Arial" w:eastAsia="Arial" w:hAnsi="Arial"/>
                <w:b w:val="false"/>
                <w:bCs w:val="false"/>
                <w:sz w:val="20"/>
                <w:szCs w:val="20"/>
              </w:rPr>
              <w:t xml:space="preserve">safety/security improvements / safety upgrades</w:t>
            </w:r>
          </w:p>
        </w:tc>
        <w:tc>
          <w:tcPr>
            <w:tcW w:type="dxa" w:w="1440"/>
            <w:tcBorders>
              <w:top w:val="single" w:color="C0C0C0" w:sz="1"/>
              <w:left w:val="single" w:color="C0C0C0" w:sz="1"/>
              <w:bottom w:val="single" w:color="C0C0C0" w:sz="1"/>
              <w:right w:val="single" w:color="C0C0C0" w:sz="1"/>
            </w:tcBorders>
            <w:shd w:fill="FFEB9C" w:val="clear"/>
            <w:tcMar>
              <w:top w:type="dxa" w:w="60"/>
              <w:left w:type="dxa" w:w="120"/>
              <w:bottom w:type="dxa" w:w="60"/>
              <w:right w:type="dxa" w:w="120"/>
            </w:tcMar>
          </w:tcPr>
          <w:p>
            <w:r>
              <w:rPr>
                <w:rFonts w:ascii="Arial" w:cs="Arial" w:eastAsia="Arial" w:hAnsi="Arial"/>
                <w:b w:val="false"/>
                <w:bCs w:val="false"/>
                <w:sz w:val="20"/>
                <w:szCs w:val="20"/>
              </w:rPr>
              <w:t xml:space="preserve">Medium</w:t>
            </w:r>
          </w:p>
        </w:tc>
        <w:tc>
          <w:tcPr>
            <w:tcW w:type="dxa" w:w="4800"/>
            <w:tcBorders>
              <w:top w:val="single" w:color="C0C0C0" w:sz="1"/>
              <w:left w:val="single" w:color="C0C0C0" w:sz="1"/>
              <w:bottom w:val="single" w:color="C0C0C0" w:sz="1"/>
              <w:right w:val="single" w:color="C0C0C0" w:sz="1"/>
            </w:tcBorders>
            <w:shd w:fill="FFEB9C" w:val="clear"/>
            <w:tcMar>
              <w:top w:type="dxa" w:w="60"/>
              <w:left w:type="dxa" w:w="120"/>
              <w:bottom w:type="dxa" w:w="60"/>
              <w:right w:type="dxa" w:w="120"/>
            </w:tcMar>
          </w:tcPr>
          <w:p>
            <w:r>
              <w:rPr>
                <w:rFonts w:ascii="Arial" w:cs="Arial" w:eastAsia="Arial" w:hAnsi="Arial"/>
                <w:b w:val="false"/>
                <w:bCs w:val="false"/>
                <w:sz w:val="20"/>
                <w:szCs w:val="20"/>
              </w:rPr>
              <w:t xml:space="preserve">Umbrella language; may or may not include access control</w:t>
            </w:r>
          </w:p>
        </w:tc>
      </w:tr>
      <w:tr>
        <w:tc>
          <w:tcPr>
            <w:tcW w:type="dxa" w:w="3120"/>
            <w:tcBorders>
              <w:top w:val="single" w:color="C0C0C0" w:sz="1"/>
              <w:left w:val="single" w:color="C0C0C0" w:sz="1"/>
              <w:bottom w:val="single" w:color="C0C0C0" w:sz="1"/>
              <w:right w:val="single" w:color="C0C0C0" w:sz="1"/>
            </w:tcBorders>
            <w:shd w:fill="E2EFDA" w:val="clear"/>
            <w:tcMar>
              <w:top w:type="dxa" w:w="60"/>
              <w:left w:type="dxa" w:w="120"/>
              <w:bottom w:type="dxa" w:w="60"/>
              <w:right w:type="dxa" w:w="120"/>
            </w:tcMar>
          </w:tcPr>
          <w:p>
            <w:r>
              <w:rPr>
                <w:rFonts w:ascii="Arial" w:cs="Arial" w:eastAsia="Arial" w:hAnsi="Arial"/>
                <w:b w:val="false"/>
                <w:bCs w:val="false"/>
                <w:sz w:val="20"/>
                <w:szCs w:val="20"/>
              </w:rPr>
              <w:t xml:space="preserve">security cameras / camera system</w:t>
            </w:r>
          </w:p>
        </w:tc>
        <w:tc>
          <w:tcPr>
            <w:tcW w:type="dxa" w:w="1440"/>
            <w:tcBorders>
              <w:top w:val="single" w:color="C0C0C0" w:sz="1"/>
              <w:left w:val="single" w:color="C0C0C0" w:sz="1"/>
              <w:bottom w:val="single" w:color="C0C0C0" w:sz="1"/>
              <w:right w:val="single" w:color="C0C0C0" w:sz="1"/>
            </w:tcBorders>
            <w:shd w:fill="E2EFDA" w:val="clear"/>
            <w:tcMar>
              <w:top w:type="dxa" w:w="60"/>
              <w:left w:type="dxa" w:w="120"/>
              <w:bottom w:type="dxa" w:w="60"/>
              <w:right w:type="dxa" w:w="120"/>
            </w:tcMar>
          </w:tcPr>
          <w:p>
            <w:r>
              <w:rPr>
                <w:rFonts w:ascii="Arial" w:cs="Arial" w:eastAsia="Arial" w:hAnsi="Arial"/>
                <w:b w:val="false"/>
                <w:bCs w:val="false"/>
                <w:sz w:val="20"/>
                <w:szCs w:val="20"/>
              </w:rPr>
              <w:t xml:space="preserve">Medium</w:t>
            </w:r>
          </w:p>
        </w:tc>
        <w:tc>
          <w:tcPr>
            <w:tcW w:type="dxa" w:w="4800"/>
            <w:tcBorders>
              <w:top w:val="single" w:color="C0C0C0" w:sz="1"/>
              <w:left w:val="single" w:color="C0C0C0" w:sz="1"/>
              <w:bottom w:val="single" w:color="C0C0C0" w:sz="1"/>
              <w:right w:val="single" w:color="C0C0C0" w:sz="1"/>
            </w:tcBorders>
            <w:shd w:fill="E2EFDA" w:val="clear"/>
            <w:tcMar>
              <w:top w:type="dxa" w:w="60"/>
              <w:left w:type="dxa" w:w="120"/>
              <w:bottom w:type="dxa" w:w="60"/>
              <w:right w:type="dxa" w:w="120"/>
            </w:tcMar>
          </w:tcPr>
          <w:p>
            <w:r>
              <w:rPr>
                <w:rFonts w:ascii="Arial" w:cs="Arial" w:eastAsia="Arial" w:hAnsi="Arial"/>
                <w:b w:val="false"/>
                <w:bCs w:val="false"/>
                <w:sz w:val="20"/>
                <w:szCs w:val="20"/>
              </w:rPr>
              <w:t xml:space="preserve">Often bundled with access control in security packages</w:t>
            </w:r>
          </w:p>
        </w:tc>
      </w:tr>
      <w:tr>
        <w:tc>
          <w:tcPr>
            <w:tcW w:type="dxa" w:w="3120"/>
            <w:tcBorders>
              <w:top w:val="single" w:color="C0C0C0" w:sz="1"/>
              <w:left w:val="single" w:color="C0C0C0" w:sz="1"/>
              <w:bottom w:val="single" w:color="C0C0C0" w:sz="1"/>
              <w:right w:val="single" w:color="C0C0C0" w:sz="1"/>
            </w:tcBorders>
            <w:shd w:fill="E2EFDA" w:val="clear"/>
            <w:tcMar>
              <w:top w:type="dxa" w:w="60"/>
              <w:left w:type="dxa" w:w="120"/>
              <w:bottom w:type="dxa" w:w="60"/>
              <w:right w:type="dxa" w:w="120"/>
            </w:tcMar>
          </w:tcPr>
          <w:p>
            <w:r>
              <w:rPr>
                <w:rFonts w:ascii="Arial" w:cs="Arial" w:eastAsia="Arial" w:hAnsi="Arial"/>
                <w:b w:val="false"/>
                <w:bCs w:val="false"/>
                <w:sz w:val="20"/>
                <w:szCs w:val="20"/>
              </w:rPr>
              <w:t xml:space="preserve">new school construction / new campus</w:t>
            </w:r>
          </w:p>
        </w:tc>
        <w:tc>
          <w:tcPr>
            <w:tcW w:type="dxa" w:w="1440"/>
            <w:tcBorders>
              <w:top w:val="single" w:color="C0C0C0" w:sz="1"/>
              <w:left w:val="single" w:color="C0C0C0" w:sz="1"/>
              <w:bottom w:val="single" w:color="C0C0C0" w:sz="1"/>
              <w:right w:val="single" w:color="C0C0C0" w:sz="1"/>
            </w:tcBorders>
            <w:shd w:fill="E2EFDA" w:val="clear"/>
            <w:tcMar>
              <w:top w:type="dxa" w:w="60"/>
              <w:left w:type="dxa" w:w="120"/>
              <w:bottom w:type="dxa" w:w="60"/>
              <w:right w:type="dxa" w:w="120"/>
            </w:tcMar>
          </w:tcPr>
          <w:p>
            <w:r>
              <w:rPr>
                <w:rFonts w:ascii="Arial" w:cs="Arial" w:eastAsia="Arial" w:hAnsi="Arial"/>
                <w:b w:val="false"/>
                <w:bCs w:val="false"/>
                <w:sz w:val="20"/>
                <w:szCs w:val="20"/>
              </w:rPr>
              <w:t xml:space="preserve">Medium</w:t>
            </w:r>
          </w:p>
        </w:tc>
        <w:tc>
          <w:tcPr>
            <w:tcW w:type="dxa" w:w="4800"/>
            <w:tcBorders>
              <w:top w:val="single" w:color="C0C0C0" w:sz="1"/>
              <w:left w:val="single" w:color="C0C0C0" w:sz="1"/>
              <w:bottom w:val="single" w:color="C0C0C0" w:sz="1"/>
              <w:right w:val="single" w:color="C0C0C0" w:sz="1"/>
            </w:tcBorders>
            <w:shd w:fill="E2EFDA" w:val="clear"/>
            <w:tcMar>
              <w:top w:type="dxa" w:w="60"/>
              <w:left w:type="dxa" w:w="120"/>
              <w:bottom w:type="dxa" w:w="60"/>
              <w:right w:type="dxa" w:w="120"/>
            </w:tcMar>
          </w:tcPr>
          <w:p>
            <w:r>
              <w:rPr>
                <w:rFonts w:ascii="Arial" w:cs="Arial" w:eastAsia="Arial" w:hAnsi="Arial"/>
                <w:b w:val="false"/>
                <w:bCs w:val="false"/>
                <w:sz w:val="20"/>
                <w:szCs w:val="20"/>
              </w:rPr>
              <w:t xml:space="preserve">Code-mandated hardened entry applies regardless of language</w:t>
            </w:r>
          </w:p>
        </w:tc>
      </w:tr>
      <w:tr>
        <w:tc>
          <w:tcPr>
            <w:tcW w:type="dxa" w:w="3120"/>
            <w:tcBorders>
              <w:top w:val="single" w:color="C0C0C0" w:sz="1"/>
              <w:left w:val="single" w:color="C0C0C0" w:sz="1"/>
              <w:bottom w:val="single" w:color="C0C0C0" w:sz="1"/>
              <w:right w:val="single" w:color="C0C0C0" w:sz="1"/>
            </w:tcBorders>
            <w:shd w:fill="E2EFDA" w:val="clear"/>
            <w:tcMar>
              <w:top w:type="dxa" w:w="60"/>
              <w:left w:type="dxa" w:w="120"/>
              <w:bottom w:type="dxa" w:w="60"/>
              <w:right w:type="dxa" w:w="120"/>
            </w:tcMar>
          </w:tcPr>
          <w:p>
            <w:r>
              <w:rPr>
                <w:rFonts w:ascii="Arial" w:cs="Arial" w:eastAsia="Arial" w:hAnsi="Arial"/>
                <w:b w:val="false"/>
                <w:bCs w:val="false"/>
                <w:sz w:val="20"/>
                <w:szCs w:val="20"/>
              </w:rPr>
              <w:t xml:space="preserve">fencing / perimeter security</w:t>
            </w:r>
          </w:p>
        </w:tc>
        <w:tc>
          <w:tcPr>
            <w:tcW w:type="dxa" w:w="1440"/>
            <w:tcBorders>
              <w:top w:val="single" w:color="C0C0C0" w:sz="1"/>
              <w:left w:val="single" w:color="C0C0C0" w:sz="1"/>
              <w:bottom w:val="single" w:color="C0C0C0" w:sz="1"/>
              <w:right w:val="single" w:color="C0C0C0" w:sz="1"/>
            </w:tcBorders>
            <w:shd w:fill="E2EFDA" w:val="clear"/>
            <w:tcMar>
              <w:top w:type="dxa" w:w="60"/>
              <w:left w:type="dxa" w:w="120"/>
              <w:bottom w:type="dxa" w:w="60"/>
              <w:right w:type="dxa" w:w="120"/>
            </w:tcMar>
          </w:tcPr>
          <w:p>
            <w:r>
              <w:rPr>
                <w:rFonts w:ascii="Arial" w:cs="Arial" w:eastAsia="Arial" w:hAnsi="Arial"/>
                <w:b w:val="false"/>
                <w:bCs w:val="false"/>
                <w:sz w:val="20"/>
                <w:szCs w:val="20"/>
              </w:rPr>
              <w:t xml:space="preserve">Low-Medium</w:t>
            </w:r>
          </w:p>
        </w:tc>
        <w:tc>
          <w:tcPr>
            <w:tcW w:type="dxa" w:w="4800"/>
            <w:tcBorders>
              <w:top w:val="single" w:color="C0C0C0" w:sz="1"/>
              <w:left w:val="single" w:color="C0C0C0" w:sz="1"/>
              <w:bottom w:val="single" w:color="C0C0C0" w:sz="1"/>
              <w:right w:val="single" w:color="C0C0C0" w:sz="1"/>
            </w:tcBorders>
            <w:shd w:fill="E2EFDA" w:val="clear"/>
            <w:tcMar>
              <w:top w:type="dxa" w:w="60"/>
              <w:left w:type="dxa" w:w="120"/>
              <w:bottom w:type="dxa" w:w="60"/>
              <w:right w:type="dxa" w:w="120"/>
            </w:tcMar>
          </w:tcPr>
          <w:p>
            <w:r>
              <w:rPr>
                <w:rFonts w:ascii="Arial" w:cs="Arial" w:eastAsia="Arial" w:hAnsi="Arial"/>
                <w:b w:val="false"/>
                <w:bCs w:val="false"/>
                <w:sz w:val="20"/>
                <w:szCs w:val="20"/>
              </w:rPr>
              <w:t xml:space="preserve">Often paired with entry-point hardening</w:t>
            </w:r>
          </w:p>
        </w:tc>
      </w:tr>
      <w:tr>
        <w:tc>
          <w:tcPr>
            <w:tcW w:type="dxa" w:w="3120"/>
            <w:tcBorders>
              <w:top w:val="single" w:color="C0C0C0" w:sz="1"/>
              <w:left w:val="single" w:color="C0C0C0" w:sz="1"/>
              <w:bottom w:val="single" w:color="C0C0C0" w:sz="1"/>
              <w:right w:val="single" w:color="C0C0C0" w:sz="1"/>
            </w:tcBorders>
            <w:shd w:fill="FFEB9C" w:val="clear"/>
            <w:tcMar>
              <w:top w:type="dxa" w:w="60"/>
              <w:left w:type="dxa" w:w="120"/>
              <w:bottom w:type="dxa" w:w="60"/>
              <w:right w:type="dxa" w:w="120"/>
            </w:tcMar>
          </w:tcPr>
          <w:p>
            <w:r>
              <w:rPr>
                <w:rFonts w:ascii="Arial" w:cs="Arial" w:eastAsia="Arial" w:hAnsi="Arial"/>
                <w:b w:val="false"/>
                <w:bCs w:val="false"/>
                <w:sz w:val="20"/>
                <w:szCs w:val="20"/>
              </w:rPr>
              <w:t xml:space="preserve">lockdown / emergency lockdown</w:t>
            </w:r>
          </w:p>
        </w:tc>
        <w:tc>
          <w:tcPr>
            <w:tcW w:type="dxa" w:w="1440"/>
            <w:tcBorders>
              <w:top w:val="single" w:color="C0C0C0" w:sz="1"/>
              <w:left w:val="single" w:color="C0C0C0" w:sz="1"/>
              <w:bottom w:val="single" w:color="C0C0C0" w:sz="1"/>
              <w:right w:val="single" w:color="C0C0C0" w:sz="1"/>
            </w:tcBorders>
            <w:shd w:fill="FFEB9C" w:val="clear"/>
            <w:tcMar>
              <w:top w:type="dxa" w:w="60"/>
              <w:left w:type="dxa" w:w="120"/>
              <w:bottom w:type="dxa" w:w="60"/>
              <w:right w:type="dxa" w:w="120"/>
            </w:tcMar>
          </w:tcPr>
          <w:p>
            <w:r>
              <w:rPr>
                <w:rFonts w:ascii="Arial" w:cs="Arial" w:eastAsia="Arial" w:hAnsi="Arial"/>
                <w:b w:val="false"/>
                <w:bCs w:val="false"/>
                <w:sz w:val="20"/>
                <w:szCs w:val="20"/>
              </w:rPr>
              <w:t xml:space="preserve">Medium</w:t>
            </w:r>
          </w:p>
        </w:tc>
        <w:tc>
          <w:tcPr>
            <w:tcW w:type="dxa" w:w="4800"/>
            <w:tcBorders>
              <w:top w:val="single" w:color="C0C0C0" w:sz="1"/>
              <w:left w:val="single" w:color="C0C0C0" w:sz="1"/>
              <w:bottom w:val="single" w:color="C0C0C0" w:sz="1"/>
              <w:right w:val="single" w:color="C0C0C0" w:sz="1"/>
            </w:tcBorders>
            <w:shd w:fill="FFEB9C" w:val="clear"/>
            <w:tcMar>
              <w:top w:type="dxa" w:w="60"/>
              <w:left w:type="dxa" w:w="120"/>
              <w:bottom w:type="dxa" w:w="60"/>
              <w:right w:type="dxa" w:w="120"/>
            </w:tcMar>
          </w:tcPr>
          <w:p>
            <w:r>
              <w:rPr>
                <w:rFonts w:ascii="Arial" w:cs="Arial" w:eastAsia="Arial" w:hAnsi="Arial"/>
                <w:b w:val="false"/>
                <w:bCs w:val="false"/>
                <w:sz w:val="20"/>
                <w:szCs w:val="20"/>
              </w:rPr>
              <w:t xml:space="preserve">Lockdown hardware is a direct Proxess product</w:t>
            </w:r>
          </w:p>
        </w:tc>
      </w:tr>
    </w:tbl>
    <w:p>
      <w:pPr>
        <w:spacing w:after="160" w:before="0"/>
      </w:pPr>
      <w:r>
        <w:t xml:space="preserve"/>
      </w:r>
    </w:p>
    <w:p>
      <w:pPr>
        <w:pStyle w:val="Heading1"/>
        <w:pBdr>
          <w:bottom w:val="single" w:color="2E5FA3" w:sz="8" w:space="4"/>
        </w:pBdr>
        <w:spacing w:after="160" w:before="320"/>
      </w:pPr>
      <w:r>
        <w:rPr>
          <w:rFonts w:ascii="Arial" w:cs="Arial" w:eastAsia="Arial" w:hAnsi="Arial"/>
          <w:b/>
          <w:bCs/>
          <w:color w:val="1F3864"/>
          <w:sz w:val="32"/>
          <w:szCs w:val="32"/>
        </w:rPr>
        <w:t xml:space="preserve">Methodology &amp; Data Sources</w:t>
      </w:r>
    </w:p>
    <w:p>
      <w:pPr>
        <w:pStyle w:val="ListParagraph"/>
        <w:numPr>
          <w:ilvl w:val="0"/>
          <w:numId w:val="2"/>
        </w:numPr>
        <w:spacing w:after="40" w:before="40"/>
      </w:pPr>
      <w:r>
        <w:rPr>
          <w:rFonts w:ascii="Arial" w:cs="Arial" w:eastAsia="Arial" w:hAnsi="Arial"/>
          <w:sz w:val="22"/>
          <w:szCs w:val="22"/>
        </w:rPr>
        <w:t xml:space="preserve">Bond data source: SchoolBondFinder (schoolbondfinder.com) — database of K-12 bond measures with passage status, amounts, and bond purpose text</w:t>
      </w:r>
    </w:p>
    <w:p>
      <w:pPr>
        <w:pStyle w:val="ListParagraph"/>
        <w:numPr>
          <w:ilvl w:val="0"/>
          <w:numId w:val="2"/>
        </w:numPr>
        <w:spacing w:after="40" w:before="40"/>
      </w:pPr>
      <w:r>
        <w:rPr>
          <w:rFonts w:ascii="Arial" w:cs="Arial" w:eastAsia="Arial" w:hAnsi="Arial"/>
          <w:sz w:val="22"/>
          <w:szCs w:val="22"/>
        </w:rPr>
        <w:t xml:space="preserve">Sample: 80 recently-passed bonds across California, Arizona, and Nevada (bond passage dates Nov 2025 – Jun 2026)</w:t>
      </w:r>
    </w:p>
    <w:p>
      <w:pPr>
        <w:pStyle w:val="ListParagraph"/>
        <w:numPr>
          <w:ilvl w:val="0"/>
          <w:numId w:val="2"/>
        </w:numPr>
        <w:spacing w:after="40" w:before="40"/>
      </w:pPr>
      <w:r>
        <w:rPr>
          <w:rFonts w:ascii="Arial" w:cs="Arial" w:eastAsia="Arial" w:hAnsi="Arial"/>
          <w:sz w:val="22"/>
          <w:szCs w:val="22"/>
        </w:rPr>
        <w:t xml:space="preserve">Signal detection: Keyword scan of bond_use text field against 18 access control terms</w:t>
      </w:r>
    </w:p>
    <w:p>
      <w:pPr>
        <w:pStyle w:val="ListParagraph"/>
        <w:numPr>
          <w:ilvl w:val="0"/>
          <w:numId w:val="2"/>
        </w:numPr>
        <w:spacing w:after="40" w:before="40"/>
      </w:pPr>
      <w:r>
        <w:rPr>
          <w:rFonts w:ascii="Arial" w:cs="Arial" w:eastAsia="Arial" w:hAnsi="Arial"/>
          <w:sz w:val="22"/>
          <w:szCs w:val="22"/>
        </w:rPr>
        <w:t xml:space="preserve">Tier classification: Tier 1 = explicit keyword match; Tier 2 = new construction / DSA-triggering scope; Tier 3 = general safety language</w:t>
      </w:r>
    </w:p>
    <w:p>
      <w:pPr>
        <w:pStyle w:val="ListParagraph"/>
        <w:numPr>
          <w:ilvl w:val="0"/>
          <w:numId w:val="2"/>
        </w:numPr>
        <w:spacing w:after="40" w:before="40"/>
      </w:pPr>
      <w:r>
        <w:rPr>
          <w:rFonts w:ascii="Arial" w:cs="Arial" w:eastAsia="Arial" w:hAnsi="Arial"/>
          <w:sz w:val="22"/>
          <w:szCs w:val="22"/>
        </w:rPr>
        <w:t xml:space="preserve">Competitive analysis: Based on publicly available vendor information and K-12 market knowledge as of June 2026</w:t>
      </w:r>
    </w:p>
    <w:p>
      <w:pPr>
        <w:pStyle w:val="ListParagraph"/>
        <w:numPr>
          <w:ilvl w:val="0"/>
          <w:numId w:val="2"/>
        </w:numPr>
        <w:spacing w:after="40" w:before="40"/>
      </w:pPr>
      <w:r>
        <w:rPr>
          <w:rFonts w:ascii="Arial" w:cs="Arial" w:eastAsia="Arial" w:hAnsi="Arial"/>
          <w:sz w:val="22"/>
          <w:szCs w:val="22"/>
        </w:rPr>
        <w:t xml:space="preserve">This report does not include bid-stage (ConstructConnect) data — a separate ConstructConnect scan would surface active bid packages for immediate-term opportunities</w:t>
      </w:r>
    </w:p>
    <w:p>
      <w:pPr>
        <w:spacing w:after="80" w:before="0"/>
      </w:pPr>
      <w:r>
        <w:t xml:space="preserve"/>
      </w:r>
    </w:p>
    <w:p>
      <w:pPr>
        <w:spacing w:after="60" w:before="60"/>
      </w:pPr>
      <w:r>
        <w:rPr>
          <w:rFonts w:ascii="Arial" w:cs="Arial" w:eastAsia="Arial" w:hAnsi="Arial"/>
          <w:i/>
          <w:iCs/>
          <w:color w:val="888888"/>
          <w:sz w:val="22"/>
          <w:szCs w:val="22"/>
        </w:rPr>
        <w:t xml:space="preserve">Data current as of June 2026. Bond procurement timelines are estimates based on typical CA and AZ public school bond cycles. Proxess should verify bond status and procurement phase directly with each district before outreach.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3" w:pos="9360"/>
      </w:tabs>
    </w:pPr>
    <w:r>
      <w:rPr>
        <w:rFonts w:ascii="Arial" w:cs="Arial" w:eastAsia="Arial" w:hAnsi="Arial"/>
        <w:color w:val="AAAAAA"/>
        <w:sz w:val="16"/>
        <w:szCs w:val="16"/>
      </w:rPr>
      <w:t xml:space="preserve">Source: SchoolBondFinder — bonds passed 2025–2026. Proprietary analysis. Not for distribution.</w:t>
    </w:r>
    <w:r>
      <w:t xml:space="preserve">	</w:t>
    </w: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3" w:pos="9360"/>
      </w:tabs>
    </w:pPr>
    <w:r>
      <w:rPr>
        <w:rFonts w:ascii="Arial" w:cs="Arial" w:eastAsia="Arial" w:hAnsi="Arial"/>
        <w:color w:val="888888"/>
        <w:sz w:val="18"/>
        <w:szCs w:val="18"/>
      </w:rPr>
      <w:t xml:space="preserve">PROXESS  |  K-12 Access Control Market Intelligence</w:t>
    </w:r>
    <w:r>
      <w:t xml:space="preserve">	</w:t>
    </w:r>
    <w:r>
      <w:rPr>
        <w:rFonts w:ascii="Arial" w:cs="Arial" w:eastAsia="Arial" w:hAnsi="Arial"/>
        <w:color w:val="888888"/>
        <w:sz w:val="18"/>
        <w:szCs w:val="18"/>
      </w:rPr>
      <w:t xml:space="preserve">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2026-06-23T20:17:31.990Z</dcterms:created>
  <dcterms:modified xsi:type="dcterms:W3CDTF">2026-06-23T20:17:31.991Z</dcterms:modified>
</cp:coreProperties>
</file>

<file path=docProps/custom.xml><?xml version="1.0" encoding="utf-8"?>
<Properties xmlns="http://schemas.openxmlformats.org/officeDocument/2006/custom-properties" xmlns:vt="http://schemas.openxmlformats.org/officeDocument/2006/docPropsVTypes"/>
</file>