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5C" w:val="clear"/>
            <w:tcMar>
              <w:top w:type="dxa" w:w="400"/>
              <w:left w:type="dxa" w:w="500"/>
              <w:bottom w:type="dxa" w:w="400"/>
              <w:right w:type="dxa" w:w="400"/>
            </w:tcMar>
          </w:tcPr>
          <w:p>
            <w:pPr>
              <w:spacing w:after="80" w:before="0"/>
            </w:pPr>
            <w:r>
              <w:rPr>
                <w:rFonts w:ascii="Arial" w:cs="Arial" w:eastAsia="Arial" w:hAnsi="Arial"/>
                <w:b/>
                <w:bCs/>
                <w:caps/>
                <w:color w:val="7BA7D0"/>
                <w:spacing w:val="60"/>
                <w:sz w:val="20"/>
                <w:szCs w:val="20"/>
              </w:rPr>
              <w:t xml:space="preserve">STRATEGIC INITIATIVE BRIEF</w:t>
            </w:r>
          </w:p>
          <w:p>
            <w:pPr>
              <w:spacing w:after="160" w:before="0"/>
            </w:pPr>
            <w:r>
              <w:rPr>
                <w:rFonts w:ascii="Arial" w:cs="Arial" w:eastAsia="Arial" w:hAnsi="Arial"/>
                <w:b/>
                <w:bCs/>
                <w:color w:val="FFFFFF"/>
                <w:sz w:val="36"/>
                <w:szCs w:val="36"/>
              </w:rPr>
              <w:t xml:space="preserve">National Project Intelligence &amp; Automated Sales Pipeline</w:t>
            </w:r>
          </w:p>
          <w:p>
            <w:pPr>
              <w:spacing w:after="0" w:before="0"/>
            </w:pPr>
            <w:r>
              <w:rPr>
                <w:rFonts w:ascii="Arial" w:cs="Arial" w:eastAsia="Arial" w:hAnsi="Arial"/>
                <w:i/>
                <w:iCs/>
                <w:color w:val="B8D4EC"/>
                <w:sz w:val="22"/>
                <w:szCs w:val="22"/>
              </w:rPr>
              <w:t xml:space="preserve">A proposal to deploy AI-driven project monitoring, qualification scoring, and Salesforce opportunity creation across every school district construction project in the United States — and eventually internationally.</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Executive Summary</w:t>
      </w:r>
    </w:p>
    <w:p>
      <w:pPr>
        <w:spacing w:after="80" w:before="80"/>
      </w:pPr>
      <w:r>
        <w:rPr>
          <w:rFonts w:ascii="Arial" w:cs="Arial" w:eastAsia="Arial" w:hAnsi="Arial"/>
          <w:color w:val="555555"/>
          <w:sz w:val="22"/>
          <w:szCs w:val="22"/>
        </w:rPr>
        <w:t xml:space="preserve">This initiative proposes the deployment of an automated, AI-powered project intelligence system that continuously monitors construction project databases — beginning with ConstructConnect — to identify, score, and qualify school district construction projects across the entire United States, with a roadmap for international expansion.</w:t>
      </w:r>
    </w:p>
    <w:p>
      <w:pPr>
        <w:spacing w:after="0" w:before="60"/>
      </w:pPr>
      <w:r>
        <w:rPr>
          <w:rFonts w:ascii="Arial" w:cs="Arial" w:eastAsia="Arial" w:hAnsi="Arial"/>
        </w:rPr>
        <w:t xml:space="preserve"/>
      </w:r>
    </w:p>
    <w:p>
      <w:pPr>
        <w:spacing w:after="80" w:before="80"/>
      </w:pPr>
      <w:r>
        <w:rPr>
          <w:rFonts w:ascii="Arial" w:cs="Arial" w:eastAsia="Arial" w:hAnsi="Arial"/>
          <w:color w:val="555555"/>
          <w:sz w:val="22"/>
          <w:szCs w:val="22"/>
        </w:rPr>
        <w:t xml:space="preserve">The system eliminates manual research, removes human bottlenecks from the project identification process, and delivers pre-qualified Salesforce opportunities directly to the sales team each morning — without anyone reviewing a database by hand.</w:t>
      </w:r>
    </w:p>
    <w:p>
      <w:pPr>
        <w:spacing w:after="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0"/>
              <w:bottom w:val="none" w:color="FFFFFF" w:sz="0"/>
              <w:right w:val="none" w:color="FFFFFF" w:sz="0"/>
            </w:tcBorders>
            <w:shd w:fill="EBF4FB" w:val="clear"/>
            <w:tcMar>
              <w:top w:type="dxa" w:w="120"/>
              <w:left w:type="dxa" w:w="200"/>
              <w:bottom w:type="dxa" w:w="120"/>
              <w:right w:type="dxa" w:w="120"/>
            </w:tcMar>
          </w:tcPr>
          <w:p>
            <w:pPr>
              <w:spacing w:after="40" w:before="0"/>
            </w:pPr>
            <w:r>
              <w:rPr>
                <w:rFonts w:ascii="Arial" w:cs="Arial" w:eastAsia="Arial" w:hAnsi="Arial"/>
                <w:b/>
                <w:bCs/>
                <w:color w:val="1B3A5C"/>
                <w:sz w:val="22"/>
                <w:szCs w:val="22"/>
              </w:rPr>
              <w:t xml:space="preserve">The core value proposition</w:t>
            </w:r>
          </w:p>
          <w:p>
            <w:pPr>
              <w:spacing w:after="0" w:before="0"/>
            </w:pPr>
            <w:r>
              <w:rPr>
                <w:rFonts w:ascii="Arial" w:cs="Arial" w:eastAsia="Arial" w:hAnsi="Arial"/>
                <w:color w:val="555555"/>
                <w:sz w:val="20"/>
                <w:szCs w:val="20"/>
              </w:rPr>
              <w:t xml:space="preserve">Instead of a sales team manually browsing ConstructConnect for relevant projects, the system monitors every school district project in the country in real time, applies your company's pursuit criteria automatically, and creates Salesforce opportunities for the ones that meet the bar. Sales reps open Salesforce in the morning and the qualified pipeline is already populated.</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Phase 1 — Proof of Concept: Already Deployed</w:t>
      </w:r>
    </w:p>
    <w:p>
      <w:pPr>
        <w:spacing w:after="80" w:before="80"/>
      </w:pPr>
      <w:r>
        <w:rPr>
          <w:rFonts w:ascii="Arial" w:cs="Arial" w:eastAsia="Arial" w:hAnsi="Arial"/>
          <w:color w:val="555555"/>
          <w:sz w:val="22"/>
          <w:szCs w:val="22"/>
        </w:rPr>
        <w:t xml:space="preserve">A working proof of concept has been built and is currently live. This demonstrates the full technical approach at the state level before scaling nationally.</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5280"/>
      </w:tblGrid>
      <w:tr>
        <w:trPr>
          <w:tblHeader/>
        </w:trPr>
        <w:tc>
          <w:tcPr>
            <w:tcW w:type="dxa" w:w="3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Component</w:t>
            </w:r>
          </w:p>
        </w:tc>
        <w:tc>
          <w:tcPr>
            <w:tcW w:type="dxa" w:w="16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Status</w:t>
            </w:r>
          </w:p>
        </w:tc>
        <w:tc>
          <w:tcPr>
            <w:tcW w:type="dxa" w:w="52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Project Intelligence App</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LIVE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Deployed at Vercel — accessible from any browser, no software installation required.</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California &amp; Nevada Projects</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LOADED</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2,391 school district projects from ConstructConnect parsed, organized, and filterable.</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National → State → County Dashboard</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COMPLETE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Drill-down views with charts, pipeline values, stage breakdowns, and contact cards.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Brand &amp; Equipment Intelligence</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COMPLETE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637 projects tagged with AV, paging, and security brand indicators for our product lines.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Automated Hosting Pipeline</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LIVE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GitHub + Vercel connected — any data update triggers automatic site redeploy within 60 seconds.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Automated Data Refresh</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READY TO BUILD</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Script architecture defined — triggers ConstructConnect API, detects new projects, rebuilds app.</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AI Project Scoring</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READY TO BUILD</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Qualification rubric designed — awaiting pursuit criteria approval from Sales leadership.</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Salesforce Integration</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READY TO BUILD</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API integration designed — awaiting Connected App credentials from IT/Salesforce Admin.</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Phase 2 — National Scale</w:t>
      </w:r>
    </w:p>
    <w:p>
      <w:pPr>
        <w:spacing w:after="80" w:before="80"/>
      </w:pPr>
      <w:r>
        <w:rPr>
          <w:rFonts w:ascii="Arial" w:cs="Arial" w:eastAsia="Arial" w:hAnsi="Arial"/>
          <w:color w:val="555555"/>
          <w:sz w:val="22"/>
          <w:szCs w:val="22"/>
        </w:rPr>
        <w:t xml:space="preserve">Once the automated pipeline is validated in California and Nevada, the same system expands to cover every school district construction project in the United States. ConstructConnect tracks tens of thousands of active K-12 and higher education projects nationally.</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What National Scale Looks Like</w:t>
      </w:r>
    </w:p>
    <w:p>
      <w:pPr>
        <w:pStyle w:val="ListParagraph"/>
        <w:numPr>
          <w:ilvl w:val="0"/>
          <w:numId w:val="2"/>
        </w:numPr>
        <w:spacing w:after="60" w:before="60"/>
      </w:pPr>
      <w:r>
        <w:rPr>
          <w:rFonts w:ascii="Arial" w:cs="Arial" w:eastAsia="Arial" w:hAnsi="Arial"/>
          <w:b/>
          <w:bCs/>
          <w:color w:val="333333"/>
          <w:sz w:val="22"/>
          <w:szCs w:val="22"/>
        </w:rPr>
        <w:t xml:space="preserve">Coverage: </w:t>
      </w:r>
      <w:r>
        <w:rPr>
          <w:rFonts w:ascii="Arial" w:cs="Arial" w:eastAsia="Arial" w:hAnsi="Arial"/>
          <w:color w:val="555555"/>
          <w:sz w:val="22"/>
          <w:szCs w:val="22"/>
        </w:rPr>
        <w:t xml:space="preserve">All 50 states monitored continuously — not just the states where we currently have reps.</w:t>
      </w:r>
    </w:p>
    <w:p>
      <w:pPr>
        <w:pStyle w:val="ListParagraph"/>
        <w:numPr>
          <w:ilvl w:val="0"/>
          <w:numId w:val="2"/>
        </w:numPr>
        <w:spacing w:after="60" w:before="60"/>
      </w:pPr>
      <w:r>
        <w:rPr>
          <w:rFonts w:ascii="Arial" w:cs="Arial" w:eastAsia="Arial" w:hAnsi="Arial"/>
          <w:b/>
          <w:bCs/>
          <w:color w:val="333333"/>
          <w:sz w:val="22"/>
          <w:szCs w:val="22"/>
        </w:rPr>
        <w:t xml:space="preserve">Speed: </w:t>
      </w:r>
      <w:r>
        <w:rPr>
          <w:rFonts w:ascii="Arial" w:cs="Arial" w:eastAsia="Arial" w:hAnsi="Arial"/>
          <w:color w:val="555555"/>
          <w:sz w:val="22"/>
          <w:szCs w:val="22"/>
        </w:rPr>
        <w:t xml:space="preserve">Every new school district project that enters ConstructConnect is automatically evaluated against our pursuit criteria within 24 hours of appearing.</w:t>
      </w:r>
    </w:p>
    <w:p>
      <w:pPr>
        <w:pStyle w:val="ListParagraph"/>
        <w:numPr>
          <w:ilvl w:val="0"/>
          <w:numId w:val="2"/>
        </w:numPr>
        <w:spacing w:after="60" w:before="60"/>
      </w:pPr>
      <w:r>
        <w:rPr>
          <w:rFonts w:ascii="Arial" w:cs="Arial" w:eastAsia="Arial" w:hAnsi="Arial"/>
          <w:b/>
          <w:bCs/>
          <w:color w:val="333333"/>
          <w:sz w:val="22"/>
          <w:szCs w:val="22"/>
        </w:rPr>
        <w:t xml:space="preserve">Routing: </w:t>
      </w:r>
      <w:r>
        <w:rPr>
          <w:rFonts w:ascii="Arial" w:cs="Arial" w:eastAsia="Arial" w:hAnsi="Arial"/>
          <w:color w:val="555555"/>
          <w:sz w:val="22"/>
          <w:szCs w:val="22"/>
        </w:rPr>
        <w:t xml:space="preserve">Projects are scored, ranked, and routed to the correct regional sales owner in Salesforce based on geography.</w:t>
      </w:r>
    </w:p>
    <w:p>
      <w:pPr>
        <w:pStyle w:val="ListParagraph"/>
        <w:numPr>
          <w:ilvl w:val="0"/>
          <w:numId w:val="2"/>
        </w:numPr>
        <w:spacing w:after="60" w:before="60"/>
      </w:pPr>
      <w:r>
        <w:rPr>
          <w:rFonts w:ascii="Arial" w:cs="Arial" w:eastAsia="Arial" w:hAnsi="Arial"/>
          <w:b/>
          <w:bCs/>
          <w:color w:val="333333"/>
          <w:sz w:val="22"/>
          <w:szCs w:val="22"/>
        </w:rPr>
        <w:t xml:space="preserve">Early engagement: </w:t>
      </w:r>
      <w:r>
        <w:rPr>
          <w:rFonts w:ascii="Arial" w:cs="Arial" w:eastAsia="Arial" w:hAnsi="Arial"/>
          <w:color w:val="555555"/>
          <w:sz w:val="22"/>
          <w:szCs w:val="22"/>
        </w:rPr>
        <w:t xml:space="preserve">The system identifies projects in early stages (Pre-Design, Schematic) so sales can engage before the competition — not after bid day.</w:t>
      </w:r>
    </w:p>
    <w:p>
      <w:pPr>
        <w:pStyle w:val="ListParagraph"/>
        <w:numPr>
          <w:ilvl w:val="0"/>
          <w:numId w:val="2"/>
        </w:numPr>
        <w:spacing w:after="60" w:before="60"/>
      </w:pPr>
      <w:r>
        <w:rPr>
          <w:rFonts w:ascii="Arial" w:cs="Arial" w:eastAsia="Arial" w:hAnsi="Arial"/>
          <w:b/>
          <w:bCs/>
          <w:color w:val="333333"/>
          <w:sz w:val="22"/>
          <w:szCs w:val="22"/>
        </w:rPr>
        <w:t xml:space="preserve">Visibility: </w:t>
      </w:r>
      <w:r>
        <w:rPr>
          <w:rFonts w:ascii="Arial" w:cs="Arial" w:eastAsia="Arial" w:hAnsi="Arial"/>
          <w:color w:val="555555"/>
          <w:sz w:val="22"/>
          <w:szCs w:val="22"/>
        </w:rPr>
        <w:t xml:space="preserve">Dashboard views available at national, state, and county level for any leader or rep who wants to see the pipeline.</w:t>
      </w:r>
    </w:p>
    <w:p>
      <w:pPr>
        <w:spacing w:after="0" w:before="80"/>
      </w:pPr>
      <w:r>
        <w:rPr>
          <w:rFonts w:ascii="Arial" w:cs="Arial" w:eastAsia="Arial" w:hAnsi="Arial"/>
        </w:rPr>
        <w:t xml:space="preserve"/>
      </w:r>
    </w:p>
    <w:p>
      <w:pPr>
        <w:pStyle w:val="Heading2"/>
        <w:spacing w:after="120" w:before="280"/>
      </w:pPr>
      <w:r>
        <w:rPr>
          <w:rFonts w:ascii="Arial" w:cs="Arial" w:eastAsia="Arial" w:hAnsi="Arial"/>
          <w:b/>
          <w:bCs/>
          <w:color w:val="2E75B6"/>
          <w:sz w:val="26"/>
          <w:szCs w:val="26"/>
        </w:rPr>
        <w:t xml:space="preserve">Data Sources at National Scale</w:t>
      </w:r>
    </w:p>
    <w:p>
      <w:pPr>
        <w:spacing w:after="80" w:before="80"/>
      </w:pPr>
      <w:r>
        <w:rPr>
          <w:rFonts w:ascii="Arial" w:cs="Arial" w:eastAsia="Arial" w:hAnsi="Arial"/>
          <w:color w:val="555555"/>
          <w:sz w:val="22"/>
          <w:szCs w:val="22"/>
        </w:rPr>
        <w:t xml:space="preserve">ConstructConnect is the initial and primary source. As the system matures, additional data sources can be added to the same pipeline without rebuilding the platform:</w:t>
      </w:r>
    </w:p>
    <w:p>
      <w:pPr>
        <w:spacing w:after="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rPr>
          <w:tblHeader/>
        </w:trPr>
        <w:tc>
          <w:tcPr>
            <w:tcW w:type="dxa" w:w="28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Source</w:t>
            </w:r>
          </w:p>
        </w:tc>
        <w:tc>
          <w:tcPr>
            <w:tcW w:type="dxa" w:w="24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Coverage</w:t>
            </w:r>
          </w:p>
        </w:tc>
        <w:tc>
          <w:tcPr>
            <w:tcW w:type="dxa" w:w="48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ConstructConnect</w:t>
            </w:r>
          </w:p>
        </w:tc>
        <w:tc>
          <w:tcPr>
            <w:tcW w:type="dxa" w:w="24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United States</w:t>
            </w:r>
          </w:p>
        </w:tc>
        <w:tc>
          <w:tcPr>
            <w:tcW w:type="dxa" w:w="488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Current source — K-12 and higher education construction projects, all stages</w:t>
            </w:r>
          </w:p>
        </w:tc>
      </w:tr>
      <w:tr>
        <w:tc>
          <w:tcPr>
            <w:tcW w:type="dxa" w:w="28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School Bond Finder</w:t>
            </w:r>
          </w:p>
        </w:tc>
        <w:tc>
          <w:tcPr>
            <w:tcW w:type="dxa" w:w="24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United States</w:t>
            </w:r>
          </w:p>
        </w:tc>
        <w:tc>
          <w:tcPr>
            <w:tcW w:type="dxa" w:w="48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Bond measure data — identifies districts with newly approved funding before projects enter ConstructConnect</w:t>
            </w:r>
          </w:p>
        </w:tc>
      </w:tr>
      <w:tr>
        <w:tc>
          <w:tcPr>
            <w:tcW w:type="dxa" w:w="28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Dodge Data &amp; Analytics</w:t>
            </w:r>
          </w:p>
        </w:tc>
        <w:tc>
          <w:tcPr>
            <w:tcW w:type="dxa" w:w="24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United States</w:t>
            </w:r>
          </w:p>
        </w:tc>
        <w:tc>
          <w:tcPr>
            <w:tcW w:type="dxa" w:w="488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Additional construction intelligence — parallel data stream once national pipeline is established</w:t>
            </w:r>
          </w:p>
        </w:tc>
      </w:tr>
      <w:tr>
        <w:tc>
          <w:tcPr>
            <w:tcW w:type="dxa" w:w="28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International Sources</w:t>
            </w:r>
          </w:p>
        </w:tc>
        <w:tc>
          <w:tcPr>
            <w:tcW w:type="dxa" w:w="24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Canada, UK, Australia, and others</w:t>
            </w:r>
          </w:p>
        </w:tc>
        <w:tc>
          <w:tcPr>
            <w:tcW w:type="dxa" w:w="48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Phase 3 expansion — same pipeline architecture, localized data sources per country</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How the Automated Pipeline Works</w:t>
      </w:r>
    </w:p>
    <w:p>
      <w:pPr>
        <w:spacing w:after="80" w:before="80"/>
      </w:pPr>
      <w:r>
        <w:rPr>
          <w:rFonts w:ascii="Arial" w:cs="Arial" w:eastAsia="Arial" w:hAnsi="Arial"/>
          <w:color w:val="555555"/>
          <w:sz w:val="22"/>
          <w:szCs w:val="22"/>
        </w:rPr>
        <w:t xml:space="preserve">The following sequence runs automatically on a daily schedule with no human involvement required at any step:</w:t>
      </w:r>
    </w:p>
    <w:p>
      <w:pPr>
        <w:spacing w:after="0" w:before="80"/>
      </w:pPr>
      <w:r>
        <w:rPr>
          <w:rFonts w:ascii="Arial" w:cs="Arial" w:eastAsia="Arial" w:hAnsi="Arial"/>
        </w:rPr>
        <w:t xml:space="preserve"/>
      </w:r>
    </w:p>
    <w:p>
      <w:pPr>
        <w:pStyle w:val="ListParagraph"/>
        <w:numPr>
          <w:ilvl w:val="0"/>
          <w:numId w:val="3"/>
        </w:numPr>
        <w:spacing w:after="60" w:before="60"/>
      </w:pPr>
      <w:r>
        <w:rPr>
          <w:rFonts w:ascii="Arial" w:cs="Arial" w:eastAsia="Arial" w:hAnsi="Arial"/>
          <w:b/>
          <w:bCs/>
          <w:color w:val="333333"/>
          <w:sz w:val="22"/>
          <w:szCs w:val="22"/>
        </w:rPr>
        <w:t xml:space="preserve">Step 1. </w:t>
      </w:r>
      <w:r>
        <w:rPr>
          <w:rFonts w:ascii="Arial" w:cs="Arial" w:eastAsia="Arial" w:hAnsi="Arial"/>
          <w:color w:val="555555"/>
          <w:sz w:val="22"/>
          <w:szCs w:val="22"/>
        </w:rPr>
        <w:t xml:space="preserve">The system checks ConstructConnect each morning and downloads the current project list for all monitored states and regions.</w:t>
      </w:r>
    </w:p>
    <w:p>
      <w:pPr>
        <w:pStyle w:val="ListParagraph"/>
        <w:numPr>
          <w:ilvl w:val="0"/>
          <w:numId w:val="3"/>
        </w:numPr>
        <w:spacing w:after="60" w:before="60"/>
      </w:pPr>
      <w:r>
        <w:rPr>
          <w:rFonts w:ascii="Arial" w:cs="Arial" w:eastAsia="Arial" w:hAnsi="Arial"/>
          <w:b/>
          <w:bCs/>
          <w:color w:val="333333"/>
          <w:sz w:val="22"/>
          <w:szCs w:val="22"/>
        </w:rPr>
        <w:t xml:space="preserve">Step 2. </w:t>
      </w:r>
      <w:r>
        <w:rPr>
          <w:rFonts w:ascii="Arial" w:cs="Arial" w:eastAsia="Arial" w:hAnsi="Arial"/>
          <w:color w:val="555555"/>
          <w:sz w:val="22"/>
          <w:szCs w:val="22"/>
        </w:rPr>
        <w:t xml:space="preserve">New projects — those not present in the previous day's snapshot — are isolated for scoring.</w:t>
      </w:r>
    </w:p>
    <w:p>
      <w:pPr>
        <w:pStyle w:val="ListParagraph"/>
        <w:numPr>
          <w:ilvl w:val="0"/>
          <w:numId w:val="3"/>
        </w:numPr>
        <w:spacing w:after="60" w:before="60"/>
      </w:pPr>
      <w:r>
        <w:rPr>
          <w:rFonts w:ascii="Arial" w:cs="Arial" w:eastAsia="Arial" w:hAnsi="Arial"/>
          <w:b/>
          <w:bCs/>
          <w:color w:val="333333"/>
          <w:sz w:val="22"/>
          <w:szCs w:val="22"/>
        </w:rPr>
        <w:t xml:space="preserve">Step 3. </w:t>
      </w:r>
      <w:r>
        <w:rPr>
          <w:rFonts w:ascii="Arial" w:cs="Arial" w:eastAsia="Arial" w:hAnsi="Arial"/>
          <w:color w:val="555555"/>
          <w:sz w:val="22"/>
          <w:szCs w:val="22"/>
        </w:rPr>
        <w:t xml:space="preserve">Each new project is analyzed by Claude AI against the company's defined pursuit criteria: project type, estimated value, construction stage, geographic territory, and brand signals.</w:t>
      </w:r>
    </w:p>
    <w:p>
      <w:pPr>
        <w:pStyle w:val="ListParagraph"/>
        <w:numPr>
          <w:ilvl w:val="0"/>
          <w:numId w:val="3"/>
        </w:numPr>
        <w:spacing w:after="60" w:before="60"/>
      </w:pPr>
      <w:r>
        <w:rPr>
          <w:rFonts w:ascii="Arial" w:cs="Arial" w:eastAsia="Arial" w:hAnsi="Arial"/>
          <w:b/>
          <w:bCs/>
          <w:color w:val="333333"/>
          <w:sz w:val="22"/>
          <w:szCs w:val="22"/>
        </w:rPr>
        <w:t xml:space="preserve">Step 4. </w:t>
      </w:r>
      <w:r>
        <w:rPr>
          <w:rFonts w:ascii="Arial" w:cs="Arial" w:eastAsia="Arial" w:hAnsi="Arial"/>
          <w:color w:val="555555"/>
          <w:sz w:val="22"/>
          <w:szCs w:val="22"/>
        </w:rPr>
        <w:t xml:space="preserve">Projects that score above the approved threshold are designated as Qualified. Projects below the threshold are logged but no action is taken.</w:t>
      </w:r>
    </w:p>
    <w:p>
      <w:pPr>
        <w:pStyle w:val="ListParagraph"/>
        <w:numPr>
          <w:ilvl w:val="0"/>
          <w:numId w:val="3"/>
        </w:numPr>
        <w:spacing w:after="60" w:before="60"/>
      </w:pPr>
      <w:r>
        <w:rPr>
          <w:rFonts w:ascii="Arial" w:cs="Arial" w:eastAsia="Arial" w:hAnsi="Arial"/>
          <w:b/>
          <w:bCs/>
          <w:color w:val="333333"/>
          <w:sz w:val="22"/>
          <w:szCs w:val="22"/>
        </w:rPr>
        <w:t xml:space="preserve">Step 5. </w:t>
      </w:r>
      <w:r>
        <w:rPr>
          <w:rFonts w:ascii="Arial" w:cs="Arial" w:eastAsia="Arial" w:hAnsi="Arial"/>
          <w:color w:val="555555"/>
          <w:sz w:val="22"/>
          <w:szCs w:val="22"/>
        </w:rPr>
        <w:t xml:space="preserve">For each Qualified project, the system creates a Salesforce Opportunity record with all relevant fields populated: project name, estimated value, stage, county, district, architect and engineer contacts, and a direct link to the project in the intelligence app.</w:t>
      </w:r>
    </w:p>
    <w:p>
      <w:pPr>
        <w:pStyle w:val="ListParagraph"/>
        <w:numPr>
          <w:ilvl w:val="0"/>
          <w:numId w:val="3"/>
        </w:numPr>
        <w:spacing w:after="60" w:before="60"/>
      </w:pPr>
      <w:r>
        <w:rPr>
          <w:rFonts w:ascii="Arial" w:cs="Arial" w:eastAsia="Arial" w:hAnsi="Arial"/>
          <w:b/>
          <w:bCs/>
          <w:color w:val="333333"/>
          <w:sz w:val="22"/>
          <w:szCs w:val="22"/>
        </w:rPr>
        <w:t xml:space="preserve">Step 6. </w:t>
      </w:r>
      <w:r>
        <w:rPr>
          <w:rFonts w:ascii="Arial" w:cs="Arial" w:eastAsia="Arial" w:hAnsi="Arial"/>
          <w:color w:val="555555"/>
          <w:sz w:val="22"/>
          <w:szCs w:val="22"/>
        </w:rPr>
        <w:t xml:space="preserve">The Opportunity is assigned to the correct regional sales owner based on geographic territory mapping.</w:t>
      </w:r>
    </w:p>
    <w:p>
      <w:pPr>
        <w:pStyle w:val="ListParagraph"/>
        <w:numPr>
          <w:ilvl w:val="0"/>
          <w:numId w:val="3"/>
        </w:numPr>
        <w:spacing w:after="60" w:before="60"/>
      </w:pPr>
      <w:r>
        <w:rPr>
          <w:rFonts w:ascii="Arial" w:cs="Arial" w:eastAsia="Arial" w:hAnsi="Arial"/>
          <w:b/>
          <w:bCs/>
          <w:color w:val="333333"/>
          <w:sz w:val="22"/>
          <w:szCs w:val="22"/>
        </w:rPr>
        <w:t xml:space="preserve">Step 7. </w:t>
      </w:r>
      <w:r>
        <w:rPr>
          <w:rFonts w:ascii="Arial" w:cs="Arial" w:eastAsia="Arial" w:hAnsi="Arial"/>
          <w:color w:val="555555"/>
          <w:sz w:val="22"/>
          <w:szCs w:val="22"/>
        </w:rPr>
        <w:t xml:space="preserve">The project intelligence app is rebuilt with the day's updated data and automatically redeployed — the live site always reflects current information.</w:t>
      </w:r>
    </w:p>
    <w:p>
      <w:pPr>
        <w:pStyle w:val="ListParagraph"/>
        <w:numPr>
          <w:ilvl w:val="0"/>
          <w:numId w:val="3"/>
        </w:numPr>
        <w:spacing w:after="60" w:before="60"/>
      </w:pPr>
      <w:r>
        <w:rPr>
          <w:rFonts w:ascii="Arial" w:cs="Arial" w:eastAsia="Arial" w:hAnsi="Arial"/>
          <w:b/>
          <w:bCs/>
          <w:color w:val="333333"/>
          <w:sz w:val="22"/>
          <w:szCs w:val="22"/>
        </w:rPr>
        <w:t xml:space="preserve">Step 8. </w:t>
      </w:r>
      <w:r>
        <w:rPr>
          <w:rFonts w:ascii="Arial" w:cs="Arial" w:eastAsia="Arial" w:hAnsi="Arial"/>
          <w:color w:val="555555"/>
          <w:sz w:val="22"/>
          <w:szCs w:val="22"/>
        </w:rPr>
        <w:t xml:space="preserve">An optional morning digest email is sent to sales leadership summarizing new opportunities created, total pipeline value added, and any high-priority flags.</w:t>
      </w:r>
    </w:p>
    <w:p>
      <w:pPr>
        <w:spacing w:after="0" w:before="1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0"/>
              <w:bottom w:val="none" w:color="FFFFFF" w:sz="0"/>
              <w:right w:val="none" w:color="FFFFFF" w:sz="0"/>
            </w:tcBorders>
            <w:shd w:fill="D6EDDF" w:val="clear"/>
            <w:tcMar>
              <w:top w:type="dxa" w:w="120"/>
              <w:left w:type="dxa" w:w="200"/>
              <w:bottom w:type="dxa" w:w="120"/>
              <w:right w:type="dxa" w:w="120"/>
            </w:tcMar>
          </w:tcPr>
          <w:p>
            <w:pPr>
              <w:spacing w:after="40" w:before="0"/>
            </w:pPr>
            <w:r>
              <w:rPr>
                <w:rFonts w:ascii="Arial" w:cs="Arial" w:eastAsia="Arial" w:hAnsi="Arial"/>
                <w:b/>
                <w:bCs/>
                <w:color w:val="1E6B3C"/>
                <w:sz w:val="22"/>
                <w:szCs w:val="22"/>
              </w:rPr>
              <w:t xml:space="preserve">What this means for the sales team</w:t>
            </w:r>
          </w:p>
          <w:p>
            <w:pPr>
              <w:spacing w:after="0" w:before="0"/>
            </w:pPr>
            <w:r>
              <w:rPr>
                <w:rFonts w:ascii="Arial" w:cs="Arial" w:eastAsia="Arial" w:hAnsi="Arial"/>
                <w:color w:val="555555"/>
                <w:sz w:val="20"/>
                <w:szCs w:val="20"/>
              </w:rPr>
              <w:t xml:space="preserve">Sales representatives and managers open Salesforce each morning and new qualified school district projects are already in the pipeline — with project value, stage, contact information, and equipment brand tags pre-populated. No one manually searches ConstructConnect. No one types data into Salesforce. The team focuses entirely on selling.</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Decisions Required to Proceed</w:t>
      </w:r>
    </w:p>
    <w:p>
      <w:pPr>
        <w:spacing w:after="80" w:before="80"/>
      </w:pPr>
      <w:r>
        <w:rPr>
          <w:rFonts w:ascii="Arial" w:cs="Arial" w:eastAsia="Arial" w:hAnsi="Arial"/>
          <w:color w:val="555555"/>
          <w:sz w:val="22"/>
          <w:szCs w:val="22"/>
        </w:rPr>
        <w:t xml:space="preserve">The technical architecture is complete and development is ready to begin. The following decisions and resources are required from leadership and IT before implementation can start.</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3680"/>
      </w:tblGrid>
      <w:tr>
        <w:trPr>
          <w:tblHeader/>
        </w:trPr>
        <w:tc>
          <w:tcPr>
            <w:tcW w:type="dxa" w:w="4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Decision / Resource Needed</w:t>
            </w:r>
          </w:p>
        </w:tc>
        <w:tc>
          <w:tcPr>
            <w:tcW w:type="dxa" w:w="2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Decision Owner</w:t>
            </w:r>
          </w:p>
        </w:tc>
        <w:tc>
          <w:tcPr>
            <w:tcW w:type="dxa" w:w="36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Why It Is Blocking</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Define project pursuit criteria — which project types, minimum values, stages, and geographies qualify</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 Leadership</w:t>
            </w:r>
          </w:p>
        </w:tc>
        <w:tc>
          <w:tcPr>
            <w:tcW w:type="dxa" w:w="368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AI scoring agent cannot be calibrated without these parameters</w:t>
            </w:r>
          </w:p>
        </w:tc>
      </w:tr>
      <w:tr>
        <w:tc>
          <w:tcPr>
            <w:tcW w:type="dxa" w:w="4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Approve Salesforce Connected App — provide API client credentials to the implementation team</w:t>
            </w:r>
          </w:p>
        </w:tc>
        <w:tc>
          <w:tcPr>
            <w:tcW w:type="dxa" w:w="220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Salesforce Admin / IT</w:t>
            </w:r>
          </w:p>
        </w:tc>
        <w:tc>
          <w:tcPr>
            <w:tcW w:type="dxa" w:w="368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Required to write Opportunity records via the Salesforce REST API</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Confirm ConstructConnect account scope — does our current subscription cover national data access?</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Procurement / Account Management</w:t>
            </w:r>
          </w:p>
        </w:tc>
        <w:tc>
          <w:tcPr>
            <w:tcW w:type="dxa" w:w="368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National expansion requires verified data access beyond current CA/NV scope</w:t>
            </w:r>
          </w:p>
        </w:tc>
      </w:tr>
      <w:tr>
        <w:tc>
          <w:tcPr>
            <w:tcW w:type="dxa" w:w="4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Define Salesforce Opportunity field mapping and territory-based assignment rules</w:t>
            </w:r>
          </w:p>
        </w:tc>
        <w:tc>
          <w:tcPr>
            <w:tcW w:type="dxa" w:w="220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 Operations / CRM Admin</w:t>
            </w:r>
          </w:p>
        </w:tc>
        <w:tc>
          <w:tcPr>
            <w:tcW w:type="dxa" w:w="368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Required to route opportunities to the correct owner by region</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Decide: fully automatic opportunity creation, or a human-approval queue for borderline scores?</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 Leadership</w:t>
            </w:r>
          </w:p>
        </w:tc>
        <w:tc>
          <w:tcPr>
            <w:tcW w:type="dxa" w:w="368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Determines the automation logic and controls safeguards for the pipeline</w:t>
            </w:r>
          </w:p>
        </w:tc>
      </w:tr>
      <w:tr>
        <w:tc>
          <w:tcPr>
            <w:tcW w:type="dxa" w:w="4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Identify host environment for the automation script — company server, cloud instance, or managed service</w:t>
            </w:r>
          </w:p>
        </w:tc>
        <w:tc>
          <w:tcPr>
            <w:tcW w:type="dxa" w:w="220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IT Leadership</w:t>
            </w:r>
          </w:p>
        </w:tc>
        <w:tc>
          <w:tcPr>
            <w:tcW w:type="dxa" w:w="3680"/>
            <w:tcBorders>
              <w:top w:val="single" w:color="E0E8F0" w:sz="4"/>
              <w:left w:val="single" w:color="E0E8F0" w:sz="4"/>
              <w:bottom w:val="single" w:color="E0E8F0" w:sz="4"/>
              <w:right w:val="single" w:color="E0E8F0" w:sz="4"/>
            </w:tcBorders>
            <w:shd w:fill="FFFFFF"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The daily script needs a reliable server with internet access to run on schedule</w:t>
            </w:r>
          </w:p>
        </w:tc>
      </w:tr>
      <w:tr>
        <w:tc>
          <w:tcPr>
            <w:tcW w:type="dxa" w:w="4200"/>
            <w:tcBorders>
              <w:top w:val="single" w:color="E0E8F0" w:sz="4"/>
              <w:left w:val="single" w:color="E0E8F0" w:sz="4"/>
              <w:bottom w:val="single" w:color="E0E8F0" w:sz="4"/>
              <w:right w:val="single" w:color="E0E8F0" w:sz="4"/>
            </w:tcBorders>
            <w:shd w:fill="EBF4FB" w:val="clear"/>
            <w:tcMar>
              <w:top w:type="dxa" w:w="80"/>
              <w:left w:type="dxa" w:w="140"/>
              <w:bottom w:type="dxa" w:w="80"/>
              <w:right w:type="dxa" w:w="80"/>
            </w:tcMar>
          </w:tcPr>
          <w:p>
            <w:pPr>
              <w:spacing w:after="0" w:before="0"/>
            </w:pPr>
            <w:r>
              <w:rPr>
                <w:rFonts w:ascii="Arial" w:cs="Arial" w:eastAsia="Arial" w:hAnsi="Arial"/>
                <w:color w:val="333333"/>
                <w:sz w:val="20"/>
                <w:szCs w:val="20"/>
              </w:rPr>
              <w:t xml:space="preserve">Approve roadmap and priority order for national expansion — which states or regions expand first after CA/NV?</w:t>
            </w:r>
          </w:p>
        </w:tc>
        <w:tc>
          <w:tcPr>
            <w:tcW w:type="dxa" w:w="220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b/>
                <w:bCs/>
                <w:color w:val="1B3A5C"/>
                <w:sz w:val="20"/>
                <w:szCs w:val="20"/>
              </w:rPr>
              <w:t xml:space="preserve">Sales Leadership / Executive Sponsor</w:t>
            </w:r>
          </w:p>
        </w:tc>
        <w:tc>
          <w:tcPr>
            <w:tcW w:type="dxa" w:w="3680"/>
            <w:tcBorders>
              <w:top w:val="single" w:color="E0E8F0" w:sz="4"/>
              <w:left w:val="single" w:color="E0E8F0" w:sz="4"/>
              <w:bottom w:val="single" w:color="E0E8F0" w:sz="4"/>
              <w:right w:val="single" w:color="E0E8F0" w:sz="4"/>
            </w:tcBorders>
            <w:shd w:fill="EBF4FB" w:val="clear"/>
            <w:tcMar>
              <w:top w:type="dxa" w:w="80"/>
              <w:left w:type="dxa" w:w="120"/>
              <w:bottom w:type="dxa" w:w="80"/>
              <w:right w:type="dxa" w:w="80"/>
            </w:tcMar>
          </w:tcPr>
          <w:p>
            <w:pPr>
              <w:spacing w:after="0" w:before="0"/>
            </w:pPr>
            <w:r>
              <w:rPr>
                <w:rFonts w:ascii="Arial" w:cs="Arial" w:eastAsia="Arial" w:hAnsi="Arial"/>
                <w:color w:val="555555"/>
                <w:sz w:val="20"/>
                <w:szCs w:val="20"/>
              </w:rPr>
              <w:t xml:space="preserve">Expansion sequencing determines development and data licensing priorities</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Implementation Roadmap</w:t>
      </w:r>
    </w:p>
    <w:p>
      <w:pPr>
        <w:spacing w:after="0" w:before="6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Phase</w:t>
            </w:r>
          </w:p>
        </w:tc>
        <w:tc>
          <w:tcPr>
            <w:tcW w:type="dxa" w:w="80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Scope and Deliverables</w:t>
            </w:r>
          </w:p>
        </w:tc>
      </w:tr>
      <w:tr>
        <w:tc>
          <w:tcPr>
            <w:tcW w:type="dxa" w:w="200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1
(Current)</w:t>
            </w:r>
          </w:p>
          <w:p>
            <w:pPr>
              <w:spacing w:after="0" w:before="0"/>
            </w:pPr>
            <w:r>
              <w:rPr>
                <w:rFonts w:ascii="Arial" w:cs="Arial" w:eastAsia="Arial" w:hAnsi="Arial"/>
                <w:i/>
                <w:iCs/>
                <w:color w:val="2E75B6"/>
                <w:sz w:val="18"/>
                <w:szCs w:val="18"/>
              </w:rPr>
              <w:t xml:space="preserve">Proof of Concept
CA &amp; NV — Live Now</w:t>
            </w:r>
          </w:p>
        </w:tc>
        <w:tc>
          <w:tcPr>
            <w:tcW w:type="dxa" w:w="808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Live project intelligence app deployed. 2,391 school district projects loaded. Dashboard, drill-down, brand tagging, and hosting pipeline complete. Awaiting decisions to activate automation.</w:t>
            </w:r>
          </w:p>
        </w:tc>
      </w:tr>
      <w:tr>
        <w:tc>
          <w:tcPr>
            <w:tcW w:type="dxa" w:w="200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2</w:t>
            </w:r>
          </w:p>
          <w:p>
            <w:pPr>
              <w:spacing w:after="0" w:before="0"/>
            </w:pPr>
            <w:r>
              <w:rPr>
                <w:rFonts w:ascii="Arial" w:cs="Arial" w:eastAsia="Arial" w:hAnsi="Arial"/>
                <w:i/>
                <w:iCs/>
                <w:color w:val="2E75B6"/>
                <w:sz w:val="18"/>
                <w:szCs w:val="18"/>
              </w:rPr>
              <w:t xml:space="preserve">Automation
Weeks 1–3 after approval</w:t>
            </w:r>
          </w:p>
        </w:tc>
        <w:tc>
          <w:tcPr>
            <w:tcW w:type="dxa" w:w="808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Automated daily data refresh. AI scoring agent configured to approved criteria. Salesforce opportunity creation activated. Daily digest notifications. Full pipeline running end-to-end.</w:t>
            </w:r>
          </w:p>
        </w:tc>
      </w:tr>
      <w:tr>
        <w:tc>
          <w:tcPr>
            <w:tcW w:type="dxa" w:w="200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3</w:t>
            </w:r>
          </w:p>
          <w:p>
            <w:pPr>
              <w:spacing w:after="0" w:before="0"/>
            </w:pPr>
            <w:r>
              <w:rPr>
                <w:rFonts w:ascii="Arial" w:cs="Arial" w:eastAsia="Arial" w:hAnsi="Arial"/>
                <w:i/>
                <w:iCs/>
                <w:color w:val="2E75B6"/>
                <w:sz w:val="18"/>
                <w:szCs w:val="18"/>
              </w:rPr>
              <w:t xml:space="preserve">National Expansion
Months 2–3</w:t>
            </w:r>
          </w:p>
        </w:tc>
        <w:tc>
          <w:tcPr>
            <w:tcW w:type="dxa" w:w="808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All 50 states added to monitoring scope. Territory-based Salesforce routing by region. School Bond Finder data source integrated. Sales team training and dashboard access rollout.</w:t>
            </w:r>
          </w:p>
        </w:tc>
      </w:tr>
      <w:tr>
        <w:tc>
          <w:tcPr>
            <w:tcW w:type="dxa" w:w="200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4</w:t>
            </w:r>
          </w:p>
          <w:p>
            <w:pPr>
              <w:spacing w:after="0" w:before="0"/>
            </w:pPr>
            <w:r>
              <w:rPr>
                <w:rFonts w:ascii="Arial" w:cs="Arial" w:eastAsia="Arial" w:hAnsi="Arial"/>
                <w:i/>
                <w:iCs/>
                <w:color w:val="2E75B6"/>
                <w:sz w:val="18"/>
                <w:szCs w:val="18"/>
              </w:rPr>
              <w:t xml:space="preserve">Intelligence Depth
Months 3–6</w:t>
            </w:r>
          </w:p>
        </w:tc>
        <w:tc>
          <w:tcPr>
            <w:tcW w:type="dxa" w:w="8080"/>
            <w:tcBorders>
              <w:top w:val="single" w:color="E0E8F0" w:sz="4"/>
              <w:left w:val="single" w:color="E0E8F0" w:sz="4"/>
              <w:bottom w:val="single" w:color="E0E8F0" w:sz="4"/>
              <w:right w:val="single" w:color="E0E8F0" w:sz="4"/>
            </w:tcBorders>
            <w:shd w:fill="FFFFFF"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Multi-source data enrichment (Dodge, public bid databases). Historical win/loss scoring to refine the AI qualification model. Executive reporting dashboard. CRM feedback loop to improve scoring over time.</w:t>
            </w:r>
          </w:p>
        </w:tc>
      </w:tr>
      <w:tr>
        <w:tc>
          <w:tcPr>
            <w:tcW w:type="dxa" w:w="200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20" w:before="0"/>
            </w:pPr>
            <w:r>
              <w:rPr>
                <w:rFonts w:ascii="Arial" w:cs="Arial" w:eastAsia="Arial" w:hAnsi="Arial"/>
                <w:b/>
                <w:bCs/>
                <w:color w:val="1B3A5C"/>
                <w:sz w:val="20"/>
                <w:szCs w:val="20"/>
              </w:rPr>
              <w:t xml:space="preserve">Phase 5</w:t>
            </w:r>
          </w:p>
          <w:p>
            <w:pPr>
              <w:spacing w:after="0" w:before="0"/>
            </w:pPr>
            <w:r>
              <w:rPr>
                <w:rFonts w:ascii="Arial" w:cs="Arial" w:eastAsia="Arial" w:hAnsi="Arial"/>
                <w:i/>
                <w:iCs/>
                <w:color w:val="2E75B6"/>
                <w:sz w:val="18"/>
                <w:szCs w:val="18"/>
              </w:rPr>
              <w:t xml:space="preserve">International
Months 6–12</w:t>
            </w:r>
          </w:p>
        </w:tc>
        <w:tc>
          <w:tcPr>
            <w:tcW w:type="dxa" w:w="8080"/>
            <w:tcBorders>
              <w:top w:val="single" w:color="E0E8F0" w:sz="4"/>
              <w:left w:val="single" w:color="E0E8F0" w:sz="4"/>
              <w:bottom w:val="single" w:color="E0E8F0" w:sz="4"/>
              <w:right w:val="single" w:color="E0E8F0" w:sz="4"/>
            </w:tcBorders>
            <w:shd w:fill="EBF4FB" w:val="clear"/>
            <w:tcMar>
              <w:top w:type="dxa" w:w="100"/>
              <w:left w:type="dxa" w:w="140"/>
              <w:bottom w:type="dxa" w:w="100"/>
              <w:right w:type="dxa" w:w="80"/>
            </w:tcMar>
          </w:tcPr>
          <w:p>
            <w:pPr>
              <w:spacing w:after="0" w:before="0"/>
            </w:pPr>
            <w:r>
              <w:rPr>
                <w:rFonts w:ascii="Arial" w:cs="Arial" w:eastAsia="Arial" w:hAnsi="Arial"/>
                <w:color w:val="555555"/>
                <w:sz w:val="20"/>
                <w:szCs w:val="20"/>
              </w:rPr>
              <w:t xml:space="preserve">Expansion to Canada, United Kingdom, Australia, and other target markets. Localized data sources integrated into the same pipeline. International Salesforce territory mapping.</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Estimated Costs</w:t>
      </w:r>
    </w:p>
    <w:p>
      <w:pPr>
        <w:spacing w:after="80" w:before="80"/>
      </w:pPr>
      <w:r>
        <w:rPr>
          <w:rFonts w:ascii="Arial" w:cs="Arial" w:eastAsia="Arial" w:hAnsi="Arial"/>
          <w:color w:val="555555"/>
          <w:sz w:val="22"/>
          <w:szCs w:val="22"/>
        </w:rPr>
        <w:t xml:space="preserve">The platform is designed to run at very low cost. The majority of infrastructure is either free or leverages existing company subscriptions.</w:t>
      </w:r>
    </w:p>
    <w:p>
      <w:pPr>
        <w:spacing w:after="0" w:before="8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880"/>
      </w:tblGrid>
      <w:tr>
        <w:trPr>
          <w:tblHeader/>
        </w:trPr>
        <w:tc>
          <w:tcPr>
            <w:tcW w:type="dxa" w:w="40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Item</w:t>
            </w:r>
          </w:p>
        </w:tc>
        <w:tc>
          <w:tcPr>
            <w:tcW w:type="dxa" w:w="220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Estimated Cost</w:t>
            </w:r>
          </w:p>
        </w:tc>
        <w:tc>
          <w:tcPr>
            <w:tcW w:type="dxa" w:w="3880"/>
            <w:tcBorders>
              <w:top w:val="single" w:color="2E75B6" w:sz="6"/>
              <w:left w:val="single" w:color="2E75B6" w:sz="6"/>
              <w:bottom w:val="single" w:color="2E75B6" w:sz="6"/>
              <w:right w:val="single" w:color="2E75B6" w:sz="6"/>
            </w:tcBorders>
            <w:shd w:fill="1B3A5C" w:val="clear"/>
            <w:tcMar>
              <w:top w:type="dxa" w:w="100"/>
              <w:left w:type="dxa" w:w="140"/>
              <w:bottom w:type="dxa" w:w="100"/>
              <w:right w:type="dxa" w:w="80"/>
            </w:tcMar>
          </w:tcPr>
          <w:p>
            <w:pPr>
              <w:spacing w:after="0" w:before="0"/>
            </w:pPr>
            <w:r>
              <w:rPr>
                <w:rFonts w:ascii="Arial" w:cs="Arial" w:eastAsia="Arial" w:hAnsi="Arial"/>
                <w:b/>
                <w:bCs/>
                <w:color w:val="FFFFFF"/>
                <w:sz w:val="20"/>
                <w:szCs w:val="20"/>
              </w:rPr>
              <w:t xml:space="preserve">Notes</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GitHub (code repository)</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Free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Private repository, no per-seat cost for this use case.</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Vercel (site hosting)</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Free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Hobby / Pro tier covers static site deployment at this traffic level.</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ConstructConnect data</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Existing subscription</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Uses current account. National expansion may require subscription tier discussion with account rep.</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Salesforce API access</w:t>
            </w:r>
          </w:p>
        </w:tc>
        <w:tc>
          <w:tcPr>
            <w:tcW w:type="dxa" w:w="1600"/>
            <w:tcBorders>
              <w:top w:val="single" w:color="E0E8F0" w:sz="4"/>
              <w:left w:val="single" w:color="E0E8F0" w:sz="4"/>
              <w:bottom w:val="single" w:color="E0E8F0" w:sz="4"/>
              <w:right w:val="single" w:color="E0E8F0" w:sz="4"/>
            </w:tcBorders>
            <w:shd w:fill="D6EDDF" w:val="clear"/>
            <w:tcMar>
              <w:top w:type="dxa" w:w="80"/>
              <w:left w:type="dxa" w:w="120"/>
              <w:bottom w:type="dxa" w:w="80"/>
              <w:right w:type="dxa" w:w="80"/>
            </w:tcMar>
            <w:vAlign w:val="center"/>
          </w:tcPr>
          <w:p>
            <w:pPr>
              <w:spacing w:after="0" w:before="0"/>
              <w:jc w:val="center"/>
            </w:pPr>
            <w:r>
              <w:rPr>
                <w:rFonts w:ascii="Arial" w:cs="Arial" w:eastAsia="Arial" w:hAnsi="Arial"/>
                <w:b/>
                <w:bCs/>
                <w:color w:val="1E6B3C"/>
                <w:sz w:val="18"/>
                <w:szCs w:val="18"/>
              </w:rPr>
              <w:t xml:space="preserve">Included</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Standard Salesforce orgs include API access at no additional charge.</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Claude AI (Anthropic API)</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~$20–80/month at national scale</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Cost scales with project volume — approximately $0.01–0.03 per project analyzed.</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Cloud server (optional)</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~$15–30/month</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Required only if automation cannot run on an existing company server. AWS/Google Cloud micro instance.</w:t>
            </w:r>
          </w:p>
        </w:tc>
      </w:tr>
      <w:tr>
        <w:tc>
          <w:tcPr>
            <w:tcW w:type="dxa" w:w="320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b/>
                <w:bCs/>
                <w:color w:val="333333"/>
                <w:sz w:val="20"/>
                <w:szCs w:val="20"/>
              </w:rPr>
              <w:t xml:space="preserve">School Bond Finder</w:t>
            </w:r>
          </w:p>
        </w:tc>
        <w:tc>
          <w:tcPr>
            <w:tcW w:type="dxa" w:w="1600"/>
            <w:tcBorders>
              <w:top w:val="single" w:color="E0E8F0" w:sz="4"/>
              <w:left w:val="single" w:color="E0E8F0" w:sz="4"/>
              <w:bottom w:val="single" w:color="E0E8F0" w:sz="4"/>
              <w:right w:val="single" w:color="E0E8F0" w:sz="4"/>
            </w:tcBorders>
            <w:shd w:fill="FFF3CC" w:val="clear"/>
            <w:tcMar>
              <w:top w:type="dxa" w:w="80"/>
              <w:left w:type="dxa" w:w="120"/>
              <w:bottom w:type="dxa" w:w="80"/>
              <w:right w:type="dxa" w:w="80"/>
            </w:tcMar>
            <w:vAlign w:val="center"/>
          </w:tcPr>
          <w:p>
            <w:pPr>
              <w:spacing w:after="0" w:before="0"/>
              <w:jc w:val="center"/>
            </w:pPr>
            <w:r>
              <w:rPr>
                <w:rFonts w:ascii="Arial" w:cs="Arial" w:eastAsia="Arial" w:hAnsi="Arial"/>
                <w:b/>
                <w:bCs/>
                <w:color w:val="7B5B00"/>
                <w:sz w:val="18"/>
                <w:szCs w:val="18"/>
              </w:rPr>
              <w:t xml:space="preserve">TBD</w:t>
            </w:r>
          </w:p>
        </w:tc>
        <w:tc>
          <w:tcPr>
            <w:tcW w:type="dxa" w:w="5280"/>
            <w:tcBorders>
              <w:top w:val="single" w:color="E0E8F0" w:sz="4"/>
              <w:left w:val="single" w:color="E0E8F0" w:sz="4"/>
              <w:bottom w:val="single" w:color="E0E8F0" w:sz="4"/>
              <w:right w:val="single" w:color="E0E8F0" w:sz="4"/>
            </w:tcBorders>
            <w:shd w:fill="FFFFFF" w:val="clear"/>
            <w:tcMar>
              <w:top w:type="dxa" w:w="80"/>
              <w:left w:type="dxa" w:w="140"/>
              <w:bottom w:type="dxa" w:w="80"/>
              <w:right w:type="dxa" w:w="80"/>
            </w:tcMar>
          </w:tcPr>
          <w:p>
            <w:pPr>
              <w:spacing w:after="0" w:before="0"/>
            </w:pPr>
            <w:r>
              <w:rPr>
                <w:rFonts w:ascii="Arial" w:cs="Arial" w:eastAsia="Arial" w:hAnsi="Arial"/>
                <w:color w:val="555555"/>
                <w:sz w:val="20"/>
                <w:szCs w:val="20"/>
              </w:rPr>
              <w:t xml:space="preserve">Subscription cost to be confirmed with vendor during Phase 3 scoping.</w:t>
            </w:r>
          </w:p>
        </w:tc>
      </w:tr>
    </w:tbl>
    <w:p>
      <w:pPr>
        <w:spacing w:after="0" w:before="1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0"/>
              <w:bottom w:val="none" w:color="FFFFFF" w:sz="0"/>
              <w:right w:val="none" w:color="FFFFFF" w:sz="0"/>
            </w:tcBorders>
            <w:shd w:fill="D6EDDF" w:val="clear"/>
            <w:tcMar>
              <w:top w:type="dxa" w:w="120"/>
              <w:left w:type="dxa" w:w="200"/>
              <w:bottom w:type="dxa" w:w="120"/>
              <w:right w:type="dxa" w:w="120"/>
            </w:tcMar>
          </w:tcPr>
          <w:p>
            <w:pPr>
              <w:spacing w:after="40" w:before="0"/>
            </w:pPr>
            <w:r>
              <w:rPr>
                <w:rFonts w:ascii="Arial" w:cs="Arial" w:eastAsia="Arial" w:hAnsi="Arial"/>
                <w:b/>
                <w:bCs/>
                <w:color w:val="1E6B3C"/>
                <w:sz w:val="22"/>
                <w:szCs w:val="22"/>
              </w:rPr>
              <w:t xml:space="preserve">Total estimated monthly operating cost at national scale</w:t>
            </w:r>
          </w:p>
          <w:p>
            <w:pPr>
              <w:spacing w:after="0" w:before="0"/>
            </w:pPr>
            <w:r>
              <w:rPr>
                <w:rFonts w:ascii="Arial" w:cs="Arial" w:eastAsia="Arial" w:hAnsi="Arial"/>
                <w:color w:val="555555"/>
                <w:sz w:val="20"/>
                <w:szCs w:val="20"/>
              </w:rPr>
              <w:t xml:space="preserve">Approximately $35–110 per month — primarily Claude AI API usage and optional cloud server hosting. All other infrastructure is either free or covered by existing company subscriptions. This cost does not scale significantly with project volume up to tens of thousands of projects per month.</w:t>
            </w:r>
          </w:p>
        </w:tc>
      </w:tr>
    </w:tbl>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Competitive Advantage This Creates</w:t>
      </w:r>
    </w:p>
    <w:p>
      <w:pPr>
        <w:spacing w:after="80" w:before="80"/>
      </w:pPr>
      <w:r>
        <w:rPr>
          <w:rFonts w:ascii="Arial" w:cs="Arial" w:eastAsia="Arial" w:hAnsi="Arial"/>
          <w:color w:val="555555"/>
          <w:sz w:val="22"/>
          <w:szCs w:val="22"/>
        </w:rPr>
        <w:t xml:space="preserve">Most competitors rely on their sales teams to manually monitor ConstructConnect and identify relevant projects. This system eliminates that manual work and replaces it with 24-hour automated monitoring, consistent scoring, and immediate pipeline entry.</w:t>
      </w:r>
    </w:p>
    <w:p>
      <w:pPr>
        <w:spacing w:after="0" w:before="80"/>
      </w:pPr>
      <w:r>
        <w:rPr>
          <w:rFonts w:ascii="Arial" w:cs="Arial" w:eastAsia="Arial" w:hAnsi="Arial"/>
        </w:rPr>
        <w:t xml:space="preserve"/>
      </w:r>
    </w:p>
    <w:p>
      <w:pPr>
        <w:pStyle w:val="ListParagraph"/>
        <w:numPr>
          <w:ilvl w:val="0"/>
          <w:numId w:val="2"/>
        </w:numPr>
        <w:spacing w:after="60" w:before="60"/>
      </w:pPr>
      <w:r>
        <w:rPr>
          <w:rFonts w:ascii="Arial" w:cs="Arial" w:eastAsia="Arial" w:hAnsi="Arial"/>
          <w:b/>
          <w:bCs/>
          <w:color w:val="333333"/>
          <w:sz w:val="22"/>
          <w:szCs w:val="22"/>
        </w:rPr>
        <w:t xml:space="preserve">Speed to pipeline: </w:t>
      </w:r>
      <w:r>
        <w:rPr>
          <w:rFonts w:ascii="Arial" w:cs="Arial" w:eastAsia="Arial" w:hAnsi="Arial"/>
          <w:color w:val="555555"/>
          <w:sz w:val="22"/>
          <w:szCs w:val="22"/>
        </w:rPr>
        <w:t xml:space="preserve">Projects are identified and entered into Salesforce within 24 hours of appearing in ConstructConnect — ahead of competitors who check manually.</w:t>
      </w:r>
    </w:p>
    <w:p>
      <w:pPr>
        <w:pStyle w:val="ListParagraph"/>
        <w:numPr>
          <w:ilvl w:val="0"/>
          <w:numId w:val="2"/>
        </w:numPr>
        <w:spacing w:after="60" w:before="60"/>
      </w:pPr>
      <w:r>
        <w:rPr>
          <w:rFonts w:ascii="Arial" w:cs="Arial" w:eastAsia="Arial" w:hAnsi="Arial"/>
          <w:b/>
          <w:bCs/>
          <w:color w:val="333333"/>
          <w:sz w:val="22"/>
          <w:szCs w:val="22"/>
        </w:rPr>
        <w:t xml:space="preserve">Complete coverage: </w:t>
      </w:r>
      <w:r>
        <w:rPr>
          <w:rFonts w:ascii="Arial" w:cs="Arial" w:eastAsia="Arial" w:hAnsi="Arial"/>
          <w:color w:val="555555"/>
          <w:sz w:val="22"/>
          <w:szCs w:val="22"/>
        </w:rPr>
        <w:t xml:space="preserve">Every project in the country is evaluated against the same criteria, every day. No project is missed because someone was busy or on vacation.</w:t>
      </w:r>
    </w:p>
    <w:p>
      <w:pPr>
        <w:pStyle w:val="ListParagraph"/>
        <w:numPr>
          <w:ilvl w:val="0"/>
          <w:numId w:val="2"/>
        </w:numPr>
        <w:spacing w:after="60" w:before="60"/>
      </w:pPr>
      <w:r>
        <w:rPr>
          <w:rFonts w:ascii="Arial" w:cs="Arial" w:eastAsia="Arial" w:hAnsi="Arial"/>
          <w:b/>
          <w:bCs/>
          <w:color w:val="333333"/>
          <w:sz w:val="22"/>
          <w:szCs w:val="22"/>
        </w:rPr>
        <w:t xml:space="preserve">Consistent qualification: </w:t>
      </w:r>
      <w:r>
        <w:rPr>
          <w:rFonts w:ascii="Arial" w:cs="Arial" w:eastAsia="Arial" w:hAnsi="Arial"/>
          <w:color w:val="555555"/>
          <w:sz w:val="22"/>
          <w:szCs w:val="22"/>
        </w:rPr>
        <w:t xml:space="preserve">AI scoring applies the same qualification logic consistently — eliminating subjective decisions about which projects are worth pursuing.</w:t>
      </w:r>
    </w:p>
    <w:p>
      <w:pPr>
        <w:pStyle w:val="ListParagraph"/>
        <w:numPr>
          <w:ilvl w:val="0"/>
          <w:numId w:val="2"/>
        </w:numPr>
        <w:spacing w:after="60" w:before="60"/>
      </w:pPr>
      <w:r>
        <w:rPr>
          <w:rFonts w:ascii="Arial" w:cs="Arial" w:eastAsia="Arial" w:hAnsi="Arial"/>
          <w:b/>
          <w:bCs/>
          <w:color w:val="333333"/>
          <w:sz w:val="22"/>
          <w:szCs w:val="22"/>
        </w:rPr>
        <w:t xml:space="preserve">Early stage engagement: </w:t>
      </w:r>
      <w:r>
        <w:rPr>
          <w:rFonts w:ascii="Arial" w:cs="Arial" w:eastAsia="Arial" w:hAnsi="Arial"/>
          <w:color w:val="555555"/>
          <w:sz w:val="22"/>
          <w:szCs w:val="22"/>
        </w:rPr>
        <w:t xml:space="preserve">Projects in Pre-Design and Schematic stages are identified months before bid day, creating early engagement opportunities.</w:t>
      </w:r>
    </w:p>
    <w:p>
      <w:pPr>
        <w:pStyle w:val="ListParagraph"/>
        <w:numPr>
          <w:ilvl w:val="0"/>
          <w:numId w:val="2"/>
        </w:numPr>
        <w:spacing w:after="60" w:before="60"/>
      </w:pPr>
      <w:r>
        <w:rPr>
          <w:rFonts w:ascii="Arial" w:cs="Arial" w:eastAsia="Arial" w:hAnsi="Arial"/>
          <w:b/>
          <w:bCs/>
          <w:color w:val="333333"/>
          <w:sz w:val="22"/>
          <w:szCs w:val="22"/>
        </w:rPr>
        <w:t xml:space="preserve">Self-improving over time: </w:t>
      </w:r>
      <w:r>
        <w:rPr>
          <w:rFonts w:ascii="Arial" w:cs="Arial" w:eastAsia="Arial" w:hAnsi="Arial"/>
          <w:color w:val="555555"/>
          <w:sz w:val="22"/>
          <w:szCs w:val="22"/>
        </w:rPr>
        <w:t xml:space="preserve">As the sales team wins and loses opportunities, that data can be fed back into the AI model to continuously improve scoring accuracy.</w:t>
      </w:r>
    </w:p>
    <w:p>
      <w:pPr>
        <w:pStyle w:val="ListParagraph"/>
        <w:numPr>
          <w:ilvl w:val="0"/>
          <w:numId w:val="2"/>
        </w:numPr>
        <w:spacing w:after="60" w:before="60"/>
      </w:pPr>
      <w:r>
        <w:rPr>
          <w:rFonts w:ascii="Arial" w:cs="Arial" w:eastAsia="Arial" w:hAnsi="Arial"/>
          <w:b/>
          <w:bCs/>
          <w:color w:val="333333"/>
          <w:sz w:val="22"/>
          <w:szCs w:val="22"/>
        </w:rPr>
        <w:t xml:space="preserve">International ready: </w:t>
      </w:r>
      <w:r>
        <w:rPr>
          <w:rFonts w:ascii="Arial" w:cs="Arial" w:eastAsia="Arial" w:hAnsi="Arial"/>
          <w:color w:val="555555"/>
          <w:sz w:val="22"/>
          <w:szCs w:val="22"/>
        </w:rPr>
        <w:t xml:space="preserve">The same platform architecture expands to any country with a construction project database — no rebuild required.</w:t>
      </w:r>
    </w:p>
    <w:p>
      <w:pPr>
        <w:spacing w:after="0" w:before="40"/>
      </w:pPr>
      <w:r>
        <w:rPr>
          <w:rFonts w:ascii="Arial" w:cs="Arial" w:eastAsia="Arial" w:hAnsi="Arial"/>
        </w:rPr>
        <w:t xml:space="preserve"/>
      </w:r>
    </w:p>
    <w:p>
      <w:pPr>
        <w:pStyle w:val="Heading1"/>
        <w:pBdr>
          <w:top w:val="none" w:color="FFFFFF" w:sz="0"/>
          <w:bottom w:val="single" w:color="2E75B6" w:sz="8"/>
          <w:left w:val="none" w:color="FFFFFF" w:sz="0"/>
          <w:right w:val="none" w:color="FFFFFF" w:sz="0"/>
        </w:pBdr>
        <w:spacing w:after="200" w:before="360"/>
      </w:pPr>
      <w:r>
        <w:rPr>
          <w:rFonts w:ascii="Arial" w:cs="Arial" w:eastAsia="Arial" w:hAnsi="Arial"/>
          <w:b/>
          <w:bCs/>
          <w:color w:val="1B3A5C"/>
          <w:sz w:val="32"/>
          <w:szCs w:val="32"/>
        </w:rPr>
        <w:t xml:space="preserve">Recommended Next Steps</w:t>
      </w:r>
    </w:p>
    <w:p>
      <w:pPr>
        <w:spacing w:after="80" w:before="80"/>
      </w:pPr>
      <w:r>
        <w:rPr>
          <w:rFonts w:ascii="Arial" w:cs="Arial" w:eastAsia="Arial" w:hAnsi="Arial"/>
          <w:color w:val="555555"/>
          <w:sz w:val="22"/>
          <w:szCs w:val="22"/>
        </w:rPr>
        <w:t xml:space="preserve">The following actions, when completed, will unblock implementation and allow development to begin within days of approval:</w:t>
      </w:r>
    </w:p>
    <w:p>
      <w:pPr>
        <w:spacing w:after="0" w:before="80"/>
      </w:pPr>
      <w:r>
        <w:rPr>
          <w:rFonts w:ascii="Arial" w:cs="Arial" w:eastAsia="Arial" w:hAnsi="Arial"/>
        </w:rPr>
        <w:t xml:space="preserve"/>
      </w:r>
    </w:p>
    <w:p>
      <w:pPr>
        <w:pStyle w:val="ListParagraph"/>
        <w:numPr>
          <w:ilvl w:val="0"/>
          <w:numId w:val="3"/>
        </w:numPr>
        <w:spacing w:after="60" w:before="60"/>
      </w:pPr>
      <w:r>
        <w:rPr>
          <w:rFonts w:ascii="Arial" w:cs="Arial" w:eastAsia="Arial" w:hAnsi="Arial"/>
          <w:b/>
          <w:bCs/>
          <w:color w:val="333333"/>
          <w:sz w:val="22"/>
          <w:szCs w:val="22"/>
        </w:rPr>
        <w:t xml:space="preserve">Action 1. </w:t>
      </w:r>
      <w:r>
        <w:rPr>
          <w:rFonts w:ascii="Arial" w:cs="Arial" w:eastAsia="Arial" w:hAnsi="Arial"/>
          <w:color w:val="555555"/>
          <w:sz w:val="22"/>
          <w:szCs w:val="22"/>
        </w:rPr>
        <w:t xml:space="preserve">Sales leadership to define and approve project pursuit criteria (project type, minimum value, stage, geography thresholds).</w:t>
      </w:r>
    </w:p>
    <w:p>
      <w:pPr>
        <w:pStyle w:val="ListParagraph"/>
        <w:numPr>
          <w:ilvl w:val="0"/>
          <w:numId w:val="3"/>
        </w:numPr>
        <w:spacing w:after="60" w:before="60"/>
      </w:pPr>
      <w:r>
        <w:rPr>
          <w:rFonts w:ascii="Arial" w:cs="Arial" w:eastAsia="Arial" w:hAnsi="Arial"/>
          <w:b/>
          <w:bCs/>
          <w:color w:val="333333"/>
          <w:sz w:val="22"/>
          <w:szCs w:val="22"/>
        </w:rPr>
        <w:t xml:space="preserve">Action 2. </w:t>
      </w:r>
      <w:r>
        <w:rPr>
          <w:rFonts w:ascii="Arial" w:cs="Arial" w:eastAsia="Arial" w:hAnsi="Arial"/>
          <w:color w:val="555555"/>
          <w:sz w:val="22"/>
          <w:szCs w:val="22"/>
        </w:rPr>
        <w:t xml:space="preserve">IT or Salesforce Admin to create a Connected App in Salesforce and provide API credentials to the implementation team.</w:t>
      </w:r>
    </w:p>
    <w:p>
      <w:pPr>
        <w:pStyle w:val="ListParagraph"/>
        <w:numPr>
          <w:ilvl w:val="0"/>
          <w:numId w:val="3"/>
        </w:numPr>
        <w:spacing w:after="60" w:before="60"/>
      </w:pPr>
      <w:r>
        <w:rPr>
          <w:rFonts w:ascii="Arial" w:cs="Arial" w:eastAsia="Arial" w:hAnsi="Arial"/>
          <w:b/>
          <w:bCs/>
          <w:color w:val="333333"/>
          <w:sz w:val="22"/>
          <w:szCs w:val="22"/>
        </w:rPr>
        <w:t xml:space="preserve">Action 3. </w:t>
      </w:r>
      <w:r>
        <w:rPr>
          <w:rFonts w:ascii="Arial" w:cs="Arial" w:eastAsia="Arial" w:hAnsi="Arial"/>
          <w:color w:val="555555"/>
          <w:sz w:val="22"/>
          <w:szCs w:val="22"/>
        </w:rPr>
        <w:t xml:space="preserve">Procurement to confirm ConstructConnect subscription scope covers national data access, or initiate conversation with account representative.</w:t>
      </w:r>
    </w:p>
    <w:p>
      <w:pPr>
        <w:pStyle w:val="ListParagraph"/>
        <w:numPr>
          <w:ilvl w:val="0"/>
          <w:numId w:val="3"/>
        </w:numPr>
        <w:spacing w:after="60" w:before="60"/>
      </w:pPr>
      <w:r>
        <w:rPr>
          <w:rFonts w:ascii="Arial" w:cs="Arial" w:eastAsia="Arial" w:hAnsi="Arial"/>
          <w:b/>
          <w:bCs/>
          <w:color w:val="333333"/>
          <w:sz w:val="22"/>
          <w:szCs w:val="22"/>
        </w:rPr>
        <w:t xml:space="preserve">Action 4. </w:t>
      </w:r>
      <w:r>
        <w:rPr>
          <w:rFonts w:ascii="Arial" w:cs="Arial" w:eastAsia="Arial" w:hAnsi="Arial"/>
          <w:color w:val="555555"/>
          <w:sz w:val="22"/>
          <w:szCs w:val="22"/>
        </w:rPr>
        <w:t xml:space="preserve">Sales Operations to define Salesforce Opportunity fields and territory-based assignment rules.</w:t>
      </w:r>
    </w:p>
    <w:p>
      <w:pPr>
        <w:pStyle w:val="ListParagraph"/>
        <w:numPr>
          <w:ilvl w:val="0"/>
          <w:numId w:val="3"/>
        </w:numPr>
        <w:spacing w:after="60" w:before="60"/>
      </w:pPr>
      <w:r>
        <w:rPr>
          <w:rFonts w:ascii="Arial" w:cs="Arial" w:eastAsia="Arial" w:hAnsi="Arial"/>
          <w:b/>
          <w:bCs/>
          <w:color w:val="333333"/>
          <w:sz w:val="22"/>
          <w:szCs w:val="22"/>
        </w:rPr>
        <w:t xml:space="preserve">Action 5. </w:t>
      </w:r>
      <w:r>
        <w:rPr>
          <w:rFonts w:ascii="Arial" w:cs="Arial" w:eastAsia="Arial" w:hAnsi="Arial"/>
          <w:color w:val="555555"/>
          <w:sz w:val="22"/>
          <w:szCs w:val="22"/>
        </w:rPr>
        <w:t xml:space="preserve">Leadership to designate an executive sponsor and approve the Phase 2 through Phase 5 roadmap.</w:t>
      </w:r>
    </w:p>
    <w:p>
      <w:pPr>
        <w:pStyle w:val="ListParagraph"/>
        <w:numPr>
          <w:ilvl w:val="0"/>
          <w:numId w:val="3"/>
        </w:numPr>
        <w:spacing w:after="60" w:before="60"/>
      </w:pPr>
      <w:r>
        <w:rPr>
          <w:rFonts w:ascii="Arial" w:cs="Arial" w:eastAsia="Arial" w:hAnsi="Arial"/>
          <w:b/>
          <w:bCs/>
          <w:color w:val="333333"/>
          <w:sz w:val="22"/>
          <w:szCs w:val="22"/>
        </w:rPr>
        <w:t xml:space="preserve">Action 6. </w:t>
      </w:r>
      <w:r>
        <w:rPr>
          <w:rFonts w:ascii="Arial" w:cs="Arial" w:eastAsia="Arial" w:hAnsi="Arial"/>
          <w:color w:val="555555"/>
          <w:sz w:val="22"/>
          <w:szCs w:val="22"/>
        </w:rPr>
        <w:t xml:space="preserve">Implementation team to begin Phase 2 development immediately upon receipt of credentials and approved criteria.</w:t>
      </w:r>
    </w:p>
    <w:p>
      <w:pPr>
        <w:spacing w:after="0" w:before="100"/>
      </w:pPr>
      <w:r>
        <w:rPr>
          <w:rFonts w:ascii="Arial" w:cs="Arial" w:eastAsia="Arial" w:hAnsi="Arial"/>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E75B6" w:sz="20"/>
              <w:bottom w:val="none" w:color="FFFFFF" w:sz="0"/>
              <w:right w:val="none" w:color="FFFFFF" w:sz="0"/>
            </w:tcBorders>
            <w:shd w:fill="EBF4FB" w:val="clear"/>
            <w:tcMar>
              <w:top w:type="dxa" w:w="120"/>
              <w:left w:type="dxa" w:w="200"/>
              <w:bottom w:type="dxa" w:w="120"/>
              <w:right w:type="dxa" w:w="120"/>
            </w:tcMar>
          </w:tcPr>
          <w:p>
            <w:pPr>
              <w:spacing w:after="40" w:before="0"/>
            </w:pPr>
            <w:r>
              <w:rPr>
                <w:rFonts w:ascii="Arial" w:cs="Arial" w:eastAsia="Arial" w:hAnsi="Arial"/>
                <w:b/>
                <w:bCs/>
                <w:color w:val="1B3A5C"/>
                <w:sz w:val="22"/>
                <w:szCs w:val="22"/>
              </w:rPr>
              <w:t xml:space="preserve">Summary</w:t>
            </w:r>
          </w:p>
          <w:p>
            <w:pPr>
              <w:spacing w:after="0" w:before="0"/>
            </w:pPr>
            <w:r>
              <w:rPr>
                <w:rFonts w:ascii="Arial" w:cs="Arial" w:eastAsia="Arial" w:hAnsi="Arial"/>
                <w:color w:val="555555"/>
                <w:sz w:val="20"/>
                <w:szCs w:val="20"/>
              </w:rPr>
              <w:t xml:space="preserve">A working proof of concept is live today covering California and Nevada. The architecture for a fully automated, AI-driven, national project intelligence and Salesforce pipeline is designed and development-ready. With decisions from Sales leadership and credentials from IT, Phase 2 automation can be live within 2-3 weeks. Full national coverage is achievable within 90 days. International expansion follows the same platform without a rebuild.</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026"/>
      </w:tabs>
      <w:spacing w:after="0" w:before="120"/>
    </w:pPr>
    <w:r>
      <w:rPr>
        <w:rFonts w:ascii="Arial" w:cs="Arial" w:eastAsia="Arial" w:hAnsi="Arial"/>
        <w:color w:val="999999"/>
        <w:sz w:val="16"/>
        <w:szCs w:val="16"/>
      </w:rPr>
      <w:t xml:space="preserve">CONFIDENTIAL — For Internal Distribution Only</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top w:val="none" w:color="FFFFFF" w:sz="0"/>
        <w:bottom w:val="single" w:color="2E75B6" w:sz="6"/>
        <w:left w:val="none" w:color="FFFFFF" w:sz="0"/>
        <w:right w:val="none" w:color="FFFFFF" w:sz="0"/>
      </w:pBdr>
      <w:tabs>
        <w:tab w:val="right" w:pos="9026"/>
      </w:tabs>
      <w:spacing w:after="120" w:before="0"/>
    </w:pPr>
    <w:r>
      <w:rPr>
        <w:rFonts w:ascii="Arial" w:cs="Arial" w:eastAsia="Arial" w:hAnsi="Arial"/>
        <w:b/>
        <w:bCs/>
        <w:color w:val="2E75B6"/>
        <w:sz w:val="18"/>
        <w:szCs w:val="18"/>
      </w:rPr>
      <w:t xml:space="preserve">CONFIDENTIAL  |  National Project Intelligence Initiative</w:t>
    </w:r>
    <w:r>
      <w:rPr>
        <w:rFonts w:ascii="Arial" w:cs="Arial" w:eastAsia="Arial" w:hAnsi="Arial"/>
        <w:color w:val="999999"/>
        <w:sz w:val="18"/>
        <w:szCs w:val="18"/>
      </w:rPr>
      <w:t xml:space="preserve">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2026-06-16T19:17:43.168Z</dcterms:created>
  <dcterms:modified xsi:type="dcterms:W3CDTF">2026-06-16T19:17:43.173Z</dcterms:modified>
</cp:coreProperties>
</file>

<file path=docProps/custom.xml><?xml version="1.0" encoding="utf-8"?>
<Properties xmlns="http://schemas.openxmlformats.org/officeDocument/2006/custom-properties" xmlns:vt="http://schemas.openxmlformats.org/officeDocument/2006/docPropsVTypes"/>
</file>