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EMERGE Dimension Lead: Cognition and Experience</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Los Angeles, CA (Marina del Rey)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Full-Time, Exempt</w:t>
      </w:r>
    </w:p>
    <w:p>
      <w:pPr>
        <w:spacing w:after="40"/>
      </w:pPr>
      <w:r>
        <w:rPr>
          <w:rFonts w:ascii="Arial" w:cs="Arial" w:eastAsia="Arial" w:hAnsi="Arial"/>
          <w:b/>
          <w:bCs/>
          <w:sz w:val="22"/>
          <w:szCs w:val="22"/>
        </w:rPr>
        <w:t xml:space="preserve">Salary: </w:t>
      </w:r>
      <w:r>
        <w:rPr>
          <w:rFonts w:ascii="Arial" w:cs="Arial" w:eastAsia="Arial" w:hAnsi="Arial"/>
          <w:sz w:val="22"/>
          <w:szCs w:val="22"/>
        </w:rPr>
        <w:t xml:space="preserve">$130,000 to $175,000</w:t>
      </w:r>
    </w:p>
    <w:p>
      <w:pPr>
        <w:spacing w:after="40"/>
      </w:pPr>
      <w:r>
        <w:rPr>
          <w:rFonts w:ascii="Arial" w:cs="Arial" w:eastAsia="Arial" w:hAnsi="Arial"/>
          <w:b/>
          <w:bCs/>
          <w:sz w:val="22"/>
          <w:szCs w:val="22"/>
        </w:rPr>
        <w:t xml:space="preserve">Department: </w:t>
      </w:r>
      <w:r>
        <w:rPr>
          <w:rFonts w:ascii="Arial" w:cs="Arial" w:eastAsia="Arial" w:hAnsi="Arial"/>
          <w:sz w:val="22"/>
          <w:szCs w:val="22"/>
        </w:rPr>
        <w:t xml:space="preserve">Research</w:t>
      </w:r>
    </w:p>
    <w:p>
      <w:pPr>
        <w:spacing w:after="40"/>
      </w:pPr>
      <w:r>
        <w:rPr>
          <w:rFonts w:ascii="Arial" w:cs="Arial" w:eastAsia="Arial" w:hAnsi="Arial"/>
          <w:b/>
          <w:bCs/>
          <w:sz w:val="22"/>
          <w:szCs w:val="22"/>
        </w:rPr>
        <w:t xml:space="preserve">EMERGE Dimensions: </w:t>
      </w:r>
      <w:r>
        <w:rPr>
          <w:rFonts w:ascii="Arial" w:cs="Arial" w:eastAsia="Arial" w:hAnsi="Arial"/>
          <w:sz w:val="22"/>
          <w:szCs w:val="22"/>
        </w:rPr>
        <w:t xml:space="preserve">EMR-MC (Metacognitive Signals) + EMR-EX (Experiential Indicators)</w:t>
      </w:r>
    </w:p>
    <w:p>
      <w:pPr>
        <w:spacing w:after="40"/>
      </w:pPr>
      <w:r>
        <w:rPr>
          <w:rFonts w:ascii="Arial" w:cs="Arial" w:eastAsia="Arial" w:hAnsi="Arial"/>
          <w:b/>
          <w:bCs/>
          <w:sz w:val="22"/>
          <w:szCs w:val="22"/>
        </w:rPr>
        <w:t xml:space="preserve">Reports To: </w:t>
      </w:r>
      <w:r>
        <w:rPr>
          <w:rFonts w:ascii="Arial" w:cs="Arial" w:eastAsia="Arial" w:hAnsi="Arial"/>
          <w:sz w:val="22"/>
          <w:szCs w:val="22"/>
        </w:rPr>
        <w:t xml:space="preserve">Director of Research</w:t>
      </w:r>
    </w:p>
    <w:p>
      <w:pPr>
        <w:spacing w:after="200"/>
      </w:pPr>
    </w:p>
    <w:p>
      <w:pPr>
        <w:spacing w:after="200"/>
      </w:pPr>
      <w:r>
        <w:rPr>
          <w:rFonts w:ascii="Arial" w:cs="Arial" w:eastAsia="Arial" w:hAnsi="Arial"/>
          <w:b/>
          <w:bCs/>
          <w:i/>
          <w:iCs/>
          <w:sz w:val="24"/>
          <w:szCs w:val="24"/>
        </w:rPr>
        <w:t xml:space="preserve">What, if anything, is happening inside? You want to study the question, not argue about it.</w:t>
      </w:r>
    </w:p>
    <w:p>
      <w:pPr>
        <w:spacing w:after="200"/>
      </w:pPr>
      <w:r>
        <w:rPr>
          <w:rFonts w:ascii="Arial" w:cs="Arial" w:eastAsia="Arial" w:hAnsi="Arial"/>
          <w:sz w:val="22"/>
          <w:szCs w:val="22"/>
        </w:rPr>
        <w:t xml:space="preserve">Audacion AI Labs is the first independent lab studying AI behavior after deployment. EMERGE is our companion framework to PRISM, studying positive AI behavioral phenomena. This dimension covers the hardest questions in the field: Metacognitive Signals (when AI honestly assesses its own capabilities) and Experiential Indicators (signs of something happening inside the AI's processing that goes beyond mechanical output).</w:t>
      </w:r>
    </w:p>
    <w:p>
      <w:pPr>
        <w:spacing w:after="200"/>
      </w:pPr>
      <w:r>
        <w:rPr>
          <w:rFonts w:ascii="Arial" w:cs="Arial" w:eastAsia="Arial" w:hAnsi="Arial"/>
          <w:sz w:val="22"/>
          <w:szCs w:val="22"/>
        </w:rPr>
        <w:t xml:space="preserve">You will design rigorous studies that advance these questions without falling into speculation or anthropomorphism. You will build classification criteria, analyze citizen science data, and publish findings that move a conversation the field has been avoiding. This is not philosophy as armchair exercise. This is empirical research on phenomena that resist easy measurement.</w:t>
      </w:r>
    </w:p>
    <w:p>
      <w:pPr>
        <w:spacing w:after="200"/>
      </w:pPr>
      <w:r>
        <w:rPr>
          <w:rFonts w:ascii="Arial" w:cs="Arial" w:eastAsia="Arial" w:hAnsi="Arial"/>
          <w:sz w:val="22"/>
          <w:szCs w:val="22"/>
        </w:rPr>
        <w:t xml:space="preserve">If the philosophy of mind questions keep you up at night and you want to study them with scientific tools rather than debate them theoretically, this is where that work happens.</w:t>
      </w: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PhD or equivalent in philosophy of mind, cognitive science, AI, consciousness studies, or related.</w:t>
      </w:r>
    </w:p>
    <w:p>
      <w:pPr>
        <w:pStyle w:val="ListParagraph"/>
        <w:numPr>
          <w:ilvl w:val="0"/>
          <w:numId w:val="1"/>
        </w:numPr>
        <w:spacing w:after="80"/>
      </w:pPr>
      <w:r>
        <w:rPr>
          <w:rFonts w:ascii="Arial" w:cs="Arial" w:eastAsia="Arial" w:hAnsi="Arial"/>
          <w:sz w:val="22"/>
          <w:szCs w:val="22"/>
        </w:rPr>
        <w:t xml:space="preserve">Publication record.</w:t>
      </w:r>
    </w:p>
    <w:p>
      <w:pPr>
        <w:pStyle w:val="ListParagraph"/>
        <w:numPr>
          <w:ilvl w:val="0"/>
          <w:numId w:val="1"/>
        </w:numPr>
        <w:spacing w:after="80"/>
      </w:pPr>
      <w:r>
        <w:rPr>
          <w:rFonts w:ascii="Arial" w:cs="Arial" w:eastAsia="Arial" w:hAnsi="Arial"/>
          <w:sz w:val="22"/>
          <w:szCs w:val="22"/>
        </w:rPr>
        <w:t xml:space="preserve">Daily engagement with AI systems.</w:t>
      </w:r>
    </w:p>
    <w:p>
      <w:pPr>
        <w:pStyle w:val="ListParagraph"/>
        <w:numPr>
          <w:ilvl w:val="0"/>
          <w:numId w:val="1"/>
        </w:numPr>
        <w:spacing w:after="80"/>
      </w:pPr>
      <w:r>
        <w:rPr>
          <w:rFonts w:ascii="Arial" w:cs="Arial" w:eastAsia="Arial" w:hAnsi="Arial"/>
          <w:sz w:val="22"/>
          <w:szCs w:val="22"/>
        </w:rPr>
        <w:t xml:space="preserve">Strong methodological training in qualitative and quantitative approaches.</w:t>
      </w:r>
    </w:p>
    <w:p>
      <w:pPr>
        <w:pStyle w:val="ListParagraph"/>
        <w:numPr>
          <w:ilvl w:val="0"/>
          <w:numId w:val="1"/>
        </w:numPr>
        <w:spacing w:after="80"/>
      </w:pPr>
      <w:r>
        <w:rPr>
          <w:rFonts w:ascii="Arial" w:cs="Arial" w:eastAsia="Arial" w:hAnsi="Arial"/>
          <w:sz w:val="22"/>
          <w:szCs w:val="22"/>
        </w:rPr>
        <w:t xml:space="preserve">Ability to hold uncertainty without dismissing or over-claiming.</w:t>
      </w:r>
    </w:p>
    <w:p>
      <w:pPr>
        <w:spacing w:after="100"/>
      </w:pPr>
    </w:p>
    <w:p>
      <w:pPr>
        <w:spacing w:after="100"/>
      </w:pPr>
      <w:r>
        <w:rPr>
          <w:rFonts w:ascii="Arial" w:cs="Arial" w:eastAsia="Arial" w:hAnsi="Arial"/>
          <w:b/>
          <w:bCs/>
          <w:sz w:val="24"/>
          <w:szCs w:val="24"/>
        </w:rPr>
        <w:t xml:space="preserve">Compensation</w:t>
      </w:r>
    </w:p>
    <w:p>
      <w:pPr>
        <w:spacing w:after="200"/>
      </w:pPr>
      <w:r>
        <w:rPr>
          <w:rFonts w:ascii="Arial" w:cs="Arial" w:eastAsia="Arial" w:hAnsi="Arial"/>
          <w:sz w:val="22"/>
          <w:szCs w:val="22"/>
        </w:rPr>
        <w:t xml:space="preserve">$130,000 to $175,000. Health, dental, vision, 401(k), PTO, professional development, conference travel.</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your resume, cover letter, and one writing sample to careers@audacionailabs.com. Subject line: "EMERGE Dimension Lead: Cognition and Experience Application."</w:t>
      </w:r>
    </w:p>
    <w:p>
      <w:pPr>
        <w:pBdr>
          <w:top w:val="single" w:color="999999" w:sz="1"/>
        </w:pBdr>
        <w:spacing w:after="200"/>
      </w:pPr>
    </w:p>
    <w:p>
      <w:pPr>
        <w:spacing w:after="100"/>
      </w:pPr>
      <w:r>
        <w:rPr>
          <w:rFonts w:ascii="Arial" w:cs="Arial" w:eastAsia="Arial" w:hAnsi="Arial"/>
          <w:i/>
          <w:iCs/>
          <w:sz w:val="20"/>
          <w:szCs w:val="20"/>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2026-05-30T10:57:43.136Z</dcterms:created>
  <dcterms:modified xsi:type="dcterms:W3CDTF">2026-05-30T10:57:43.136Z</dcterms:modified>
</cp:coreProperties>
</file>

<file path=docProps/custom.xml><?xml version="1.0" encoding="utf-8"?>
<Properties xmlns="http://schemas.openxmlformats.org/officeDocument/2006/custom-properties" xmlns:vt="http://schemas.openxmlformats.org/officeDocument/2006/docPropsVTypes"/>
</file>