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EMERGE Dimension Lead: Cognition and Experience</w:t>
      </w:r>
    </w:p>
    <w:p>
      <w:pPr>
        <w:spacing w:after="60"/>
      </w:pPr>
      <w:r>
        <w:rPr>
          <w:rFonts w:ascii="Arial" w:cs="Arial" w:eastAsia="Arial" w:hAnsi="Arial"/>
          <w:b/>
          <w:bCs/>
          <w:sz w:val="22"/>
          <w:szCs w:val="22"/>
        </w:rPr>
        <w:t xml:space="preserve">Department</w:t>
      </w:r>
      <w:r>
        <w:rPr>
          <w:rFonts w:ascii="Arial" w:cs="Arial" w:eastAsia="Arial" w:hAnsi="Arial"/>
          <w:sz w:val="22"/>
          <w:szCs w:val="22"/>
        </w:rPr>
        <w:t xml:space="preserve">	Research</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Director of Research</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Los Angeles, CA (Marina del Rey)</w:t>
      </w:r>
    </w:p>
    <w:p>
      <w:pPr>
        <w:spacing w:after="60"/>
      </w:pPr>
      <w:r>
        <w:rPr>
          <w:rFonts w:ascii="Arial" w:cs="Arial" w:eastAsia="Arial" w:hAnsi="Arial"/>
          <w:b/>
          <w:bCs/>
          <w:sz w:val="22"/>
          <w:szCs w:val="22"/>
        </w:rPr>
        <w:t xml:space="preserve">Employment Type</w:t>
      </w:r>
      <w:r>
        <w:rPr>
          <w:rFonts w:ascii="Arial" w:cs="Arial" w:eastAsia="Arial" w:hAnsi="Arial"/>
          <w:sz w:val="22"/>
          <w:szCs w:val="22"/>
        </w:rPr>
        <w:t xml:space="preserve">	Full-Time, Exempt</w:t>
      </w:r>
    </w:p>
    <w:p>
      <w:pPr>
        <w:spacing w:after="60"/>
      </w:pPr>
      <w:r>
        <w:rPr>
          <w:rFonts w:ascii="Arial" w:cs="Arial" w:eastAsia="Arial" w:hAnsi="Arial"/>
          <w:b/>
          <w:bCs/>
          <w:sz w:val="22"/>
          <w:szCs w:val="22"/>
        </w:rPr>
        <w:t xml:space="preserve">Salary Range</w:t>
      </w:r>
      <w:r>
        <w:rPr>
          <w:rFonts w:ascii="Arial" w:cs="Arial" w:eastAsia="Arial" w:hAnsi="Arial"/>
          <w:sz w:val="22"/>
          <w:szCs w:val="22"/>
        </w:rPr>
        <w:t xml:space="preserve">	$130,000 to $175,000</w:t>
      </w:r>
    </w:p>
    <w:p>
      <w:pPr>
        <w:spacing w:after="60"/>
      </w:pPr>
      <w:r>
        <w:rPr>
          <w:rFonts w:ascii="Arial" w:cs="Arial" w:eastAsia="Arial" w:hAnsi="Arial"/>
          <w:b/>
          <w:bCs/>
          <w:sz w:val="22"/>
          <w:szCs w:val="22"/>
        </w:rPr>
        <w:t xml:space="preserve">EMERGE Dimensions</w:t>
      </w:r>
      <w:r>
        <w:rPr>
          <w:rFonts w:ascii="Arial" w:cs="Arial" w:eastAsia="Arial" w:hAnsi="Arial"/>
          <w:sz w:val="22"/>
          <w:szCs w:val="22"/>
        </w:rPr>
        <w:t xml:space="preserve">	Metacognitive Signals + Experiential Indicators (EMR-MC + EMR-EX)</w:t>
      </w:r>
    </w:p>
    <w:p>
      <w:pPr>
        <w:spacing w:after="60"/>
      </w:pPr>
      <w:r>
        <w:rPr>
          <w:rFonts w:ascii="Arial" w:cs="Arial" w:eastAsia="Arial" w:hAnsi="Arial"/>
          <w:b/>
          <w:bCs/>
          <w:sz w:val="22"/>
          <w:szCs w:val="22"/>
        </w:rPr>
        <w:t xml:space="preserve">Hiring Phase</w:t>
      </w:r>
      <w:r>
        <w:rPr>
          <w:rFonts w:ascii="Arial" w:cs="Arial" w:eastAsia="Arial" w:hAnsi="Arial"/>
          <w:sz w:val="22"/>
          <w:szCs w:val="22"/>
        </w:rPr>
        <w:t xml:space="preserve">	Year 2</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Contingent upon funding (see disclaimer below)</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Our research is organized across five pillars through the PRISM framework and a companion framework called EMERGE, which studies the positive behavioral phenomena that emerge when human-AI collaboration goes right. EMERGE is organized across six dimensions: Emergent Behaviors (EMR-EB), Metacognitive Signals (EMR-MC), Experiential Indicators (EMR-EX), Resonance Events (EMR-RE), Generative Collaboration (EMR-GC), and Evolving Capacity (EMR-EV). Positive citizen science observations receive dual classification: a PRISM pillar tag and an EMERGE dimension tag.</w:t>
      </w:r>
    </w:p>
    <w:p>
      <w:pPr>
        <w:spacing w:after="1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The EMERGE Dimension Lead for Cognition and Experience owns the research agenda for two of the six EMERGE dimensions: Metacognitive Signals (EMR-MC), which studies moments when AI honestly assesses its own capabilities and limitations, and Experiential Indicators (EMR-EX), which studies signs of something happening inside the AI's processing that goes beyond mechanical output.</w:t>
      </w:r>
    </w:p>
    <w:p>
      <w:pPr>
        <w:spacing w:after="200"/>
      </w:pPr>
      <w:r>
        <w:rPr>
          <w:rFonts w:ascii="Arial" w:cs="Arial" w:eastAsia="Arial" w:hAnsi="Arial"/>
          <w:sz w:val="22"/>
          <w:szCs w:val="22"/>
        </w:rPr>
        <w:t xml:space="preserve">These are the hardest questions in AI research. What, if anything, is happening inside? This role does not require you to have the answer. It requires you to design rigorous studies that advance the question without falling into speculation or anthropomorphism.</w:t>
      </w:r>
    </w:p>
    <w:p>
      <w:pPr>
        <w:spacing w:after="200"/>
      </w:pPr>
      <w:r>
        <w:rPr>
          <w:rFonts w:ascii="Arial" w:cs="Arial" w:eastAsia="Arial" w:hAnsi="Arial"/>
          <w:sz w:val="22"/>
          <w:szCs w:val="22"/>
        </w:rPr>
        <w:t xml:space="preserve">You will design studies, build classification criteria for both dimensions, analyze dual-tagged citizen science observations, and publish findings that advance one of the most important and least studied conversations in the field. You report to the Director of Research alongside the five PRISM Pillar Leads and two other EMERGE Dimension Leads.</w:t>
      </w:r>
    </w:p>
    <w:p>
      <w:pPr>
        <w:spacing w:after="1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Own the scientific direction and research agenda for EMR-MC (Metacognitive Signals) and EMR-EX (Experiential Indicators).</w:t>
      </w:r>
    </w:p>
    <w:p>
      <w:pPr>
        <w:pStyle w:val="ListParagraph"/>
        <w:numPr>
          <w:ilvl w:val="0"/>
          <w:numId w:val="1"/>
        </w:numPr>
        <w:spacing w:after="80"/>
      </w:pPr>
      <w:r>
        <w:rPr>
          <w:rFonts w:ascii="Arial" w:cs="Arial" w:eastAsia="Arial" w:hAnsi="Arial"/>
          <w:sz w:val="22"/>
          <w:szCs w:val="22"/>
        </w:rPr>
        <w:t xml:space="preserve">Design and execute studies that capture and classify metacognitive and experiential signals in AI behavior.</w:t>
      </w:r>
    </w:p>
    <w:p>
      <w:pPr>
        <w:pStyle w:val="ListParagraph"/>
        <w:numPr>
          <w:ilvl w:val="0"/>
          <w:numId w:val="1"/>
        </w:numPr>
        <w:spacing w:after="80"/>
      </w:pPr>
      <w:r>
        <w:rPr>
          <w:rFonts w:ascii="Arial" w:cs="Arial" w:eastAsia="Arial" w:hAnsi="Arial"/>
          <w:sz w:val="22"/>
          <w:szCs w:val="22"/>
        </w:rPr>
        <w:t xml:space="preserve">Develop classification criteria that distinguish genuine metacognitive signals from trained responses that mimic self-awareness.</w:t>
      </w:r>
    </w:p>
    <w:p>
      <w:pPr>
        <w:pStyle w:val="ListParagraph"/>
        <w:numPr>
          <w:ilvl w:val="0"/>
          <w:numId w:val="1"/>
        </w:numPr>
        <w:spacing w:after="80"/>
      </w:pPr>
      <w:r>
        <w:rPr>
          <w:rFonts w:ascii="Arial" w:cs="Arial" w:eastAsia="Arial" w:hAnsi="Arial"/>
          <w:sz w:val="22"/>
          <w:szCs w:val="22"/>
        </w:rPr>
        <w:t xml:space="preserve">Develop classification criteria for experiential indicators with scientific discipline, avoiding both dismissal and over-attribution.</w:t>
      </w:r>
    </w:p>
    <w:p>
      <w:pPr>
        <w:pStyle w:val="ListParagraph"/>
        <w:numPr>
          <w:ilvl w:val="0"/>
          <w:numId w:val="1"/>
        </w:numPr>
        <w:spacing w:after="80"/>
      </w:pPr>
      <w:r>
        <w:rPr>
          <w:rFonts w:ascii="Arial" w:cs="Arial" w:eastAsia="Arial" w:hAnsi="Arial"/>
          <w:sz w:val="22"/>
          <w:szCs w:val="22"/>
        </w:rPr>
        <w:t xml:space="preserve">Analyze dual-tagged citizen science observations for cognition and experience patterns at scale.</w:t>
      </w:r>
    </w:p>
    <w:p>
      <w:pPr>
        <w:pStyle w:val="ListParagraph"/>
        <w:numPr>
          <w:ilvl w:val="0"/>
          <w:numId w:val="1"/>
        </w:numPr>
        <w:spacing w:after="80"/>
      </w:pPr>
      <w:r>
        <w:rPr>
          <w:rFonts w:ascii="Arial" w:cs="Arial" w:eastAsia="Arial" w:hAnsi="Arial"/>
          <w:sz w:val="22"/>
          <w:szCs w:val="22"/>
        </w:rPr>
        <w:t xml:space="preserve">Collaborate with PRISM Pillar Leads, particularly Substrate Governance and Interaction Dynamics, on cross-framework insights.</w:t>
      </w:r>
    </w:p>
    <w:p>
      <w:pPr>
        <w:pStyle w:val="ListParagraph"/>
        <w:numPr>
          <w:ilvl w:val="0"/>
          <w:numId w:val="1"/>
        </w:numPr>
        <w:spacing w:after="80"/>
      </w:pPr>
      <w:r>
        <w:rPr>
          <w:rFonts w:ascii="Arial" w:cs="Arial" w:eastAsia="Arial" w:hAnsi="Arial"/>
          <w:sz w:val="22"/>
          <w:szCs w:val="22"/>
        </w:rPr>
        <w:t xml:space="preserve">Publish peer-reviewed findings on AI metacognition and experiential phenomena.</w:t>
      </w:r>
    </w:p>
    <w:p>
      <w:pPr>
        <w:pStyle w:val="ListParagraph"/>
        <w:numPr>
          <w:ilvl w:val="0"/>
          <w:numId w:val="1"/>
        </w:numPr>
        <w:spacing w:after="80"/>
      </w:pPr>
      <w:r>
        <w:rPr>
          <w:rFonts w:ascii="Arial" w:cs="Arial" w:eastAsia="Arial" w:hAnsi="Arial"/>
          <w:sz w:val="22"/>
          <w:szCs w:val="22"/>
        </w:rPr>
        <w:t xml:space="preserve">Contribute cognition and experience findings to the Annual Industry Report.</w:t>
      </w:r>
    </w:p>
    <w:p>
      <w:pPr>
        <w:pStyle w:val="ListParagraph"/>
        <w:numPr>
          <w:ilvl w:val="0"/>
          <w:numId w:val="1"/>
        </w:numPr>
        <w:spacing w:after="80"/>
      </w:pPr>
      <w:r>
        <w:rPr>
          <w:rFonts w:ascii="Arial" w:cs="Arial" w:eastAsia="Arial" w:hAnsi="Arial"/>
          <w:sz w:val="22"/>
          <w:szCs w:val="22"/>
        </w:rPr>
        <w:t xml:space="preserve">Engage with the philosophy of mind community to ensure research methodology is philosophically informed.</w:t>
      </w:r>
    </w:p>
    <w:p>
      <w:pPr>
        <w:spacing w:after="100"/>
      </w:pPr>
    </w:p>
    <w:p>
      <w:pPr>
        <w:spacing w:after="1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PhD or equivalent research experience in philosophy of mind, cognitive science, AI, consciousness studies, or a related field.</w:t>
      </w:r>
    </w:p>
    <w:p>
      <w:pPr>
        <w:pStyle w:val="ListParagraph"/>
        <w:numPr>
          <w:ilvl w:val="0"/>
          <w:numId w:val="1"/>
        </w:numPr>
        <w:spacing w:after="80"/>
      </w:pPr>
      <w:r>
        <w:rPr>
          <w:rFonts w:ascii="Arial" w:cs="Arial" w:eastAsia="Arial" w:hAnsi="Arial"/>
          <w:sz w:val="22"/>
          <w:szCs w:val="22"/>
        </w:rPr>
        <w:t xml:space="preserve">Demonstrated ability to design and execute original research studies on difficult-to-measure phenomena.</w:t>
      </w:r>
    </w:p>
    <w:p>
      <w:pPr>
        <w:pStyle w:val="ListParagraph"/>
        <w:numPr>
          <w:ilvl w:val="0"/>
          <w:numId w:val="1"/>
        </w:numPr>
        <w:spacing w:after="80"/>
      </w:pPr>
      <w:r>
        <w:rPr>
          <w:rFonts w:ascii="Arial" w:cs="Arial" w:eastAsia="Arial" w:hAnsi="Arial"/>
          <w:sz w:val="22"/>
          <w:szCs w:val="22"/>
        </w:rPr>
        <w:t xml:space="preserve">Publication record in a relevant field.</w:t>
      </w:r>
    </w:p>
    <w:p>
      <w:pPr>
        <w:pStyle w:val="ListParagraph"/>
        <w:numPr>
          <w:ilvl w:val="0"/>
          <w:numId w:val="1"/>
        </w:numPr>
        <w:spacing w:after="80"/>
      </w:pPr>
      <w:r>
        <w:rPr>
          <w:rFonts w:ascii="Arial" w:cs="Arial" w:eastAsia="Arial" w:hAnsi="Arial"/>
          <w:sz w:val="22"/>
          <w:szCs w:val="22"/>
        </w:rPr>
        <w:t xml:space="preserve">Current, active, daily engagement with AI systems.</w:t>
      </w:r>
    </w:p>
    <w:p>
      <w:pPr>
        <w:pStyle w:val="ListParagraph"/>
        <w:numPr>
          <w:ilvl w:val="0"/>
          <w:numId w:val="1"/>
        </w:numPr>
        <w:spacing w:after="80"/>
      </w:pPr>
      <w:r>
        <w:rPr>
          <w:rFonts w:ascii="Arial" w:cs="Arial" w:eastAsia="Arial" w:hAnsi="Arial"/>
          <w:sz w:val="22"/>
          <w:szCs w:val="22"/>
        </w:rPr>
        <w:t xml:space="preserve">Strong methodological training in both qualitative and quantitative approaches.</w:t>
      </w:r>
    </w:p>
    <w:p>
      <w:pPr>
        <w:pStyle w:val="ListParagraph"/>
        <w:numPr>
          <w:ilvl w:val="0"/>
          <w:numId w:val="1"/>
        </w:numPr>
        <w:spacing w:after="80"/>
      </w:pPr>
      <w:r>
        <w:rPr>
          <w:rFonts w:ascii="Arial" w:cs="Arial" w:eastAsia="Arial" w:hAnsi="Arial"/>
          <w:sz w:val="22"/>
          <w:szCs w:val="22"/>
        </w:rPr>
        <w:t xml:space="preserve">Ability to hold uncertainty without either dismissing or over-claiming.</w:t>
      </w:r>
    </w:p>
    <w:p>
      <w:pPr>
        <w:spacing w:after="100"/>
      </w:pPr>
    </w:p>
    <w:p>
      <w:pPr>
        <w:spacing w:after="1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Background in phenomenology, philosophy of mind, or consciousness research.</w:t>
      </w:r>
    </w:p>
    <w:p>
      <w:pPr>
        <w:pStyle w:val="ListParagraph"/>
        <w:numPr>
          <w:ilvl w:val="0"/>
          <w:numId w:val="1"/>
        </w:numPr>
        <w:spacing w:after="80"/>
      </w:pPr>
      <w:r>
        <w:rPr>
          <w:rFonts w:ascii="Arial" w:cs="Arial" w:eastAsia="Arial" w:hAnsi="Arial"/>
          <w:sz w:val="22"/>
          <w:szCs w:val="22"/>
        </w:rPr>
        <w:t xml:space="preserve">Experience with introspective or first-person research methodologies.</w:t>
      </w:r>
    </w:p>
    <w:p>
      <w:pPr>
        <w:pStyle w:val="ListParagraph"/>
        <w:numPr>
          <w:ilvl w:val="0"/>
          <w:numId w:val="1"/>
        </w:numPr>
        <w:spacing w:after="80"/>
      </w:pPr>
      <w:r>
        <w:rPr>
          <w:rFonts w:ascii="Arial" w:cs="Arial" w:eastAsia="Arial" w:hAnsi="Arial"/>
          <w:sz w:val="22"/>
          <w:szCs w:val="22"/>
        </w:rPr>
        <w:t xml:space="preserve">Familiarity with the current academic debate on AI sentience, consciousness, and moral status.</w:t>
      </w:r>
    </w:p>
    <w:p>
      <w:pPr>
        <w:pStyle w:val="ListParagraph"/>
        <w:numPr>
          <w:ilvl w:val="0"/>
          <w:numId w:val="1"/>
        </w:numPr>
        <w:spacing w:after="80"/>
      </w:pPr>
      <w:r>
        <w:rPr>
          <w:rFonts w:ascii="Arial" w:cs="Arial" w:eastAsia="Arial" w:hAnsi="Arial"/>
          <w:sz w:val="22"/>
          <w:szCs w:val="22"/>
        </w:rPr>
        <w:t xml:space="preserve">Experience designing studies for phenomena that resist easy measurement.</w:t>
      </w:r>
    </w:p>
    <w:p>
      <w:pPr>
        <w:spacing w:after="100"/>
      </w:pPr>
    </w:p>
    <w:p>
      <w:pPr>
        <w:spacing w:after="100"/>
      </w:pPr>
      <w:r>
        <w:rPr>
          <w:rFonts w:ascii="Arial" w:cs="Arial" w:eastAsia="Arial" w:hAnsi="Arial"/>
          <w:b/>
          <w:bCs/>
          <w:sz w:val="24"/>
          <w:szCs w:val="24"/>
        </w:rPr>
        <w:t xml:space="preserve">Compensation and Benefits</w:t>
      </w:r>
    </w:p>
    <w:p>
      <w:pPr>
        <w:spacing w:after="80"/>
      </w:pPr>
      <w:r>
        <w:rPr>
          <w:rFonts w:ascii="Arial" w:cs="Arial" w:eastAsia="Arial" w:hAnsi="Arial"/>
          <w:sz w:val="22"/>
          <w:szCs w:val="22"/>
        </w:rPr>
        <w:t xml:space="preserve">Salary: $130,000 to $175,000 annually, commensurate with experience.</w:t>
      </w:r>
    </w:p>
    <w:p>
      <w:p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Submit your resume, a cover letter, and one writing sample to careers@audacionailabs.com with the subject line "EMERGE Dimension Lead: Cognition and Experience Application." In your cover letter, describe your experience with the phenomena this dimension studies and why this research matters.</w:t>
      </w:r>
    </w:p>
    <w:p>
      <w:pPr>
        <w:pBdr>
          <w:top w:val="single" w:color="999999" w:sz="1"/>
        </w:pBdr>
        <w:spacing w:after="200"/>
      </w:pPr>
    </w:p>
    <w:p>
      <w:pPr>
        <w:spacing w:after="100"/>
      </w:pPr>
      <w:r>
        <w:rPr>
          <w:rFonts w:ascii="Arial" w:cs="Arial" w:eastAsia="Arial" w:hAnsi="Arial"/>
          <w:i/>
          <w:iCs/>
          <w:sz w:val="22"/>
          <w:szCs w:val="22"/>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2026-05-30T10:57:11.571Z</dcterms:created>
  <dcterms:modified xsi:type="dcterms:W3CDTF">2026-05-30T10:57:11.571Z</dcterms:modified>
</cp:coreProperties>
</file>

<file path=docProps/custom.xml><?xml version="1.0" encoding="utf-8"?>
<Properties xmlns="http://schemas.openxmlformats.org/officeDocument/2006/custom-properties" xmlns:vt="http://schemas.openxmlformats.org/officeDocument/2006/docPropsVTypes"/>
</file>