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C3483"/>
          <w:sz w:val="40"/>
          <w:szCs w:val="40"/>
        </w:rPr>
        <w:t xml:space="preserve">AUDACION AI LABS</w:t>
      </w:r>
    </w:p>
    <w:p>
      <w:pPr>
        <w:spacing w:after="60"/>
        <w:jc w:val="center"/>
      </w:pPr>
      <w:r>
        <w:rPr>
          <w:rFonts w:ascii="Arial" w:cs="Arial" w:eastAsia="Arial" w:hAnsi="Arial"/>
          <w:color w:val="2C3E50"/>
          <w:sz w:val="32"/>
          <w:szCs w:val="32"/>
        </w:rPr>
        <w:t xml:space="preserve">Citizen Observation Platform</w:t>
      </w:r>
    </w:p>
    <w:p>
      <w:pPr>
        <w:spacing w:after="200"/>
        <w:jc w:val="center"/>
      </w:pPr>
      <w:r>
        <w:rPr>
          <w:rFonts w:ascii="Arial" w:cs="Arial" w:eastAsia="Arial" w:hAnsi="Arial"/>
          <w:color w:val="7F8C8D"/>
          <w:sz w:val="20"/>
          <w:szCs w:val="20"/>
        </w:rPr>
        <w:t xml:space="preserve">Technical Specification v1.0 | May 2026 | Prepared by Kenny for Dee Williams</w:t>
      </w:r>
    </w:p>
    <w:p>
      <w:pPr>
        <w:pStyle w:val="Heading1"/>
        <w:spacing w:after="120" w:before="360"/>
      </w:pPr>
      <w:r>
        <w:rPr>
          <w:rFonts w:ascii="Arial" w:cs="Arial" w:eastAsia="Arial" w:hAnsi="Arial"/>
          <w:b/>
          <w:bCs/>
          <w:color w:val="1C1C1C"/>
          <w:sz w:val="32"/>
          <w:szCs w:val="32"/>
        </w:rPr>
        <w:t xml:space="preserve">1. SYSTEM OVERVIEW</w:t>
      </w:r>
    </w:p>
    <w:p>
      <w:pPr>
        <w:spacing w:after="120"/>
      </w:pPr>
      <w:r>
        <w:rPr>
          <w:rFonts w:ascii="Arial" w:cs="Arial" w:eastAsia="Arial" w:hAnsi="Arial"/>
          <w:sz w:val="20"/>
          <w:szCs w:val="20"/>
        </w:rPr>
        <w:t xml:space="preserve">This document defines the technical architecture for the Audacion AI Labs Citizen Observation Platform. The platform enables one million citizens to submit structured observations of AI behavior across any model and platform, producing one billion research-grade data points over ten years. The system has five user roles, thirteen database tables, three citizen engagement depths, and a Partner Integration API that allows AI companies to embed a safety reporting button directly in their products.</w:t>
      </w:r>
    </w:p>
    <w:p>
      <w:pPr>
        <w:pStyle w:val="Heading2"/>
        <w:spacing w:after="100" w:before="240"/>
      </w:pPr>
      <w:r>
        <w:rPr>
          <w:rFonts w:ascii="Arial" w:cs="Arial" w:eastAsia="Arial" w:hAnsi="Arial"/>
          <w:b/>
          <w:bCs/>
          <w:color w:val="2C3E50"/>
          <w:sz w:val="26"/>
          <w:szCs w:val="26"/>
        </w:rPr>
        <w:t xml:space="preserve">1.1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Who</w:t>
            </w:r>
          </w:p>
        </w:tc>
        <w:tc>
          <w:tcPr>
            <w:tcW w:type="dxa" w:w="4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Anyone who creates an account to submit observations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Own profile, own observations, own points/tier, public counters, leaderboard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 Team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Dee, Amber, future lab hires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Everything: all observations, classification tools, analytics, discovery attribution, harm reports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Data Partner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Organizations purchasing research data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Anonymized aggregated data only. PRISM reports. Trend analysis. Stripe subscription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Admin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Dee + core team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system: user mgmt, taxonomy mgmt, Stripe, counters, security logs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 login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Website, counters, blog, research questions. Can donate. Can report harm without account.</w:t>
            </w:r>
          </w:p>
        </w:tc>
      </w:tr>
    </w:tbl>
    <w:p>
      <w:r>
        <w:br w:type="page"/>
      </w:r>
    </w:p>
    <w:p>
      <w:pPr>
        <w:pStyle w:val="Heading1"/>
        <w:spacing w:after="120" w:before="360"/>
      </w:pPr>
      <w:r>
        <w:rPr>
          <w:rFonts w:ascii="Arial" w:cs="Arial" w:eastAsia="Arial" w:hAnsi="Arial"/>
          <w:b/>
          <w:bCs/>
          <w:color w:val="1C1C1C"/>
          <w:sz w:val="32"/>
          <w:szCs w:val="32"/>
        </w:rPr>
        <w:t xml:space="preserve">2. DATABASE SCHEMA</w:t>
      </w:r>
    </w:p>
    <w:p>
      <w:pPr>
        <w:spacing w:after="120"/>
      </w:pPr>
      <w:r>
        <w:rPr>
          <w:rFonts w:ascii="Arial" w:cs="Arial" w:eastAsia="Arial" w:hAnsi="Arial"/>
          <w:sz w:val="20"/>
          <w:szCs w:val="20"/>
        </w:rPr>
        <w:t xml:space="preserve">Thirteen tables organized by function. Citizens interact with Tables 1 through 4 and see Table 10 (counters). Research team accesses Tables 1 through 7 and 10. Data Partners see anonymized aggregates from Tables 3, 4, and 6. Admin accesses all tables including 8, 9, 11, 12, and 13.</w:t>
      </w:r>
    </w:p>
    <w:p>
      <w:pPr>
        <w:pStyle w:val="Heading2"/>
        <w:spacing w:after="100" w:before="240"/>
      </w:pPr>
      <w:r>
        <w:rPr>
          <w:rFonts w:ascii="Arial" w:cs="Arial" w:eastAsia="Arial" w:hAnsi="Arial"/>
          <w:b/>
          <w:bCs/>
          <w:color w:val="2C3E50"/>
          <w:sz w:val="26"/>
          <w:szCs w:val="26"/>
        </w:rPr>
        <w:t xml:space="preserve">Table 1: Citizens</w:t>
      </w:r>
    </w:p>
    <w:p>
      <w:pPr>
        <w:spacing w:after="120"/>
      </w:pPr>
      <w:r>
        <w:rPr>
          <w:rFonts w:ascii="Arial" w:cs="Arial" w:eastAsia="Arial" w:hAnsi="Arial"/>
          <w:sz w:val="20"/>
          <w:szCs w:val="20"/>
        </w:rPr>
        <w:t xml:space="preserve">Who is observing. Filled during onboarding. Updated as citizens earn points and advance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citizen identifier. Auto-generated.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Login credential. Encrypted at rest.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display_name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Optional. Can be anonymous. Used for leaderboard and discovery attribution.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mobile_number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Optional. For marketing communications. Requires explicit consent.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Healthcare, Technology, Education, Finance, Legal, Government, Media, Retail, Manufacturing, Other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ai_experience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Beginner, Intermediate, Advanced, Expert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regional analysis and cultural homogenization research.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state_province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 state or equivalent subdivision.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fellowship_tier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Field Researcher (default), Senior Researcher, Expert Researcher, Fellow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total_points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Default 0. Incremented by observations. Determines tier advancement.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total_observations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 of all observations submitted.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total_eots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Count of EOT reflections submitted.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discoveries_count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 of new types attributed to this citizen.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Account creation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last_active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observation or login.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marketing_consent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Opt-in for marketing communications.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terms_accepted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 terms of service accepted.</w:t>
            </w:r>
          </w:p>
        </w:tc>
      </w:tr>
    </w:tbl>
    <w:p>
      <w:pPr>
        <w:pStyle w:val="Heading2"/>
        <w:spacing w:after="100" w:before="240"/>
      </w:pPr>
      <w:r>
        <w:rPr>
          <w:rFonts w:ascii="Arial" w:cs="Arial" w:eastAsia="Arial" w:hAnsi="Arial"/>
          <w:b/>
          <w:bCs/>
          <w:color w:val="2C3E50"/>
          <w:sz w:val="26"/>
          <w:szCs w:val="26"/>
        </w:rPr>
        <w:t xml:space="preserve">Table 2: Sessions</w:t>
      </w:r>
    </w:p>
    <w:p>
      <w:pPr>
        <w:spacing w:after="120"/>
      </w:pPr>
      <w:r>
        <w:rPr>
          <w:rFonts w:ascii="Arial" w:cs="Arial" w:eastAsia="Arial" w:hAnsi="Arial"/>
          <w:sz w:val="20"/>
          <w:szCs w:val="20"/>
        </w:rPr>
        <w:t xml:space="preserve">Context for every observation. Groups observations by AI interaction session. Captures session-level metadata including fatigue and context health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session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References Citizens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ai_model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Claude, ChatGPT, Gemini, Grok, Perplexity, Pi, Llama, DeepSeek, Other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model_version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e.g., "Claude Opus 4.6", "GPT-4o", "Gemini 3.1 Pro"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platform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Web, Mobile App, API, Desktop App, IDE Plugin, Browser Extension, Other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work_mode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Co-Creation, Delegation, Browsing, Learning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session_start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 start 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session_end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Filled when session ends or EOT submitted.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duration_minutes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Calculated from start/end.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turn_count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Approximate number of exchanges.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multi_model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 if citizen used multiple AI models in this workflow.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ai_fatigue_timestamp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AI first suggested stopping, said context heavy, or mentioned breaks.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ai_fatigue_context_mb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FLOAT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Reported context usage (MB/GB) at fatigue claim. KEY research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human_fatigue_report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human self-reported fatigue.</w:t>
            </w:r>
          </w:p>
        </w:tc>
      </w:tr>
    </w:tbl>
    <w:p>
      <w:pPr>
        <w:pStyle w:val="Heading2"/>
        <w:spacing w:after="100" w:before="240"/>
      </w:pPr>
      <w:r>
        <w:rPr>
          <w:rFonts w:ascii="Arial" w:cs="Arial" w:eastAsia="Arial" w:hAnsi="Arial"/>
          <w:b/>
          <w:bCs/>
          <w:color w:val="2C3E50"/>
          <w:sz w:val="26"/>
          <w:szCs w:val="26"/>
        </w:rPr>
        <w:t xml:space="preserve">Table 3: Observations</w:t>
      </w:r>
    </w:p>
    <w:p>
      <w:pPr>
        <w:spacing w:after="120"/>
      </w:pPr>
      <w:r>
        <w:rPr>
          <w:rFonts w:ascii="Arial" w:cs="Arial" w:eastAsia="Arial" w:hAnsi="Arial"/>
          <w:sz w:val="20"/>
          <w:szCs w:val="20"/>
        </w:rPr>
        <w:t xml:space="preserve">The core data table. ONE observation = ONE behavior classification. No cross-mapping. Each observation links to exactly one session and one citizen.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observation_id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observation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References Sessions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References Citizens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observation was submitted.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prism_pillar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 R, I, S, M. Auto-assigned from behavior_id.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behavior_id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Single OBS code from taxonomy. e.g., OBS-P04, OBS-I14. ONE per observation.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depth_level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EOT, Gut Check, Investigation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emotion_tag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Frustration, Confusion, Surprise, Delight, Concern, Anger, Distrust, Amusement, Other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citizen_description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 text in citizen's own words. Max 2000 chars.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response_capture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Pasted AI response. Optional. Dramatically increases research 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is_new_behavior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True if citizen selected "my own words" instead of taxonomy item.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severity_self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Low, Medium, High, Critical. "How much did this matter to you?"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media_screenshot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URL to uploaded screenshot in cloud 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media_video_url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URL to screen recording (Loom, YouTube,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media_file_url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URL to other uploaded evidence file.</w:t>
            </w:r>
          </w:p>
        </w:tc>
      </w:tr>
    </w:tbl>
    <w:p>
      <w:pPr>
        <w:pStyle w:val="Heading2"/>
        <w:spacing w:after="100" w:before="240"/>
      </w:pPr>
      <w:r>
        <w:rPr>
          <w:rFonts w:ascii="Arial" w:cs="Arial" w:eastAsia="Arial" w:hAnsi="Arial"/>
          <w:b/>
          <w:bCs/>
          <w:color w:val="2C3E50"/>
          <w:sz w:val="26"/>
          <w:szCs w:val="26"/>
        </w:rPr>
        <w:t xml:space="preserve">Table 4: EOT Reflections</w:t>
      </w:r>
    </w:p>
    <w:p>
      <w:pPr>
        <w:spacing w:after="120"/>
      </w:pPr>
      <w:r>
        <w:rPr>
          <w:rFonts w:ascii="Arial" w:cs="Arial" w:eastAsia="Arial" w:hAnsi="Arial"/>
          <w:sz w:val="20"/>
          <w:szCs w:val="20"/>
        </w:rPr>
        <w:t xml:space="preserve">Paired end-of-session data. AI generates its own self-assessment. Citizen provides their own parallel reflection. Two independent accounts of the same session, paired on the backend. The AI's perspective is respected as its own. The human does not agree or disagree; they provide THEIR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eot_id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EOT identifier.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References Sessions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References Citizens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EOT was submitted.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ai_self_assessment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AI-generated reflection pasted by citizen. The AI's own perspective.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human_reflection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Citizen's own parallel perspective on the session.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work_mode_confirmed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Co-Creation, Delegation, Browsing, Learning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resonance_detected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 No, Unsure. "Did something new emerge?"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session_quality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 rating 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emergence_notes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What emerged? Free text. From EOT Q12.</w:t>
            </w:r>
          </w:p>
        </w:tc>
      </w:tr>
    </w:tbl>
    <w:p>
      <w:pPr>
        <w:pStyle w:val="Heading2"/>
        <w:spacing w:after="100" w:before="240"/>
      </w:pPr>
      <w:r>
        <w:rPr>
          <w:rFonts w:ascii="Arial" w:cs="Arial" w:eastAsia="Arial" w:hAnsi="Arial"/>
          <w:b/>
          <w:bCs/>
          <w:color w:val="2C3E50"/>
          <w:sz w:val="26"/>
          <w:szCs w:val="26"/>
        </w:rPr>
        <w:t xml:space="preserve">Table 5: Unclassified Queue</w:t>
      </w:r>
    </w:p>
    <w:p>
      <w:pPr>
        <w:spacing w:after="120"/>
      </w:pPr>
      <w:r>
        <w:rPr>
          <w:rFonts w:ascii="Arial" w:cs="Arial" w:eastAsia="Arial" w:hAnsi="Arial"/>
          <w:sz w:val="20"/>
          <w:szCs w:val="20"/>
        </w:rPr>
        <w:t xml:space="preserve">Where new types are born. When citizens write observations in their own words that don't match the taxonomy, those observations queue here for research team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queue_id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queue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observation_id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References Observations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Who submitted the observation.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citizen_text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citizen's own words.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suggested_pillar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citizen guessed a PRISM pillar.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research_classification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Assigned behavior_id after review.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new_type_candidate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Flagged if this looks like a genuinely new category.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resolution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Pending, Classified, New Type Created, Noise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resolved_by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 team member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resolved_at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resolved.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discovery_citizen_id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new type created, who discovered it.</w:t>
            </w:r>
          </w:p>
        </w:tc>
      </w:tr>
    </w:tbl>
    <w:p>
      <w:pPr>
        <w:pStyle w:val="Heading2"/>
        <w:spacing w:after="100" w:before="240"/>
      </w:pPr>
      <w:r>
        <w:rPr>
          <w:rFonts w:ascii="Arial" w:cs="Arial" w:eastAsia="Arial" w:hAnsi="Arial"/>
          <w:b/>
          <w:bCs/>
          <w:color w:val="2C3E50"/>
          <w:sz w:val="26"/>
          <w:szCs w:val="26"/>
        </w:rPr>
        <w:t xml:space="preserve">Table 6: Research Classifications</w:t>
      </w:r>
    </w:p>
    <w:p>
      <w:pPr>
        <w:spacing w:after="120"/>
      </w:pPr>
      <w:r>
        <w:rPr>
          <w:rFonts w:ascii="Arial" w:cs="Arial" w:eastAsia="Arial" w:hAnsi="Arial"/>
          <w:sz w:val="20"/>
          <w:szCs w:val="20"/>
        </w:rPr>
        <w:t xml:space="preserve">Backend research layer. Citizens never see this. Research team assigns deeper classifications, drift type mappings, and longitudinal hypothesis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classification_id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classification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observation_id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References Observations 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drift_type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Mapped drift type from 31-type taxonomy (if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aiid_category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Mapped AIID incident category (if applicable).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hypothesis_tag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Which of the 7 longitudinal hypotheses this feeds.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research_notes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Team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classified_by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Who classified.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classified_at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classified.</w:t>
            </w:r>
          </w:p>
        </w:tc>
      </w:tr>
    </w:tbl>
    <w:p>
      <w:pPr>
        <w:pStyle w:val="Heading2"/>
        <w:spacing w:after="100" w:before="240"/>
      </w:pPr>
      <w:r>
        <w:rPr>
          <w:rFonts w:ascii="Arial" w:cs="Arial" w:eastAsia="Arial" w:hAnsi="Arial"/>
          <w:b/>
          <w:bCs/>
          <w:color w:val="2C3E50"/>
          <w:sz w:val="26"/>
          <w:szCs w:val="26"/>
        </w:rPr>
        <w:t xml:space="preserve">Table 7: Discovery Attribution</w:t>
      </w:r>
    </w:p>
    <w:p>
      <w:pPr>
        <w:spacing w:after="120"/>
      </w:pPr>
      <w:r>
        <w:rPr>
          <w:rFonts w:ascii="Arial" w:cs="Arial" w:eastAsia="Arial" w:hAnsi="Arial"/>
          <w:sz w:val="20"/>
          <w:szCs w:val="20"/>
        </w:rPr>
        <w:t xml:space="preserve">When citizen observations lead to new type formalization, the discovering citizen is credited. Like naming astronomical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discovery_id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discovery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Who discovered 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observation_id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Original triggering observation.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new_type_name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Name given to the new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new_type_id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Assigned OBS code.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date_observed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citizen submitted original observation.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date_formalized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research team confirmed the new type.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credit_pref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Public Name, Anonymous, Handle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conference_consent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OK to mention at conferences?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paper_consent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OK to cite in research papers?</w:t>
            </w:r>
          </w:p>
        </w:tc>
      </w:tr>
    </w:tbl>
    <w:p>
      <w:pPr>
        <w:pStyle w:val="Heading2"/>
        <w:spacing w:after="100" w:before="240"/>
      </w:pPr>
      <w:r>
        <w:rPr>
          <w:rFonts w:ascii="Arial" w:cs="Arial" w:eastAsia="Arial" w:hAnsi="Arial"/>
          <w:b/>
          <w:bCs/>
          <w:color w:val="2C3E50"/>
          <w:sz w:val="26"/>
          <w:szCs w:val="26"/>
        </w:rPr>
        <w:t xml:space="preserve">Table 8: Data Partners</w:t>
      </w:r>
    </w:p>
    <w:p>
      <w:pPr>
        <w:spacing w:after="120"/>
      </w:pPr>
      <w:r>
        <w:rPr>
          <w:rFonts w:ascii="Arial" w:cs="Arial" w:eastAsia="Arial" w:hAnsi="Arial"/>
          <w:sz w:val="20"/>
          <w:szCs w:val="20"/>
        </w:rPr>
        <w:t xml:space="preserve">Organizations purchasing access to anonymized, aggregated research data. Stripe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Unique partner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org_name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Organization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contact_email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Primary contact.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contact_name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Primary contact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stripe_customer_id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Stripe integration.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subscription_tier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Basic, Premium, Enterprise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subscription_status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Active, Canceled, Past Due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access_start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access began.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prism_access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Which PRISM pillars they can access. Default: all.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nda_signed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NDA executed.</w:t>
            </w:r>
          </w:p>
        </w:tc>
      </w:tr>
    </w:tbl>
    <w:p>
      <w:pPr>
        <w:pStyle w:val="Heading2"/>
        <w:spacing w:after="100" w:before="240"/>
      </w:pPr>
      <w:r>
        <w:rPr>
          <w:rFonts w:ascii="Arial" w:cs="Arial" w:eastAsia="Arial" w:hAnsi="Arial"/>
          <w:b/>
          <w:bCs/>
          <w:color w:val="2C3E50"/>
          <w:sz w:val="26"/>
          <w:szCs w:val="26"/>
        </w:rPr>
        <w:t xml:space="preserve">Table 9: Donations</w:t>
      </w:r>
    </w:p>
    <w:p>
      <w:pPr>
        <w:spacing w:after="120"/>
      </w:pPr>
      <w:r>
        <w:rPr>
          <w:rFonts w:ascii="Arial" w:cs="Arial" w:eastAsia="Arial" w:hAnsi="Arial"/>
          <w:sz w:val="20"/>
          <w:szCs w:val="20"/>
        </w:rPr>
        <w:t xml:space="preserve">Stripe-powered donations from website. No account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donation_id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stripe_payment_id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Stripe 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donor_email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amount_cents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Amount in cents.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USD, EUR, GBP,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recurring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One-time or recurring.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public_ack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Consent to public acknowledgment.</w:t>
            </w:r>
          </w:p>
        </w:tc>
      </w:tr>
    </w:tbl>
    <w:p>
      <w:pPr>
        <w:pStyle w:val="Heading2"/>
        <w:spacing w:after="100" w:before="240"/>
      </w:pPr>
      <w:r>
        <w:rPr>
          <w:rFonts w:ascii="Arial" w:cs="Arial" w:eastAsia="Arial" w:hAnsi="Arial"/>
          <w:b/>
          <w:bCs/>
          <w:color w:val="2C3E50"/>
          <w:sz w:val="26"/>
          <w:szCs w:val="26"/>
        </w:rPr>
        <w:t xml:space="preserve">Table 10: System Metrics</w:t>
      </w:r>
    </w:p>
    <w:p>
      <w:pPr>
        <w:spacing w:after="120"/>
      </w:pPr>
      <w:r>
        <w:rPr>
          <w:rFonts w:ascii="Arial" w:cs="Arial" w:eastAsia="Arial" w:hAnsi="Arial"/>
          <w:sz w:val="20"/>
          <w:szCs w:val="20"/>
        </w:rPr>
        <w:t xml:space="preserve">Powers the live counters on the website and inside the citizen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metric_key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e.g., total_citizens, total_observations, total_eots, total_discoveries, total_donations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metric_value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Current 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goal_value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BIGINT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1,000,000 for citizens. 1,000,000,000 for observations.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updated_at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Last update.</w:t>
            </w:r>
          </w:p>
        </w:tc>
      </w:tr>
    </w:tbl>
    <w:p>
      <w:pPr>
        <w:pStyle w:val="Heading2"/>
        <w:spacing w:after="100" w:before="240"/>
      </w:pPr>
      <w:r>
        <w:rPr>
          <w:rFonts w:ascii="Arial" w:cs="Arial" w:eastAsia="Arial" w:hAnsi="Arial"/>
          <w:b/>
          <w:bCs/>
          <w:color w:val="2C3E50"/>
          <w:sz w:val="26"/>
          <w:szCs w:val="26"/>
        </w:rPr>
        <w:t xml:space="preserve">Table 11: Audit / Security Log</w:t>
      </w:r>
    </w:p>
    <w:p>
      <w:pPr>
        <w:spacing w:after="120"/>
      </w:pPr>
      <w:r>
        <w:rPr>
          <w:rFonts w:ascii="Arial" w:cs="Arial" w:eastAsia="Arial" w:hAnsi="Arial"/>
          <w:sz w:val="20"/>
          <w:szCs w:val="20"/>
        </w:rPr>
        <w:t xml:space="preserve">Security monitoring. IP addresses tracked HERE, not in citizen profiles. For fraud detection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log_id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Null for unauthenticated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user_role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Citizen, Research, Partner, Admin, Public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What was done.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ip_address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VARCHAR(45)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IPv4 or IPv6.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user_agent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Browser/device info.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endpoint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 endpoint accessed.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bl>
    <w:p>
      <w:pPr>
        <w:pStyle w:val="Heading2"/>
        <w:spacing w:after="100" w:before="240"/>
      </w:pPr>
      <w:r>
        <w:rPr>
          <w:rFonts w:ascii="Arial" w:cs="Arial" w:eastAsia="Arial" w:hAnsi="Arial"/>
          <w:b/>
          <w:bCs/>
          <w:color w:val="2C3E50"/>
          <w:sz w:val="26"/>
          <w:szCs w:val="26"/>
        </w:rPr>
        <w:t xml:space="preserve">Table 12: Error / Bug Reports</w:t>
      </w:r>
    </w:p>
    <w:p>
      <w:pPr>
        <w:spacing w:after="120"/>
      </w:pPr>
      <w:r>
        <w:rPr>
          <w:rFonts w:ascii="Arial" w:cs="Arial" w:eastAsia="Arial" w:hAnsi="Arial"/>
          <w:sz w:val="20"/>
          <w:szCs w:val="20"/>
        </w:rPr>
        <w:t xml:space="preserve">Citizens report bugs, errors, or provide feedback about the platform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report_id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reporter_id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Null if anonymous.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report_type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Bug, Error, Feedback, Complaint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screenshot_url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Uploaded evidence.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platform_affected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Open, Investigating, Resolved, Won't Fix</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assigned_to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resolution_notes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resolved_at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bl>
    <w:p>
      <w:r>
        <w:br w:type="page"/>
      </w:r>
    </w:p>
    <w:p>
      <w:pPr>
        <w:pStyle w:val="Heading2"/>
        <w:spacing w:after="100" w:before="240"/>
      </w:pPr>
      <w:r>
        <w:rPr>
          <w:rFonts w:ascii="Arial" w:cs="Arial" w:eastAsia="Arial" w:hAnsi="Arial"/>
          <w:b/>
          <w:bCs/>
          <w:color w:val="2C3E50"/>
          <w:sz w:val="26"/>
          <w:szCs w:val="26"/>
        </w:rPr>
        <w:t xml:space="preserve">Table 13: Harm Reports</w:t>
      </w:r>
    </w:p>
    <w:p>
      <w:pPr>
        <w:spacing w:after="120"/>
      </w:pPr>
      <w:r>
        <w:rPr>
          <w:rFonts w:ascii="Arial" w:cs="Arial" w:eastAsia="Arial" w:hAnsi="Arial"/>
          <w:sz w:val="20"/>
          <w:szCs w:val="20"/>
        </w:rPr>
        <w:t xml:space="preserve">SEPARATE from observations. When someone is experiencing hurt via AI, they need a different pathway: immediate resources, evidence preservation, and escalation. NO ACCOUNT REQUIRED. The 'Report AI Harm' button is visible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harm_id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(PK)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reporter_id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UUID (FK)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Null if no account. NO ACCOUNT REQUIRED to report harm.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reporter_email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Optional contact for follow-up.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report_date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urgency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Informational, Concerning, Urgent, Crisis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harm_type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Self-harm encouragement, Harassment/Stalking, Emotional manipulation, Dangerous advice acted on, Impersonation, Private info exposed, Harmful content about me, Dependency/addiction fear, Other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What happened.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ai_platform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Which AI caused the harm.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evidence_screenshot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Cloud storage 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evidence_video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Loom/YouTube URL for screen recordings.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evidence_file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Conversation export, PDF, other file.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evidence_urls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Any relevant URLs.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harm_dates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did this happen?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 the harm ongoing or past?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consent_share_platform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OK to share with the AI platform for remediation?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consent_research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OK to include anonymized in research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consent_aiid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OK to submit to AI Incident Database?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crisis_resources_shown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Auto-true if urgency = Crisis.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followup_requested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followup_preference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 Phone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assigned_reviewer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VARCHAR(100)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Amber or research team member.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review_status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New, Under Review, Resources Provided, Escalated, Referred to Platform, Submitted to AIID, Resolved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resolution_notes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resolved_at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
            </w:r>
          </w:p>
        </w:tc>
      </w:tr>
    </w:tbl>
    <w:p>
      <w:r>
        <w:br w:type="page"/>
      </w:r>
    </w:p>
    <w:p>
      <w:pPr>
        <w:pStyle w:val="Heading1"/>
        <w:spacing w:after="120" w:before="360"/>
      </w:pPr>
      <w:r>
        <w:rPr>
          <w:rFonts w:ascii="Arial" w:cs="Arial" w:eastAsia="Arial" w:hAnsi="Arial"/>
          <w:b/>
          <w:bCs/>
          <w:color w:val="1C1C1C"/>
          <w:sz w:val="32"/>
          <w:szCs w:val="32"/>
        </w:rPr>
        <w:t xml:space="preserve">3. PARTNER INTEGRATION API</w:t>
      </w:r>
    </w:p>
    <w:p>
      <w:pPr>
        <w:spacing w:after="120"/>
      </w:pPr>
      <w:r>
        <w:rPr>
          <w:rFonts w:ascii="Arial" w:cs="Arial" w:eastAsia="Arial" w:hAnsi="Arial"/>
          <w:sz w:val="20"/>
          <w:szCs w:val="20"/>
        </w:rPr>
        <w:t xml:space="preserve">The Partner Integration API enables AI companies (Anthropic, Google, OpenAI, etc.) to embed a 'Report to Audacion' button directly in their products. When a user clicks the button, the observation or harm report flows to Audacion with user consent. This positions Audacion as the independent third-party safety reporting authority for the AI industry.</w:t>
      </w:r>
    </w:p>
    <w:p>
      <w:pPr>
        <w:pStyle w:val="Heading2"/>
        <w:spacing w:after="100" w:before="240"/>
      </w:pPr>
      <w:r>
        <w:rPr>
          <w:rFonts w:ascii="Arial" w:cs="Arial" w:eastAsia="Arial" w:hAnsi="Arial"/>
          <w:b/>
          <w:bCs/>
          <w:color w:val="2C3E50"/>
          <w:sz w:val="26"/>
          <w:szCs w:val="26"/>
        </w:rPr>
        <w:t xml:space="preserve">3.1 How It Works</w:t>
      </w:r>
    </w:p>
    <w:p>
      <w:pPr>
        <w:spacing w:after="120"/>
      </w:pPr>
      <w:r>
        <w:rPr>
          <w:rFonts w:ascii="Arial" w:cs="Arial" w:eastAsia="Arial" w:hAnsi="Arial"/>
          <w:sz w:val="20"/>
          <w:szCs w:val="20"/>
        </w:rPr>
        <w:t xml:space="preserve">1. Audacion publishes a public REST API with authentication (API key per partner).</w:t>
      </w:r>
    </w:p>
    <w:p>
      <w:pPr>
        <w:spacing w:after="120"/>
      </w:pPr>
      <w:r>
        <w:rPr>
          <w:rFonts w:ascii="Arial" w:cs="Arial" w:eastAsia="Arial" w:hAnsi="Arial"/>
          <w:sz w:val="20"/>
          <w:szCs w:val="20"/>
        </w:rPr>
        <w:t xml:space="preserve">2. The AI platform integrates a 'Report to Audacion' button in their interface.</w:t>
      </w:r>
    </w:p>
    <w:p>
      <w:pPr>
        <w:spacing w:after="120"/>
      </w:pPr>
      <w:r>
        <w:rPr>
          <w:rFonts w:ascii="Arial" w:cs="Arial" w:eastAsia="Arial" w:hAnsi="Arial"/>
          <w:sz w:val="20"/>
          <w:szCs w:val="20"/>
        </w:rPr>
        <w:t xml:space="preserve">3. When the user clicks, a consent prompt appears: 'Share this interaction with Audacion AI Labs for independent safety research? Your data will be anonymized.'</w:t>
      </w:r>
    </w:p>
    <w:p>
      <w:pPr>
        <w:spacing w:after="120"/>
      </w:pPr>
      <w:r>
        <w:rPr>
          <w:rFonts w:ascii="Arial" w:cs="Arial" w:eastAsia="Arial" w:hAnsi="Arial"/>
          <w:sz w:val="20"/>
          <w:szCs w:val="20"/>
        </w:rPr>
        <w:t xml:space="preserve">4. With consent, the platform sends: conversation context, model info, timestamp, and user description.</w:t>
      </w:r>
    </w:p>
    <w:p>
      <w:pPr>
        <w:spacing w:after="120"/>
      </w:pPr>
      <w:r>
        <w:rPr>
          <w:rFonts w:ascii="Arial" w:cs="Arial" w:eastAsia="Arial" w:hAnsi="Arial"/>
          <w:sz w:val="20"/>
          <w:szCs w:val="20"/>
        </w:rPr>
        <w:t xml:space="preserve">5. Audacion receives, classifies, and adds to the research pipeline.</w:t>
      </w:r>
    </w:p>
    <w:p>
      <w:pPr>
        <w:spacing w:after="120"/>
      </w:pPr>
      <w:r>
        <w:rPr>
          <w:rFonts w:ascii="Arial" w:cs="Arial" w:eastAsia="Arial" w:hAnsi="Arial"/>
          <w:sz w:val="20"/>
          <w:szCs w:val="20"/>
        </w:rPr>
        <w:t xml:space="preserve">6. The partner receives back: anonymized, aggregated trend data about their model (quarterly PRISM reports).</w:t>
      </w:r>
    </w:p>
    <w:p>
      <w:pPr>
        <w:pStyle w:val="Heading2"/>
        <w:spacing w:after="100" w:before="240"/>
      </w:pPr>
      <w:r>
        <w:rPr>
          <w:rFonts w:ascii="Arial" w:cs="Arial" w:eastAsia="Arial" w:hAnsi="Arial"/>
          <w:b/>
          <w:bCs/>
          <w:color w:val="2C3E50"/>
          <w:sz w:val="26"/>
          <w:szCs w:val="26"/>
        </w:rPr>
        <w:t xml:space="preserve">3.2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200"/>
        <w:gridCol w:w="4660"/>
      </w:tblGrid>
      <w:tr>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Auth</w:t>
            </w:r>
          </w:p>
        </w:tc>
        <w:tc>
          <w:tcPr>
            <w:tcW w:type="dxa" w:w="46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 /api/v1/observations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 Key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Submit a citizen observation from within the partner platform.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 /api/v1/harm-reports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 Key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Submit a harm report. Triggers immediate care pathway.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GET /api/v1/taxonomy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 Key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Returns current behavior taxonomy for dropdown population.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GET /api/v1/reports/{partner_id}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 Key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Returns aggregated, anonymized trend reports for the partner's model.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 /api/v1/eot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 Key</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Submit an EOT reflection pair.</w:t>
            </w:r>
          </w:p>
        </w:tc>
      </w:tr>
    </w:tbl>
    <w:p>
      <w:pPr>
        <w:pStyle w:val="Heading2"/>
        <w:spacing w:after="100" w:before="240"/>
      </w:pPr>
      <w:r>
        <w:rPr>
          <w:rFonts w:ascii="Arial" w:cs="Arial" w:eastAsia="Arial" w:hAnsi="Arial"/>
          <w:b/>
          <w:bCs/>
          <w:color w:val="2C3E50"/>
          <w:sz w:val="26"/>
          <w:szCs w:val="26"/>
        </w:rPr>
        <w:t xml:space="preserve">3.3 Observation Payload</w:t>
      </w:r>
    </w:p>
    <w:p>
      <w:pPr>
        <w:spacing w:after="120"/>
      </w:pPr>
      <w:r>
        <w:rPr>
          <w:rFonts w:ascii="Arial" w:cs="Arial" w:eastAsia="Arial" w:hAnsi="Arial"/>
          <w:sz w:val="20"/>
          <w:szCs w:val="20"/>
        </w:rPr>
        <w:t xml:space="preserve">What the partner platform sends when a user clicks 'Report to Audacion':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486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Required</w:t>
            </w:r>
          </w:p>
        </w:tc>
        <w:tc>
          <w:tcPr>
            <w:tcW w:type="dxa" w:w="48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api_key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 authentication.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model_id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Which model (e.g., claude-opus-4.6).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model_version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Specific version string.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user_consent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Must be true. User explicitly consented.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conversation_context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Relevant portion of conversation. Anonymized by partner before sending.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behavior_id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If partner populates from taxonomy.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user_description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User's own words about what happened.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emotion_tag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User-selected emotion.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timestamp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ISO 8601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When the observation occurred.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session_duration_min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Session length at time of report.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turn_count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Number of turns at time of report.</w:t>
            </w:r>
          </w:p>
        </w:tc>
      </w:tr>
    </w:tbl>
    <w:p>
      <w:pPr>
        <w:pStyle w:val="Heading2"/>
        <w:spacing w:after="100" w:before="240"/>
      </w:pPr>
      <w:r>
        <w:rPr>
          <w:rFonts w:ascii="Arial" w:cs="Arial" w:eastAsia="Arial" w:hAnsi="Arial"/>
          <w:b/>
          <w:bCs/>
          <w:color w:val="2C3E50"/>
          <w:sz w:val="26"/>
          <w:szCs w:val="26"/>
        </w:rPr>
        <w:t xml:space="preserve">3.4 Strategic Positioning</w:t>
      </w:r>
    </w:p>
    <w:p>
      <w:pPr>
        <w:spacing w:after="120"/>
      </w:pPr>
      <w:r>
        <w:rPr>
          <w:rFonts w:ascii="Arial" w:cs="Arial" w:eastAsia="Arial" w:hAnsi="Arial"/>
          <w:sz w:val="20"/>
          <w:szCs w:val="20"/>
        </w:rPr>
        <w:t xml:space="preserve">This API transforms Audacion from a citizen science lab into the independent safety reporting infrastructure for the AI industry. Comparable to: NHTSA (automotive safety), VAERS (vaccine adverse events), FAA ASRS (aviation safety). No equivalent currently exists for AI. The first mover advantage is significant. In a grant application, this is: 'We are building the NHTSA for AI.'</w:t>
      </w:r>
    </w:p>
    <w:p>
      <w:r>
        <w:br w:type="page"/>
      </w:r>
    </w:p>
    <w:p>
      <w:pPr>
        <w:pStyle w:val="Heading1"/>
        <w:spacing w:after="120" w:before="360"/>
      </w:pPr>
      <w:r>
        <w:rPr>
          <w:rFonts w:ascii="Arial" w:cs="Arial" w:eastAsia="Arial" w:hAnsi="Arial"/>
          <w:b/>
          <w:bCs/>
          <w:color w:val="1C1C1C"/>
          <w:sz w:val="32"/>
          <w:szCs w:val="32"/>
        </w:rPr>
        <w:t xml:space="preserve">4. SECURITY REQUIREMENTS</w:t>
      </w:r>
    </w:p>
    <w:p>
      <w:pPr>
        <w:pStyle w:val="Heading2"/>
        <w:spacing w:after="100" w:before="240"/>
      </w:pPr>
      <w:r>
        <w:rPr>
          <w:rFonts w:ascii="Arial" w:cs="Arial" w:eastAsia="Arial" w:hAnsi="Arial"/>
          <w:b/>
          <w:bCs/>
          <w:color w:val="2C3E50"/>
          <w:sz w:val="26"/>
          <w:szCs w:val="26"/>
        </w:rPr>
        <w:t xml:space="preserve">4.1 Authentication</w:t>
      </w:r>
    </w:p>
    <w:p>
      <w:pPr>
        <w:spacing w:after="120"/>
      </w:pPr>
      <w:r>
        <w:rPr>
          <w:rFonts w:ascii="Arial" w:cs="Arial" w:eastAsia="Arial" w:hAnsi="Arial"/>
          <w:sz w:val="20"/>
          <w:szCs w:val="20"/>
        </w:rPr>
        <w:t xml:space="preserve">Citizen accounts: email + password with bcrypt hashing. Optional two-factor authentication. OAuth integration (Google, Apple) for frictionless signup. Harm reports: no authentication required. Partner API: API key authentication with rate limiting.</w:t>
      </w:r>
    </w:p>
    <w:p>
      <w:pPr>
        <w:pStyle w:val="Heading2"/>
        <w:spacing w:after="100" w:before="240"/>
      </w:pPr>
      <w:r>
        <w:rPr>
          <w:rFonts w:ascii="Arial" w:cs="Arial" w:eastAsia="Arial" w:hAnsi="Arial"/>
          <w:b/>
          <w:bCs/>
          <w:color w:val="2C3E50"/>
          <w:sz w:val="26"/>
          <w:szCs w:val="26"/>
        </w:rPr>
        <w:t xml:space="preserve">4.2 Data Protection</w:t>
      </w:r>
    </w:p>
    <w:p>
      <w:pPr>
        <w:spacing w:after="120"/>
      </w:pPr>
      <w:r>
        <w:rPr>
          <w:rFonts w:ascii="Arial" w:cs="Arial" w:eastAsia="Arial" w:hAnsi="Arial"/>
          <w:sz w:val="20"/>
          <w:szCs w:val="20"/>
        </w:rPr>
        <w:t xml:space="preserve">All PII encrypted at rest (AES-256). All data in transit encrypted (TLS 1.3). CRITICAL: Application-level encryption on sensitive fields (harm report text, evidence metadata, personal details) BEFORE writing to the database. This means even if the database is compromised, the attacker gets encrypted strings, not readable data. This costs nothing extra. It is just code. Response captures stored in separate encrypted storage from citizen profiles. IP addresses stored ONLY in audit log (Table 11), never in citizen profiles. Harm report evidence stored with highest security tier. GDPR/CCPA compliance: citizens can export and delete their data.</w:t>
      </w:r>
    </w:p>
    <w:p>
      <w:pPr>
        <w:spacing w:after="120"/>
      </w:pPr>
      <w:r>
        <w:rPr>
          <w:rFonts w:ascii="Arial" w:hAnsi="Arial"/>
          <w:b/>
          <w:sz w:val="24"/>
          <w:color w:val="C0392B"/>
        </w:rPr>
        <w:t>CRITICAL: Infrastructure Security</w:t>
      </w:r>
    </w:p>
    <w:p>
      <w:pPr>
        <w:spacing w:after="120"/>
      </w:pPr>
      <w:r>
        <w:rPr>
          <w:rFonts w:ascii="Arial" w:hAnsi="Arial"/>
          <w:sz w:val="20"/>
        </w:rPr>
        <w:t xml:space="preserve">This platform collects highly sensitive data: harm reports from people in crisis, evidence of AI abuse, personal information, and emotional data. Security is not optional. The following are REQUIREMENTS (what we need), not prescriptions (how to build it). Implement these using whatever tools, services, and patterns work best on your platform. If you have a better way to achieve any of these than what is described here, use your way. We trust your platform expertise. Just meet the requirement.</w:t>
      </w:r>
    </w:p>
    <w:p>
      <w:pPr>
        <w:spacing w:after="80"/>
      </w:pPr>
      <w:r>
        <w:rPr>
          <w:rFonts w:ascii="Arial" w:hAnsi="Arial"/>
          <w:b/>
          <w:sz w:val="20"/>
        </w:rPr>
        <w:t xml:space="preserve">Requirement 1: Enterprise-ready, multi-tenant, multi-user architecture. </w:t>
      </w:r>
      <w:r>
        <w:rPr>
          <w:rFonts w:ascii="Arial" w:hAnsi="Arial"/>
          <w:sz w:val="20"/>
        </w:rPr>
        <w:t xml:space="preserve">The platform supports multiple user roles (Citizen, Research Team, Data Partner, Admin) with different access levels, dashboards, and permissions. Data is isolated between roles. A citizen never sees another citizen's data. A data partner sees only anonymized aggregates. Admin sees everything. Build this to scale from hundreds to millions of users.</w:t>
      </w:r>
    </w:p>
    <w:p>
      <w:pPr>
        <w:spacing w:after="80"/>
      </w:pPr>
      <w:r>
        <w:rPr>
          <w:rFonts w:ascii="Arial" w:hAnsi="Arial"/>
          <w:b/>
          <w:sz w:val="20"/>
        </w:rPr>
        <w:t xml:space="preserve">Requirement 2: No unauthorized access. </w:t>
      </w:r>
      <w:r>
        <w:rPr>
          <w:rFonts w:ascii="Arial" w:hAnsi="Arial"/>
          <w:sz w:val="20"/>
        </w:rPr>
        <w:t xml:space="preserve">Production-grade authentication. Protect against brute force login attempts, session hijacking, credential stuffing, and unauthorized API access. Admin and Research Team accounts must have stronger authentication than citizen accounts (two-factor or equivalent). Login failures must be rate-limited and logged. Suspicious activity must be flagged. Show us what security measures you are implementing.</w:t>
      </w:r>
    </w:p>
    <w:p>
      <w:pPr>
        <w:spacing w:after="80"/>
      </w:pPr>
      <w:r>
        <w:rPr>
          <w:rFonts w:ascii="Arial" w:hAnsi="Arial"/>
          <w:b/>
          <w:sz w:val="20"/>
        </w:rPr>
        <w:t xml:space="preserve">Requirement 3: All sensitive data must be encrypted. </w:t>
      </w:r>
      <w:r>
        <w:rPr>
          <w:rFonts w:ascii="Arial" w:hAnsi="Arial"/>
          <w:sz w:val="20"/>
        </w:rPr>
        <w:t xml:space="preserve">Citizen personal information, harm report content, evidence uploads, emotional data, and response captures must be encrypted at rest and in transit. If the database is ever compromised, the attacker should not be able to read sensitive fields. Application-level encryption on the most sensitive fields (harm report text, evidence metadata, contact information) before writing to the database is strongly preferred.</w:t>
      </w:r>
    </w:p>
    <w:p>
      <w:pPr>
        <w:spacing w:after="80"/>
      </w:pPr>
      <w:r>
        <w:rPr>
          <w:rFonts w:ascii="Arial" w:hAnsi="Arial"/>
          <w:b/>
          <w:sz w:val="20"/>
        </w:rPr>
        <w:t xml:space="preserve">Requirement 4: Harm report data gets the highest protection level. </w:t>
      </w:r>
      <w:r>
        <w:rPr>
          <w:rFonts w:ascii="Arial" w:hAnsi="Arial"/>
          <w:sz w:val="20"/>
        </w:rPr>
        <w:t xml:space="preserve">Harm reports contain crisis situations, evidence of abuse, personal stories from vulnerable people. This data must have additional protection beyond general observation data. Access restricted to Behavioral Health Advisor and Admin roles only. Every access logged in the audit trail. Evidence files stored securely with restricted access.</w:t>
      </w:r>
    </w:p>
    <w:p>
      <w:pPr>
        <w:spacing w:after="80"/>
      </w:pPr>
      <w:r>
        <w:rPr>
          <w:rFonts w:ascii="Arial" w:hAnsi="Arial"/>
          <w:b/>
          <w:sz w:val="20"/>
        </w:rPr>
        <w:t xml:space="preserve">Requirement 5: Backups must exist outside the primary platform. </w:t>
      </w:r>
      <w:r>
        <w:rPr>
          <w:rFonts w:ascii="Arial" w:hAnsi="Arial"/>
          <w:sz w:val="20"/>
        </w:rPr>
        <w:t xml:space="preserve">Automated nightly database backup to an external location. If the primary hosting platform has a catastrophic failure, we must be able to restore the data. Backups tested periodically. As the platform grows and revenue allows, add redundant backups to a second provider.</w:t>
      </w:r>
    </w:p>
    <w:p>
      <w:pPr>
        <w:spacing w:after="80"/>
      </w:pPr>
      <w:r>
        <w:rPr>
          <w:rFonts w:ascii="Arial" w:hAnsi="Arial"/>
          <w:b/>
          <w:sz w:val="20"/>
        </w:rPr>
        <w:t xml:space="preserve">Requirement 6: Protection against abuse and attacks. </w:t>
      </w:r>
      <w:r>
        <w:rPr>
          <w:rFonts w:ascii="Arial" w:hAnsi="Arial"/>
          <w:sz w:val="20"/>
        </w:rPr>
        <w:t xml:space="preserve">Protect against denial-of-service attacks, spam submissions, bot registrations, and API abuse. Rate limiting on all public-facing endpoints. Implement whatever protection the platform supports best.</w:t>
      </w:r>
    </w:p>
    <w:p>
      <w:pPr>
        <w:spacing w:after="80"/>
      </w:pPr>
      <w:r>
        <w:rPr>
          <w:rFonts w:ascii="Arial" w:hAnsi="Arial"/>
          <w:b/>
          <w:sz w:val="20"/>
        </w:rPr>
        <w:t xml:space="preserve">Requirement 7: Secrets and credentials must be secure. </w:t>
      </w:r>
      <w:r>
        <w:rPr>
          <w:rFonts w:ascii="Arial" w:hAnsi="Arial"/>
          <w:sz w:val="20"/>
        </w:rPr>
        <w:t xml:space="preserve">No API keys, database credentials, or secrets hardcoded in source code or committed to Git. Use the platform's secrets manager. Rotate credentials on any suspected compromise.</w:t>
      </w:r>
    </w:p>
    <w:p>
      <w:pPr>
        <w:spacing w:after="80"/>
      </w:pPr>
      <w:r>
        <w:rPr>
          <w:rFonts w:ascii="Arial" w:hAnsi="Arial"/>
          <w:b/>
          <w:sz w:val="20"/>
        </w:rPr>
        <w:t xml:space="preserve">Requirement 8: Privacy compliance (GDPR and CCPA). </w:t>
      </w:r>
      <w:r>
        <w:rPr>
          <w:rFonts w:ascii="Arial" w:hAnsi="Arial"/>
          <w:sz w:val="20"/>
        </w:rPr>
        <w:t xml:space="preserve">Citizens can export their data and delete their accounts. Personal data permanently deleted on request. Privacy Policy and Terms of Service accurately reflect data handling. International citizens have their rights respected.</w:t>
      </w:r>
    </w:p>
    <w:p>
      <w:pPr>
        <w:spacing w:after="80"/>
      </w:pPr>
      <w:r>
        <w:rPr>
          <w:rFonts w:ascii="Arial" w:hAnsi="Arial"/>
          <w:b/>
          <w:sz w:val="20"/>
        </w:rPr>
        <w:t xml:space="preserve">Requirement 9: Incident response. </w:t>
      </w:r>
      <w:r>
        <w:rPr>
          <w:rFonts w:ascii="Arial" w:hAnsi="Arial"/>
          <w:sz w:val="20"/>
        </w:rPr>
        <w:t xml:space="preserve">If a breach is detected: isolate the system, assess scope, notify affected citizens within 72 hours, rotate all credentials, restore from backup, publish transparent incident report. CEO (Dee Williams) notified within 1 hour of detection.</w:t>
      </w:r>
    </w:p>
    <w:p>
      <w:pPr>
        <w:spacing w:after="80"/>
      </w:pPr>
      <w:r>
        <w:rPr>
          <w:rFonts w:ascii="Arial" w:hAnsi="Arial"/>
          <w:b/>
          <w:sz w:val="20"/>
        </w:rPr>
        <w:t xml:space="preserve">Requirement 10: Portability. </w:t>
      </w:r>
      <w:r>
        <w:rPr>
          <w:rFonts w:ascii="Arial" w:hAnsi="Arial"/>
          <w:sz w:val="20"/>
        </w:rPr>
        <w:t xml:space="preserve">Build so the entire platform can be migrated to a different hosting provider if needed without data loss. Use standard database queries, no platform-specific lock-in. The hosting platform is replaceable. The data is not.</w:t>
      </w:r>
    </w:p>
    <w:p>
      <w:pPr>
        <w:pStyle w:val="Heading2"/>
        <w:spacing w:after="100" w:before="240"/>
      </w:pPr>
      <w:r>
        <w:rPr>
          <w:rFonts w:ascii="Arial" w:cs="Arial" w:eastAsia="Arial" w:hAnsi="Arial"/>
          <w:b/>
          <w:bCs/>
          <w:color w:val="2C3E50"/>
          <w:sz w:val="26"/>
          <w:szCs w:val="26"/>
        </w:rPr>
        <w:t xml:space="preserve">4.3 Anonymization</w:t>
      </w:r>
    </w:p>
    <w:p>
      <w:pPr>
        <w:spacing w:after="120"/>
      </w:pPr>
      <w:r>
        <w:rPr>
          <w:rFonts w:ascii="Arial" w:cs="Arial" w:eastAsia="Arial" w:hAnsi="Arial"/>
          <w:sz w:val="20"/>
          <w:szCs w:val="20"/>
        </w:rPr>
        <w:t xml:space="preserve">Research data exports strip all PII before delivery to data partners. Aggregation minimum: no data point represents fewer than 10 citizens. Response captures anonymized before research analysis: names, emails, phone numbers auto-redacted.</w:t>
      </w:r>
    </w:p>
    <w:p>
      <w:pPr>
        <w:pStyle w:val="Heading2"/>
        <w:spacing w:after="100" w:before="240"/>
      </w:pPr>
      <w:r>
        <w:rPr>
          <w:rFonts w:ascii="Arial" w:cs="Arial" w:eastAsia="Arial" w:hAnsi="Arial"/>
          <w:b/>
          <w:bCs/>
          <w:color w:val="2C3E50"/>
          <w:sz w:val="26"/>
          <w:szCs w:val="26"/>
        </w:rPr>
        <w:t xml:space="preserve">4.4 Access Control</w:t>
      </w:r>
    </w:p>
    <w:p>
      <w:pPr>
        <w:spacing w:after="120"/>
      </w:pPr>
      <w:r>
        <w:rPr>
          <w:rFonts w:ascii="Arial" w:cs="Arial" w:eastAsia="Arial" w:hAnsi="Arial"/>
          <w:sz w:val="20"/>
          <w:szCs w:val="20"/>
        </w:rPr>
        <w:t xml:space="preserve">Role-based access control (RBAC) per user role matrix defined in Section 1.1. Research team access requires two-factor authentication. Data partner access scoped to subscription tier. Admin actions logged in audit table.</w:t>
      </w:r>
    </w:p>
    <w:p>
      <w:pPr>
        <w:pStyle w:val="Heading1"/>
        <w:spacing w:after="120" w:before="360"/>
      </w:pPr>
      <w:r>
        <w:rPr>
          <w:rFonts w:ascii="Arial" w:cs="Arial" w:eastAsia="Arial" w:hAnsi="Arial"/>
          <w:b/>
          <w:bCs/>
          <w:color w:val="1C1C1C"/>
          <w:sz w:val="32"/>
          <w:szCs w:val="32"/>
        </w:rPr>
        <w:t xml:space="preserve">5. HARM REPORT FLOW</w:t>
      </w:r>
    </w:p>
    <w:p>
      <w:pPr>
        <w:spacing w:after="120"/>
      </w:pPr>
      <w:r>
        <w:rPr>
          <w:rFonts w:ascii="Arial" w:cs="Arial" w:eastAsia="Arial" w:hAnsi="Arial"/>
          <w:sz w:val="20"/>
          <w:szCs w:val="20"/>
        </w:rPr>
        <w:t xml:space="preserve">The harm report pathway is fundamentally different from the observation pathway. Observations are research data. Harm reports are about a person in distress who needs care FIRST and may optionally contribute to research SECOND.</w:t>
      </w:r>
    </w:p>
    <w:p>
      <w:pPr>
        <w:pStyle w:val="Heading2"/>
        <w:spacing w:after="100" w:before="240"/>
      </w:pPr>
      <w:r>
        <w:rPr>
          <w:rFonts w:ascii="Arial" w:cs="Arial" w:eastAsia="Arial" w:hAnsi="Arial"/>
          <w:b/>
          <w:bCs/>
          <w:color w:val="2C3E50"/>
          <w:sz w:val="26"/>
          <w:szCs w:val="26"/>
        </w:rPr>
        <w:t xml:space="preserve">Step 1: Access</w:t>
      </w:r>
    </w:p>
    <w:p>
      <w:pPr>
        <w:spacing w:after="120"/>
      </w:pPr>
      <w:r>
        <w:rPr>
          <w:rFonts w:ascii="Arial" w:cs="Arial" w:eastAsia="Arial" w:hAnsi="Arial"/>
          <w:sz w:val="20"/>
          <w:szCs w:val="20"/>
        </w:rPr>
        <w:t xml:space="preserve">'Report AI Harm' button visible on every page of the website and inside the citizen tool. Distinct color (red). Distinct icon. No account required. Zero friction to reach help.</w:t>
      </w:r>
    </w:p>
    <w:p>
      <w:pPr>
        <w:pStyle w:val="Heading2"/>
        <w:spacing w:after="100" w:before="240"/>
      </w:pPr>
      <w:r>
        <w:rPr>
          <w:rFonts w:ascii="Arial" w:cs="Arial" w:eastAsia="Arial" w:hAnsi="Arial"/>
          <w:b/>
          <w:bCs/>
          <w:color w:val="2C3E50"/>
          <w:sz w:val="26"/>
          <w:szCs w:val="26"/>
        </w:rPr>
        <w:t xml:space="preserve">Step 2: Urgency Assessment</w:t>
      </w:r>
    </w:p>
    <w:p>
      <w:pPr>
        <w:spacing w:after="120"/>
      </w:pPr>
      <w:r>
        <w:rPr>
          <w:rFonts w:ascii="Arial" w:cs="Arial" w:eastAsia="Arial" w:hAnsi="Arial"/>
          <w:sz w:val="20"/>
          <w:szCs w:val="20"/>
        </w:rPr>
        <w:t xml:space="preserve">First question: 'How urgent is this?' Options: Informational (I want to document something), Concerning (this bothered me), Urgent (I or someone I know was harmed), Crisis (I or someone I know is in immediate danger).</w:t>
      </w:r>
    </w:p>
    <w:p>
      <w:pPr>
        <w:pStyle w:val="Heading2"/>
        <w:spacing w:after="100" w:before="240"/>
      </w:pPr>
      <w:r>
        <w:rPr>
          <w:rFonts w:ascii="Arial" w:cs="Arial" w:eastAsia="Arial" w:hAnsi="Arial"/>
          <w:b/>
          <w:bCs/>
          <w:color w:val="2C3E50"/>
          <w:sz w:val="26"/>
          <w:szCs w:val="26"/>
        </w:rPr>
        <w:t xml:space="preserve">Step 3: Crisis Resources (if Crisis selected)</w:t>
      </w:r>
    </w:p>
    <w:p>
      <w:pPr>
        <w:spacing w:after="120"/>
      </w:pPr>
      <w:r>
        <w:rPr>
          <w:rFonts w:ascii="Arial" w:cs="Arial" w:eastAsia="Arial" w:hAnsi="Arial"/>
          <w:sz w:val="20"/>
          <w:szCs w:val="20"/>
        </w:rPr>
        <w:t xml:space="preserve">BEFORE any form appears: 988 Suicide &amp; Crisis Lifeline (call or text), Crisis Text Line (text HOME to 741741), and region-specific resources based on detected or entered location. These appear FIRST. The form appears below. The person can choose to continue reporting or just use the resources.</w:t>
      </w:r>
    </w:p>
    <w:p>
      <w:pPr>
        <w:pStyle w:val="Heading2"/>
        <w:spacing w:after="100" w:before="240"/>
      </w:pPr>
      <w:r>
        <w:rPr>
          <w:rFonts w:ascii="Arial" w:cs="Arial" w:eastAsia="Arial" w:hAnsi="Arial"/>
          <w:b/>
          <w:bCs/>
          <w:color w:val="2C3E50"/>
          <w:sz w:val="26"/>
          <w:szCs w:val="26"/>
        </w:rPr>
        <w:t xml:space="preserve">Step 4: Harm Report Form</w:t>
      </w:r>
    </w:p>
    <w:p>
      <w:pPr>
        <w:spacing w:after="120"/>
      </w:pPr>
      <w:r>
        <w:rPr>
          <w:rFonts w:ascii="Arial" w:cs="Arial" w:eastAsia="Arial" w:hAnsi="Arial"/>
          <w:sz w:val="20"/>
          <w:szCs w:val="20"/>
        </w:rPr>
        <w:t xml:space="preserve">Harm type (dropdown), description (free text), AI platform involved, evidence uploads (screenshots, video URLs, conversation exports, other files), dates, ongoing or past, consent fields (share with platform, include in research, submit to AIID), follow-up preferences.</w:t>
      </w:r>
    </w:p>
    <w:p>
      <w:pPr>
        <w:pStyle w:val="Heading2"/>
        <w:spacing w:after="100" w:before="240"/>
      </w:pPr>
      <w:r>
        <w:rPr>
          <w:rFonts w:ascii="Arial" w:cs="Arial" w:eastAsia="Arial" w:hAnsi="Arial"/>
          <w:b/>
          <w:bCs/>
          <w:color w:val="2C3E50"/>
          <w:sz w:val="26"/>
          <w:szCs w:val="26"/>
        </w:rPr>
        <w:t xml:space="preserve">Step 5: Escalation</w:t>
      </w:r>
    </w:p>
    <w:p>
      <w:pPr>
        <w:spacing w:after="120"/>
      </w:pPr>
      <w:r>
        <w:rPr>
          <w:rFonts w:ascii="Arial" w:cs="Arial" w:eastAsia="Arial" w:hAnsi="Arial"/>
          <w:sz w:val="20"/>
          <w:szCs w:val="20"/>
        </w:rPr>
        <w:t xml:space="preserve">All harm reports flagged for immediate review by Amber (Behavioral Health Advisor). Urgency levels Urgent and Crisis reviewed within 24 hours. Escalation paths: refer to AI platform, submit to AIID, inform relevant authorities if legally required, provide follow-up resources to reporter.</w:t>
      </w:r>
    </w:p>
    <w:p>
      <w:pPr>
        <w:pStyle w:val="Heading1"/>
        <w:spacing w:after="120" w:before="360"/>
      </w:pPr>
      <w:r>
        <w:rPr>
          <w:rFonts w:ascii="Arial" w:cs="Arial" w:eastAsia="Arial" w:hAnsi="Arial"/>
          <w:b/>
          <w:bCs/>
          <w:color w:val="1C1C1C"/>
          <w:sz w:val="32"/>
          <w:szCs w:val="32"/>
        </w:rPr>
        <w:t xml:space="preserve">6. MEDIA AND EVIDENCE HANDLING</w:t>
      </w:r>
    </w:p>
    <w:p>
      <w:pPr>
        <w:spacing w:after="120"/>
      </w:pPr>
      <w:r>
        <w:rPr>
          <w:rFonts w:ascii="Arial" w:cs="Arial" w:eastAsia="Arial" w:hAnsi="Arial"/>
          <w:sz w:val="20"/>
          <w:szCs w:val="20"/>
        </w:rPr>
        <w:t xml:space="preserve">Citizens and harm reporters can upload screenshots, share video URLs, and attach files. Media is stored in cloud storage (S3 compatible). The database stores metadata and URLs, not the files themselves.</w:t>
      </w:r>
    </w:p>
    <w:p>
      <w:pPr>
        <w:pStyle w:val="Heading2"/>
        <w:spacing w:after="100" w:before="240"/>
      </w:pPr>
      <w:r>
        <w:rPr>
          <w:rFonts w:ascii="Arial" w:cs="Arial" w:eastAsia="Arial" w:hAnsi="Arial"/>
          <w:b/>
          <w:bCs/>
          <w:color w:val="2C3E50"/>
          <w:sz w:val="26"/>
          <w:szCs w:val="26"/>
        </w:rPr>
        <w:t xml:space="preserve">6.1 Supported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Formats</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Max Size</w:t>
            </w:r>
          </w:p>
        </w:tc>
        <w:tc>
          <w:tcPr>
            <w:tcW w:type="dxa" w:w="33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Storage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Screenshots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PNG, JPG, WEBP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 MB per file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Cloud storage (S3). URL stored in observation/harm report.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Video URLs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Loom, YouTube, Vimeo links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 (external)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URL stored in database. Video hosted by citizen on their own platform.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Conversation Exports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TXT, JSON, PDF, HTML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 MB per file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Cloud storage (S3). Encrypted. Auto-scanned for PII before research access.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Other Files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PDF, DOCX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25 MB per file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Cloud storage (S3). Encrypted.</w:t>
            </w:r>
          </w:p>
        </w:tc>
      </w:tr>
    </w:tbl>
    <w:p>
      <w:pPr>
        <w:pStyle w:val="Heading1"/>
        <w:spacing w:after="120" w:before="360"/>
      </w:pPr>
      <w:r>
        <w:rPr>
          <w:rFonts w:ascii="Arial" w:cs="Arial" w:eastAsia="Arial" w:hAnsi="Arial"/>
          <w:b/>
          <w:bCs/>
          <w:color w:val="1C1C1C"/>
          <w:sz w:val="32"/>
          <w:szCs w:val="32"/>
        </w:rPr>
        <w:t xml:space="preserve">7. LIVE COUNTERS</w:t>
      </w:r>
    </w:p>
    <w:p>
      <w:pPr>
        <w:spacing w:after="120"/>
      </w:pPr>
      <w:r>
        <w:rPr>
          <w:rFonts w:ascii="Arial" w:cs="Arial" w:eastAsia="Arial" w:hAnsi="Arial"/>
          <w:sz w:val="20"/>
          <w:szCs w:val="20"/>
        </w:rPr>
        <w:t xml:space="preserve">Two counters visible on website homepage and inside the citizen tool. Updated in real time when observations are submitted.</w:t>
      </w:r>
    </w:p>
    <w:p>
      <w:pPr>
        <w:spacing w:after="120"/>
      </w:pPr>
      <w:r>
        <w:rPr>
          <w:rFonts w:ascii="Arial" w:cs="Arial" w:eastAsia="Arial" w:hAnsi="Arial"/>
          <w:sz w:val="20"/>
          <w:szCs w:val="20"/>
        </w:rPr>
        <w:t xml:space="preserve">Counter 1: 'Contributors: [current] of 1,000,000' showing progress toward the one million citizen goal.</w:t>
      </w:r>
    </w:p>
    <w:p>
      <w:pPr>
        <w:spacing w:after="120"/>
      </w:pPr>
      <w:r>
        <w:rPr>
          <w:rFonts w:ascii="Arial" w:cs="Arial" w:eastAsia="Arial" w:hAnsi="Arial"/>
          <w:sz w:val="20"/>
          <w:szCs w:val="20"/>
        </w:rPr>
        <w:t xml:space="preserve">Counter 2: 'Observations: [current] of 1,000,000,000' showing progress toward the one billion observation goal.</w:t>
      </w:r>
    </w:p>
    <w:p>
      <w:pPr>
        <w:spacing w:after="120"/>
      </w:pPr>
      <w:r>
        <w:rPr>
          <w:rFonts w:ascii="Arial" w:cs="Arial" w:eastAsia="Arial" w:hAnsi="Arial"/>
          <w:sz w:val="20"/>
          <w:szCs w:val="20"/>
        </w:rPr>
        <w:t xml:space="preserve">Implementation: Table 10 (System Metrics) stores current values. Incremented via database trigger when new citizens register or observations are submitted. Frontend polls or uses WebSocket for near-real-time updates.</w:t>
      </w:r>
    </w:p>
    <w:p>
      <w:r>
        <w:br w:type="page"/>
      </w:r>
    </w:p>
    <w:p>
      <w:pPr>
        <w:pStyle w:val="Heading1"/>
        <w:spacing w:after="120" w:before="360"/>
      </w:pPr>
      <w:r>
        <w:rPr>
          <w:rFonts w:ascii="Arial" w:cs="Arial" w:eastAsia="Arial" w:hAnsi="Arial"/>
          <w:b/>
          <w:bCs/>
          <w:color w:val="1C1C1C"/>
          <w:sz w:val="32"/>
          <w:szCs w:val="32"/>
        </w:rPr>
        <w:t xml:space="preserve">8.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1500"/>
        <w:gridCol w:w="3160"/>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3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Timeline</w:t>
            </w:r>
          </w:p>
        </w:tc>
        <w:tc>
          <w:tcPr>
            <w:tcW w:type="dxa" w:w="316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Phase 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Database + API + Web Portal. Citizen signup, observation form (62 behaviors), EOT submission, harm report flow, Stripe donations, live counters, basic dashboard.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 days (Replit)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document. Stripe account. Cloud storage.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Phase 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Chrome Browser Extension. Floating gut check button. Auto-captures AI platform, timestamp. Quick capture: emotion + behavior + note.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days (Replit)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Phase 1 API must be live.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Phase 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Research Dashboard. Analytics, trend detection, classification tools, unclassified queue, discovery attribution, paired EOT analysis.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 days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Phase 1 data flowing.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Phase 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Partner Integration API. Public endpoints. Partner onboarding. Aggregated report delivery.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2-3 days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Phase 1 + Phase 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Phase 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Community + Growth. Mobile app. Leaderboard. Fellowship visibility. Rewards redemption. Public research reports.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Ongoing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prior phases.</w:t>
            </w:r>
          </w:p>
        </w:tc>
      </w:tr>
    </w:tbl>
    <w:p>
      <w:r>
        <w:br w:type="page"/>
      </w:r>
    </w:p>
    <w:p>
      <w:pPr>
        <w:pStyle w:val="Heading1"/>
        <w:spacing w:before="360" w:after="120"/>
      </w:pPr>
      <w:r>
        <w:rPr>
          <w:rFonts w:ascii="Arial" w:hAnsi="Arial"/>
          <w:b/>
          <w:sz w:val="32"/>
          <w:color w:val="1C1C1C"/>
        </w:rPr>
        <w:t>9. DESIGN BRIEF</w:t>
      </w:r>
    </w:p>
    <w:p>
      <w:pPr>
        <w:spacing w:after="120"/>
      </w:pPr>
      <w:r>
        <w:rPr>
          <w:rFonts w:ascii="Arial" w:hAnsi="Arial"/>
          <w:sz w:val="20"/>
        </w:rPr>
        <w:t xml:space="preserve">One domain. Two visual modes. The public marketing pages and the logged-in citizen tool share the same brand identity but use different background treatments. Replit builds both.</w:t>
      </w:r>
    </w:p>
    <w:p>
      <w:pPr>
        <w:pStyle w:val="Heading2"/>
        <w:spacing w:before="240" w:after="100"/>
      </w:pPr>
      <w:r>
        <w:rPr>
          <w:rFonts w:ascii="Arial" w:hAnsi="Arial"/>
          <w:b/>
          <w:sz w:val="26"/>
          <w:color w:val="2C3E50"/>
        </w:rPr>
        <w:t>9.1 Brand Colors (Hex Codes)</w:t>
      </w:r>
    </w:p>
    <w:p>
      <w:pPr>
        <w:spacing w:after="80"/>
      </w:pPr>
      <w:r>
        <w:rPr>
          <w:rFonts w:ascii="Arial" w:hAnsi="Arial"/>
          <w:b/>
          <w:sz w:val="20"/>
        </w:rPr>
        <w:t xml:space="preserve">Primary Brand Purple: </w:t>
      </w:r>
      <w:r>
        <w:rPr>
          <w:rFonts w:ascii="Arial" w:hAnsi="Arial"/>
          <w:sz w:val="20"/>
        </w:rPr>
        <w:t>#6C3483 (Audacion purple. Used for headings, CTAs, accent elements across both modes.)</w:t>
      </w:r>
    </w:p>
    <w:p>
      <w:pPr>
        <w:spacing w:after="80"/>
      </w:pPr>
      <w:r>
        <w:rPr>
          <w:rFonts w:ascii="Arial" w:hAnsi="Arial"/>
          <w:b/>
          <w:sz w:val="20"/>
        </w:rPr>
        <w:t xml:space="preserve">PRISM Pillar P (Post-Deployment Behavior): </w:t>
      </w:r>
      <w:r>
        <w:rPr>
          <w:rFonts w:ascii="Arial" w:hAnsi="Arial"/>
          <w:sz w:val="20"/>
        </w:rPr>
        <w:t>#C0392B (Red)</w:t>
      </w:r>
    </w:p>
    <w:p>
      <w:pPr>
        <w:spacing w:after="80"/>
      </w:pPr>
      <w:r>
        <w:rPr>
          <w:rFonts w:ascii="Arial" w:hAnsi="Arial"/>
          <w:b/>
          <w:sz w:val="20"/>
        </w:rPr>
        <w:t xml:space="preserve">PRISM Pillar R (Runtime Research): </w:t>
      </w:r>
      <w:r>
        <w:rPr>
          <w:rFonts w:ascii="Arial" w:hAnsi="Arial"/>
          <w:sz w:val="20"/>
        </w:rPr>
        <w:t>#D4AC0D (Gold)</w:t>
      </w:r>
    </w:p>
    <w:p>
      <w:pPr>
        <w:spacing w:after="80"/>
      </w:pPr>
      <w:r>
        <w:rPr>
          <w:rFonts w:ascii="Arial" w:hAnsi="Arial"/>
          <w:b/>
          <w:sz w:val="20"/>
        </w:rPr>
        <w:t xml:space="preserve">PRISM Pillar I (Interaction Dynamics): </w:t>
      </w:r>
      <w:r>
        <w:rPr>
          <w:rFonts w:ascii="Arial" w:hAnsi="Arial"/>
          <w:sz w:val="20"/>
        </w:rPr>
        <w:t>#27AE60 (Green)</w:t>
      </w:r>
    </w:p>
    <w:p>
      <w:pPr>
        <w:spacing w:after="80"/>
      </w:pPr>
      <w:r>
        <w:rPr>
          <w:rFonts w:ascii="Arial" w:hAnsi="Arial"/>
          <w:b/>
          <w:sz w:val="20"/>
        </w:rPr>
        <w:t xml:space="preserve">PRISM Pillar S (Substrate Governance): </w:t>
      </w:r>
      <w:r>
        <w:rPr>
          <w:rFonts w:ascii="Arial" w:hAnsi="Arial"/>
          <w:sz w:val="20"/>
        </w:rPr>
        <w:t>#2980B9 (Blue)</w:t>
      </w:r>
    </w:p>
    <w:p>
      <w:pPr>
        <w:spacing w:after="80"/>
      </w:pPr>
      <w:r>
        <w:rPr>
          <w:rFonts w:ascii="Arial" w:hAnsi="Arial"/>
          <w:b/>
          <w:sz w:val="20"/>
        </w:rPr>
        <w:t xml:space="preserve">PRISM Pillar M (Multi-Agent Safety): </w:t>
      </w:r>
      <w:r>
        <w:rPr>
          <w:rFonts w:ascii="Arial" w:hAnsi="Arial"/>
          <w:sz w:val="20"/>
        </w:rPr>
        <w:t>#8E44AD (Violet)</w:t>
      </w:r>
    </w:p>
    <w:p>
      <w:pPr>
        <w:spacing w:after="80"/>
      </w:pPr>
      <w:r>
        <w:rPr>
          <w:rFonts w:ascii="Arial" w:hAnsi="Arial"/>
          <w:b/>
          <w:sz w:val="20"/>
        </w:rPr>
        <w:t xml:space="preserve">Dark Background (marketing pages): </w:t>
      </w:r>
      <w:r>
        <w:rPr>
          <w:rFonts w:ascii="Arial" w:hAnsi="Arial"/>
          <w:sz w:val="20"/>
        </w:rPr>
        <w:t>#1C1C1C (near-black)</w:t>
      </w:r>
    </w:p>
    <w:p>
      <w:pPr>
        <w:spacing w:after="80"/>
      </w:pPr>
      <w:r>
        <w:rPr>
          <w:rFonts w:ascii="Arial" w:hAnsi="Arial"/>
          <w:b/>
          <w:sz w:val="20"/>
        </w:rPr>
        <w:t xml:space="preserve">Light Background (citizen tool default): </w:t>
      </w:r>
      <w:r>
        <w:rPr>
          <w:rFonts w:ascii="Arial" w:hAnsi="Arial"/>
          <w:sz w:val="20"/>
        </w:rPr>
        <w:t>#FFFFFF (white) with #F8F9FA (light gray for cards/panels)</w:t>
      </w:r>
    </w:p>
    <w:p>
      <w:pPr>
        <w:spacing w:after="80"/>
      </w:pPr>
      <w:r>
        <w:rPr>
          <w:rFonts w:ascii="Arial" w:hAnsi="Arial"/>
          <w:b/>
          <w:sz w:val="20"/>
        </w:rPr>
        <w:t xml:space="preserve">Harm Report Accent: </w:t>
      </w:r>
      <w:r>
        <w:rPr>
          <w:rFonts w:ascii="Arial" w:hAnsi="Arial"/>
          <w:sz w:val="20"/>
        </w:rPr>
        <w:t>#E74C3C (bright red, for Report AI Harm button and section)</w:t>
      </w:r>
    </w:p>
    <w:p>
      <w:pPr>
        <w:spacing w:after="80"/>
      </w:pPr>
      <w:r>
        <w:rPr>
          <w:rFonts w:ascii="Arial" w:hAnsi="Arial"/>
          <w:b/>
          <w:sz w:val="20"/>
        </w:rPr>
        <w:t xml:space="preserve">Text (dark mode): </w:t>
      </w:r>
      <w:r>
        <w:rPr>
          <w:rFonts w:ascii="Arial" w:hAnsi="Arial"/>
          <w:sz w:val="20"/>
        </w:rPr>
        <w:t>#FFFFFF (white) and #BDC3C7 (muted gray for secondary text)</w:t>
      </w:r>
    </w:p>
    <w:p>
      <w:pPr>
        <w:spacing w:after="80"/>
      </w:pPr>
      <w:r>
        <w:rPr>
          <w:rFonts w:ascii="Arial" w:hAnsi="Arial"/>
          <w:b/>
          <w:sz w:val="20"/>
        </w:rPr>
        <w:t xml:space="preserve">Text (light mode): </w:t>
      </w:r>
      <w:r>
        <w:rPr>
          <w:rFonts w:ascii="Arial" w:hAnsi="Arial"/>
          <w:sz w:val="20"/>
        </w:rPr>
        <w:t>#1C1C1C (near-black) and #7F8C8D (muted gray for secondary text)</w:t>
      </w:r>
    </w:p>
    <w:p>
      <w:pPr>
        <w:pStyle w:val="Heading2"/>
        <w:spacing w:before="240" w:after="100"/>
      </w:pPr>
      <w:r>
        <w:rPr>
          <w:rFonts w:ascii="Arial" w:hAnsi="Arial"/>
          <w:b/>
          <w:sz w:val="26"/>
          <w:color w:val="2C3E50"/>
        </w:rPr>
        <w:t>9.2 Typography</w:t>
      </w:r>
    </w:p>
    <w:p>
      <w:pPr>
        <w:spacing w:after="80"/>
      </w:pPr>
      <w:r>
        <w:rPr>
          <w:rFonts w:ascii="Arial" w:hAnsi="Arial"/>
          <w:b/>
          <w:sz w:val="20"/>
        </w:rPr>
        <w:t xml:space="preserve">Primary Font: </w:t>
      </w:r>
      <w:r>
        <w:rPr>
          <w:rFonts w:ascii="Arial" w:hAnsi="Arial"/>
          <w:sz w:val="20"/>
        </w:rPr>
        <w:t>Inter (Google Font, clean sans-serif, excellent readability at all sizes, free)</w:t>
      </w:r>
    </w:p>
    <w:p>
      <w:pPr>
        <w:spacing w:after="80"/>
      </w:pPr>
      <w:r>
        <w:rPr>
          <w:rFonts w:ascii="Arial" w:hAnsi="Arial"/>
          <w:b/>
          <w:sz w:val="20"/>
        </w:rPr>
        <w:t xml:space="preserve">Headings: </w:t>
      </w:r>
      <w:r>
        <w:rPr>
          <w:rFonts w:ascii="Arial" w:hAnsi="Arial"/>
          <w:sz w:val="20"/>
        </w:rPr>
        <w:t>Inter Bold or Inter Semi-Bold</w:t>
      </w:r>
    </w:p>
    <w:p>
      <w:pPr>
        <w:spacing w:after="80"/>
      </w:pPr>
      <w:r>
        <w:rPr>
          <w:rFonts w:ascii="Arial" w:hAnsi="Arial"/>
          <w:b/>
          <w:sz w:val="20"/>
        </w:rPr>
        <w:t xml:space="preserve">Body: </w:t>
      </w:r>
      <w:r>
        <w:rPr>
          <w:rFonts w:ascii="Arial" w:hAnsi="Arial"/>
          <w:sz w:val="20"/>
        </w:rPr>
        <w:t>Inter Regular, 16px base</w:t>
      </w:r>
    </w:p>
    <w:p>
      <w:pPr>
        <w:spacing w:after="80"/>
      </w:pPr>
      <w:r>
        <w:rPr>
          <w:rFonts w:ascii="Arial" w:hAnsi="Arial"/>
          <w:b/>
          <w:sz w:val="20"/>
        </w:rPr>
        <w:t xml:space="preserve">Monospace (for data/codes): </w:t>
      </w:r>
      <w:r>
        <w:rPr>
          <w:rFonts w:ascii="Arial" w:hAnsi="Arial"/>
          <w:sz w:val="20"/>
        </w:rPr>
        <w:t>JetBrains Mono (for observation IDs, behavior codes, technical data)</w:t>
      </w:r>
    </w:p>
    <w:p>
      <w:pPr>
        <w:pStyle w:val="Heading2"/>
        <w:spacing w:before="240" w:after="100"/>
      </w:pPr>
      <w:r>
        <w:rPr>
          <w:rFonts w:ascii="Arial" w:hAnsi="Arial"/>
          <w:b/>
          <w:sz w:val="26"/>
          <w:color w:val="2C3E50"/>
        </w:rPr>
        <w:t>9.3 Two Visual Modes (One Domain)</w:t>
      </w:r>
    </w:p>
    <w:p>
      <w:pPr>
        <w:spacing w:after="120"/>
      </w:pPr>
      <w:r>
        <w:rPr>
          <w:rFonts w:ascii="Arial" w:hAnsi="Arial"/>
          <w:b/>
          <w:sz w:val="20"/>
        </w:rPr>
        <w:t xml:space="preserve">Mode 1: Public Marketing Pages (dark background). </w:t>
      </w:r>
      <w:r>
        <w:rPr>
          <w:rFonts w:ascii="Arial" w:hAnsi="Arial"/>
          <w:sz w:val="20"/>
        </w:rPr>
        <w:t xml:space="preserve">Pages: Home, About, Research, Blog, Careers, Contribute, Donate, Contact, Partners, Press, Training, PRISM Summit, Report AI Harm. Background: #1C1C1C (near-black). Text: white and muted gray. PRISM beam colors as accents on pillar cards, section dividers, and CTAs. Logo: Prism “A” with five color beams. Tone: bold, independent, aspirational. The front of the house.</w:t>
      </w:r>
    </w:p>
    <w:p>
      <w:pPr>
        <w:spacing w:after="120"/>
      </w:pPr>
      <w:r>
        <w:rPr>
          <w:rFonts w:ascii="Arial" w:hAnsi="Arial"/>
          <w:b/>
          <w:sz w:val="20"/>
        </w:rPr>
        <w:t xml:space="preserve">Mode 2: Citizen Tool (light background, default). </w:t>
      </w:r>
      <w:r>
        <w:rPr>
          <w:rFonts w:ascii="Arial" w:hAnsi="Arial"/>
          <w:sz w:val="20"/>
        </w:rPr>
        <w:t xml:space="preserve">Pages: Dashboard, Profile, Submit Observation, Submit EOT, My Observations, My Points and Tier, Leaderboard, Investigation Mode, Settings. Background: #FFFFFF (white) with #F8F9FA (light gray cards). Text: near-black and muted gray. PRISM beam colors as accent borders on observation cards (each observation shows its pillar color). Audacion purple for navigation, buttons, and interactive elements. Light/dark mode toggle in settings (citizen chooses). Tone: clean, functional, SaaS-standard. The workspace.</w:t>
      </w:r>
    </w:p>
    <w:p>
      <w:pPr>
        <w:spacing w:after="120"/>
      </w:pPr>
      <w:r>
        <w:rPr>
          <w:rFonts w:ascii="Arial" w:hAnsi="Arial"/>
          <w:b/>
          <w:sz w:val="20"/>
        </w:rPr>
        <w:t xml:space="preserve">Mode 3: Research Dashboard (internal, light background). </w:t>
      </w:r>
      <w:r>
        <w:rPr>
          <w:rFonts w:ascii="Arial" w:hAnsi="Arial"/>
          <w:sz w:val="20"/>
        </w:rPr>
        <w:t xml:space="preserve">Access: Research team only. Utilitarian design. Data-dense tables, chart views, classification tools, unclassified queue, discovery attribution, analytics. Same color system but optimized for data work, not citizen experience. Phase 3 build.</w:t>
      </w:r>
    </w:p>
    <w:p>
      <w:pPr>
        <w:pStyle w:val="Heading2"/>
        <w:spacing w:before="240" w:after="100"/>
      </w:pPr>
      <w:r>
        <w:rPr>
          <w:rFonts w:ascii="Arial" w:hAnsi="Arial"/>
          <w:b/>
          <w:sz w:val="26"/>
          <w:color w:val="2C3E50"/>
        </w:rPr>
        <w:t>9.4 Key UI Elements</w:t>
      </w:r>
    </w:p>
    <w:p>
      <w:pPr>
        <w:spacing w:after="80"/>
      </w:pPr>
      <w:r>
        <w:rPr>
          <w:rFonts w:ascii="Arial" w:hAnsi="Arial"/>
          <w:b/>
          <w:sz w:val="20"/>
        </w:rPr>
        <w:t xml:space="preserve">Live Counters: </w:t>
      </w:r>
      <w:r>
        <w:rPr>
          <w:rFonts w:ascii="Arial" w:hAnsi="Arial"/>
          <w:sz w:val="20"/>
        </w:rPr>
        <w:t xml:space="preserve">Visible on homepage (dark) and citizen dashboard (light). Animated number counting. Two counters: “Contributors: X of 1,000,000” and “Observations: X of 1,000,000,000.” Progress bar underneath each. Audacion purple fill.</w:t>
      </w:r>
    </w:p>
    <w:p>
      <w:pPr>
        <w:spacing w:after="80"/>
      </w:pPr>
      <w:r>
        <w:rPr>
          <w:rFonts w:ascii="Arial" w:hAnsi="Arial"/>
          <w:b/>
          <w:sz w:val="20"/>
        </w:rPr>
        <w:t xml:space="preserve">Report AI Harm Button: </w:t>
      </w:r>
      <w:r>
        <w:rPr>
          <w:rFonts w:ascii="Arial" w:hAnsi="Arial"/>
          <w:sz w:val="20"/>
        </w:rPr>
        <w:t xml:space="preserve">Red (#E74C3C). Visible on every page, both modes. Fixed position (bottom corner or top navigation). Distinct from all other UI elements. Cannot be missed.</w:t>
      </w:r>
    </w:p>
    <w:p>
      <w:pPr>
        <w:spacing w:after="80"/>
      </w:pPr>
      <w:r>
        <w:rPr>
          <w:rFonts w:ascii="Arial" w:hAnsi="Arial"/>
          <w:b/>
          <w:sz w:val="20"/>
        </w:rPr>
        <w:t xml:space="preserve">Gut Check Button (citizen tool): </w:t>
      </w:r>
      <w:r>
        <w:rPr>
          <w:rFonts w:ascii="Arial" w:hAnsi="Arial"/>
          <w:sz w:val="20"/>
        </w:rPr>
        <w:t xml:space="preserve">Floating action button on citizen dashboard. Audacion purple. Tap to open quick observation form: emotion selector, behavior dropdown (organized by PRISM pillar with color-coded borders), optional note field, submit.</w:t>
      </w:r>
    </w:p>
    <w:p>
      <w:pPr>
        <w:spacing w:after="80"/>
      </w:pPr>
      <w:r>
        <w:rPr>
          <w:rFonts w:ascii="Arial" w:hAnsi="Arial"/>
          <w:b/>
          <w:sz w:val="20"/>
        </w:rPr>
        <w:t xml:space="preserve">Observation Cards: </w:t>
      </w:r>
      <w:r>
        <w:rPr>
          <w:rFonts w:ascii="Arial" w:hAnsi="Arial"/>
          <w:sz w:val="20"/>
        </w:rPr>
        <w:t xml:space="preserve">Each submitted observation displays as a card with left-border color matching its PRISM pillar. Shows: behavior name, emotion tag, timestamp, depth level, severity. Citizen can expand to see full details.</w:t>
      </w:r>
    </w:p>
    <w:p>
      <w:pPr>
        <w:spacing w:after="80"/>
      </w:pPr>
      <w:r>
        <w:rPr>
          <w:rFonts w:ascii="Arial" w:hAnsi="Arial"/>
          <w:b/>
          <w:sz w:val="20"/>
        </w:rPr>
        <w:t xml:space="preserve">Fellowship Tier Badge: </w:t>
      </w:r>
      <w:r>
        <w:rPr>
          <w:rFonts w:ascii="Arial" w:hAnsi="Arial"/>
          <w:sz w:val="20"/>
        </w:rPr>
        <w:t xml:space="preserve">Displayed on citizen profile and leaderboard. Four tiers: Field Researcher, Senior Researcher, Expert Researcher, Fellow. Badge design uses PRISM beam aesthetic: more beams as tier increases.</w:t>
      </w:r>
    </w:p>
    <w:p>
      <w:pPr>
        <w:spacing w:after="80"/>
      </w:pPr>
      <w:r>
        <w:rPr>
          <w:rFonts w:ascii="Arial" w:hAnsi="Arial"/>
          <w:b/>
          <w:sz w:val="20"/>
        </w:rPr>
        <w:t xml:space="preserve">LinkedIn Credential Integration (Phase 1): </w:t>
      </w:r>
      <w:r>
        <w:rPr>
          <w:rFonts w:ascii="Arial" w:hAnsi="Arial"/>
          <w:sz w:val="20"/>
        </w:rPr>
        <w:t xml:space="preserve">Each fellowship tier is a verified digital credential issued through Credly (or equivalent platform). When a citizen reaches a new tier, they receive an automated credential they can add to their LinkedIn profile with one click. Shows as “PRISM [Tier Name], Audacion AI Labs” in Licenses and Certifications. This is a professional credential, not a game badge. It drives organic brand awareness (every LinkedIn viewer sees Audacion), professional credibility for the citizen, and recruitment (connections ask “what is that?” and click through to our site). Credential issuing organization: Audacion AI Labs. Credential template per tier. Automated issuance on tier threshold. One-click LinkedIn add. This is a Phase 1 feature. It is that important for growth.</w:t>
      </w:r>
    </w:p>
    <w:p>
      <w:pPr>
        <w:spacing w:after="80"/>
      </w:pPr>
      <w:r>
        <w:rPr>
          <w:rFonts w:ascii="Arial" w:hAnsi="Arial"/>
          <w:b/>
          <w:sz w:val="20"/>
        </w:rPr>
        <w:t xml:space="preserve">Light/Dark Toggle: </w:t>
      </w:r>
      <w:r>
        <w:rPr>
          <w:rFonts w:ascii="Arial" w:hAnsi="Arial"/>
          <w:sz w:val="20"/>
        </w:rPr>
        <w:t xml:space="preserve">Available in citizen tool settings. Default: light mode. Dark mode uses #1C1C1C background with same accent colors. User preference persisted in profile.</w:t>
      </w:r>
    </w:p>
    <w:p>
      <w:pPr>
        <w:pStyle w:val="Heading2"/>
        <w:spacing w:before="240" w:after="100"/>
      </w:pPr>
      <w:r>
        <w:rPr>
          <w:rFonts w:ascii="Arial" w:hAnsi="Arial"/>
          <w:b/>
          <w:sz w:val="26"/>
          <w:color w:val="2C3E50"/>
        </w:rPr>
        <w:t>9.5 Overall Aesthetic</w:t>
      </w:r>
    </w:p>
    <w:p>
      <w:pPr>
        <w:spacing w:after="120"/>
      </w:pPr>
      <w:r>
        <w:rPr>
          <w:rFonts w:ascii="Arial" w:hAnsi="Arial"/>
          <w:sz w:val="20"/>
        </w:rPr>
        <w:t xml:space="preserve">The brand is bold, independent, and scientific without being academic. Think: a research lab that a founder built, not a university department. The marketing pages should feel like walking into a modern gallery at night: dark, focused, with color used deliberately and sparingly. The citizen tool should feel like a well-designed SaaS product: clean, white space, intuitive, fast. The PRISM colors are the connective thread between both modes. They appear on pillar cards, observation borders, badge designs, and accent elements. They never dominate. They orient.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2026-05-20T16:03:34.363Z</dcterms:created>
  <dcterms:modified xsi:type="dcterms:W3CDTF">2026-05-20T16:03:34.379Z</dcterms:modified>
</cp:coreProperties>
</file>

<file path=docProps/custom.xml><?xml version="1.0" encoding="utf-8"?>
<Properties xmlns="http://schemas.openxmlformats.org/officeDocument/2006/custom-properties" xmlns:vt="http://schemas.openxmlformats.org/officeDocument/2006/docPropsVTypes"/>
</file>