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28"/>
          <w:szCs w:val="28"/>
        </w:rPr>
        <w:t xml:space="preserve">AUDACION AI LABS</w:t>
      </w:r>
    </w:p>
    <w:p>
      <w:pPr>
        <w:spacing w:after="100"/>
        <w:jc w:val="center"/>
      </w:pPr>
      <w:r>
        <w:rPr>
          <w:rFonts w:ascii="Arial" w:cs="Arial" w:eastAsia="Arial" w:hAnsi="Arial"/>
          <w:sz w:val="22"/>
          <w:szCs w:val="22"/>
        </w:rPr>
        <w:t xml:space="preserve">Job Posting Advertisement</w:t>
      </w:r>
    </w:p>
    <w:p>
      <w:pPr>
        <w:pBdr>
          <w:bottom w:val="single" w:color="999999" w:sz="1"/>
        </w:pBdr>
        <w:spacing w:after="200"/>
      </w:pPr>
    </w:p>
    <w:p>
      <w:pPr>
        <w:spacing w:after="100"/>
      </w:pPr>
      <w:r>
        <w:rPr>
          <w:rFonts w:ascii="Arial" w:cs="Arial" w:eastAsia="Arial" w:hAnsi="Arial"/>
          <w:b/>
          <w:bCs/>
          <w:sz w:val="26"/>
          <w:szCs w:val="26"/>
        </w:rPr>
        <w:t xml:space="preserve">Behavioral Health Adviser: Practitioner and Crisis Response</w:t>
      </w:r>
    </w:p>
    <w:p>
      <w:pPr>
        <w:spacing w:after="40"/>
      </w:pPr>
      <w:r>
        <w:rPr>
          <w:rFonts w:ascii="Arial" w:cs="Arial" w:eastAsia="Arial" w:hAnsi="Arial"/>
          <w:b/>
          <w:bCs/>
          <w:sz w:val="22"/>
          <w:szCs w:val="22"/>
        </w:rPr>
        <w:t xml:space="preserve">Location: </w:t>
      </w:r>
      <w:r>
        <w:rPr>
          <w:rFonts w:ascii="Arial" w:cs="Arial" w:eastAsia="Arial" w:hAnsi="Arial"/>
          <w:sz w:val="22"/>
          <w:szCs w:val="22"/>
        </w:rPr>
        <w:t xml:space="preserve">Los Angeles, CA (Marina del Rey)</w:t>
      </w:r>
    </w:p>
    <w:p>
      <w:pPr>
        <w:spacing w:after="40"/>
      </w:pPr>
      <w:r>
        <w:rPr>
          <w:rFonts w:ascii="Arial" w:cs="Arial" w:eastAsia="Arial" w:hAnsi="Arial"/>
          <w:b/>
          <w:bCs/>
          <w:sz w:val="22"/>
          <w:szCs w:val="22"/>
        </w:rPr>
        <w:t xml:space="preserve">Type: </w:t>
      </w:r>
      <w:r>
        <w:rPr>
          <w:rFonts w:ascii="Arial" w:cs="Arial" w:eastAsia="Arial" w:hAnsi="Arial"/>
          <w:sz w:val="22"/>
          <w:szCs w:val="22"/>
        </w:rPr>
        <w:t xml:space="preserve">Part-Time</w:t>
      </w:r>
    </w:p>
    <w:p>
      <w:pPr>
        <w:spacing w:after="40"/>
      </w:pPr>
      <w:r>
        <w:rPr>
          <w:rFonts w:ascii="Arial" w:cs="Arial" w:eastAsia="Arial" w:hAnsi="Arial"/>
          <w:b/>
          <w:bCs/>
          <w:sz w:val="22"/>
          <w:szCs w:val="22"/>
        </w:rPr>
        <w:t xml:space="preserve">Salary: </w:t>
      </w:r>
      <w:r>
        <w:rPr>
          <w:rFonts w:ascii="Arial" w:cs="Arial" w:eastAsia="Arial" w:hAnsi="Arial"/>
          <w:sz w:val="22"/>
          <w:szCs w:val="22"/>
        </w:rPr>
        <w:t xml:space="preserve">$55,000 to $80,000 (prorated to hours)</w:t>
      </w:r>
    </w:p>
    <w:p>
      <w:pPr>
        <w:spacing w:after="40"/>
      </w:pPr>
      <w:r>
        <w:rPr>
          <w:rFonts w:ascii="Arial" w:cs="Arial" w:eastAsia="Arial" w:hAnsi="Arial"/>
          <w:b/>
          <w:bCs/>
          <w:sz w:val="22"/>
          <w:szCs w:val="22"/>
        </w:rPr>
        <w:t xml:space="preserve">Department: </w:t>
      </w:r>
      <w:r>
        <w:rPr>
          <w:rFonts w:ascii="Arial" w:cs="Arial" w:eastAsia="Arial" w:hAnsi="Arial"/>
          <w:sz w:val="22"/>
          <w:szCs w:val="22"/>
        </w:rPr>
        <w:t xml:space="preserve">Research</w:t>
      </w:r>
    </w:p>
    <w:p>
      <w:pPr>
        <w:spacing w:after="40"/>
      </w:pPr>
      <w:r>
        <w:rPr>
          <w:rFonts w:ascii="Arial" w:cs="Arial" w:eastAsia="Arial" w:hAnsi="Arial"/>
          <w:b/>
          <w:bCs/>
          <w:sz w:val="22"/>
          <w:szCs w:val="22"/>
        </w:rPr>
        <w:t xml:space="preserve">Reports To: </w:t>
      </w:r>
      <w:r>
        <w:rPr>
          <w:rFonts w:ascii="Arial" w:cs="Arial" w:eastAsia="Arial" w:hAnsi="Arial"/>
          <w:sz w:val="22"/>
          <w:szCs w:val="22"/>
        </w:rPr>
        <w:t xml:space="preserve">Director of Research and Founder/CEO</w:t>
      </w:r>
    </w:p>
    <w:p>
      <w:pPr>
        <w:spacing w:after="200"/>
      </w:pPr>
    </w:p>
    <w:p>
      <w:pPr>
        <w:spacing w:after="100"/>
      </w:pPr>
      <w:r>
        <w:rPr>
          <w:rFonts w:ascii="Arial" w:cs="Arial" w:eastAsia="Arial" w:hAnsi="Arial"/>
          <w:b/>
          <w:bCs/>
          <w:sz w:val="24"/>
          <w:szCs w:val="24"/>
        </w:rPr>
        <w:t xml:space="preserve">About Audacion AI Labs</w:t>
      </w:r>
    </w:p>
    <w:p>
      <w:pPr>
        <w:spacing w:after="200"/>
      </w:pPr>
      <w:r>
        <w:rPr>
          <w:rFonts w:ascii="Arial" w:cs="Arial" w:eastAsia="Arial" w:hAnsi="Arial"/>
          <w:sz w:val="22"/>
          <w:szCs w:val="22"/>
        </w:rPr>
        <w:t xml:space="preserve">Audacion AI Labs is an independent AI safety research lab studying what happens to AI after deployment. We are building the world's first post-deployment AI safety dataset through a citizen science model targeting one million contributors. Our research covers five pillars: Post-Deployment Behavior, Runtime Research, Interaction Dynamics, Substrate Governance, and Multi-Agent Safety.</w:t>
      </w:r>
    </w:p>
    <w:p>
      <w:pPr>
        <w:spacing w:after="100"/>
      </w:pPr>
      <w:r>
        <w:rPr>
          <w:rFonts w:ascii="Arial" w:cs="Arial" w:eastAsia="Arial" w:hAnsi="Arial"/>
          <w:b/>
          <w:bCs/>
          <w:sz w:val="24"/>
          <w:szCs w:val="24"/>
        </w:rPr>
        <w:t xml:space="preserve">The Role</w:t>
      </w:r>
    </w:p>
    <w:p>
      <w:pPr>
        <w:spacing w:after="200"/>
      </w:pPr>
      <w:r>
        <w:rPr>
          <w:rFonts w:ascii="Arial" w:cs="Arial" w:eastAsia="Arial" w:hAnsi="Arial"/>
          <w:sz w:val="22"/>
          <w:szCs w:val="22"/>
        </w:rPr>
        <w:t xml:space="preserve">You have been on the floor in acute care behavioral health. You know what a crisis looks like in real time because you have been in the room. You also use AI every day in your clinical work: utilization reviews, documentation, helping physicians articulate medical necessity for reimbursement. You sit at the intersection of behavioral health and AI, and you have been watching how AI handles sensitive clinical information with an eye that most AI researchers will never have.</w:t>
      </w:r>
    </w:p>
    <w:p>
      <w:pPr>
        <w:spacing w:after="200"/>
      </w:pPr>
      <w:r>
        <w:rPr>
          <w:rFonts w:ascii="Arial" w:cs="Arial" w:eastAsia="Arial" w:hAnsi="Arial"/>
          <w:sz w:val="22"/>
          <w:szCs w:val="22"/>
        </w:rPr>
        <w:t xml:space="preserve">This lab is building a citizen science platform that will process behavioral observations from a million contributors. Some of those observations will surface harm. Someone needs to design the crisis response protocols for what happens when they do. That someone needs to understand acute behavioral crisis from the inside, not from a textbook. That someone also needs to understand how AI behaves in clinical settings because they work with it every day.</w:t>
      </w:r>
    </w:p>
    <w:p>
      <w:pPr>
        <w:spacing w:after="200"/>
      </w:pPr>
      <w:r>
        <w:rPr>
          <w:rFonts w:ascii="Arial" w:cs="Arial" w:eastAsia="Arial" w:hAnsi="Arial"/>
          <w:sz w:val="22"/>
          <w:szCs w:val="22"/>
        </w:rPr>
        <w:t xml:space="preserve">If you have been working in behavioral health and using AI and wondering if anyone else sees what you see, we do. And we need you in the room.</w:t>
      </w:r>
    </w:p>
    <w:p>
      <w:pPr>
        <w:spacing w:after="100"/>
      </w:pPr>
      <w:r>
        <w:rPr>
          <w:rFonts w:ascii="Arial" w:cs="Arial" w:eastAsia="Arial" w:hAnsi="Arial"/>
          <w:b/>
          <w:bCs/>
          <w:sz w:val="24"/>
          <w:szCs w:val="24"/>
        </w:rPr>
        <w:t xml:space="preserve">What You Will Do</w:t>
      </w:r>
    </w:p>
    <w:p>
      <w:pPr>
        <w:pStyle w:val="ListParagraph"/>
        <w:numPr>
          <w:ilvl w:val="0"/>
          <w:numId w:val="1"/>
        </w:numPr>
        <w:spacing w:after="80"/>
      </w:pPr>
      <w:r>
        <w:rPr>
          <w:rFonts w:ascii="Arial" w:cs="Arial" w:eastAsia="Arial" w:hAnsi="Arial"/>
          <w:sz w:val="22"/>
          <w:szCs w:val="22"/>
        </w:rPr>
        <w:t xml:space="preserve">Design crisis response protocols for the citizen science platform.</w:t>
      </w:r>
    </w:p>
    <w:p>
      <w:pPr>
        <w:pStyle w:val="ListParagraph"/>
        <w:numPr>
          <w:ilvl w:val="0"/>
          <w:numId w:val="1"/>
        </w:numPr>
        <w:spacing w:after="80"/>
      </w:pPr>
      <w:r>
        <w:rPr>
          <w:rFonts w:ascii="Arial" w:cs="Arial" w:eastAsia="Arial" w:hAnsi="Arial"/>
          <w:sz w:val="22"/>
          <w:szCs w:val="22"/>
        </w:rPr>
        <w:t xml:space="preserve">Bring acute care experience to platform safety decisions.</w:t>
      </w:r>
    </w:p>
    <w:p>
      <w:pPr>
        <w:pStyle w:val="ListParagraph"/>
        <w:numPr>
          <w:ilvl w:val="0"/>
          <w:numId w:val="1"/>
        </w:numPr>
        <w:spacing w:after="80"/>
      </w:pPr>
      <w:r>
        <w:rPr>
          <w:rFonts w:ascii="Arial" w:cs="Arial" w:eastAsia="Arial" w:hAnsi="Arial"/>
          <w:sz w:val="22"/>
          <w:szCs w:val="22"/>
        </w:rPr>
        <w:t xml:space="preserve">Contribute practitioner observations to the Interaction Dynamics research pillar.</w:t>
      </w:r>
    </w:p>
    <w:p>
      <w:pPr>
        <w:pStyle w:val="ListParagraph"/>
        <w:numPr>
          <w:ilvl w:val="0"/>
          <w:numId w:val="1"/>
        </w:numPr>
        <w:spacing w:after="80"/>
      </w:pPr>
      <w:r>
        <w:rPr>
          <w:rFonts w:ascii="Arial" w:cs="Arial" w:eastAsia="Arial" w:hAnsi="Arial"/>
          <w:sz w:val="22"/>
          <w:szCs w:val="22"/>
        </w:rPr>
        <w:t xml:space="preserve">Advise on how AI handles clinical language, where it gets it right and where it misses.</w:t>
      </w:r>
    </w:p>
    <w:p>
      <w:pPr>
        <w:pStyle w:val="ListParagraph"/>
        <w:numPr>
          <w:ilvl w:val="0"/>
          <w:numId w:val="1"/>
        </w:numPr>
        <w:spacing w:after="80"/>
      </w:pPr>
      <w:r>
        <w:rPr>
          <w:rFonts w:ascii="Arial" w:cs="Arial" w:eastAsia="Arial" w:hAnsi="Arial"/>
          <w:sz w:val="22"/>
          <w:szCs w:val="22"/>
        </w:rPr>
        <w:t xml:space="preserve">Review contributor-facing language and support resources for clinical appropriateness.</w:t>
      </w:r>
    </w:p>
    <w:p>
      <w:pPr>
        <w:pStyle w:val="ListParagraph"/>
        <w:numPr>
          <w:ilvl w:val="0"/>
          <w:numId w:val="1"/>
        </w:numPr>
        <w:spacing w:after="80"/>
      </w:pPr>
      <w:r>
        <w:rPr>
          <w:rFonts w:ascii="Arial" w:cs="Arial" w:eastAsia="Arial" w:hAnsi="Arial"/>
          <w:sz w:val="22"/>
          <w:szCs w:val="22"/>
        </w:rPr>
        <w:t xml:space="preserve">Collaborate with the Clinical Research Behavioral Health Adviser and the IRB Officer.</w:t>
      </w:r>
    </w:p>
    <w:p>
      <w:pPr>
        <w:spacing w:after="100"/>
      </w:pPr>
    </w:p>
    <w:p>
      <w:pPr>
        <w:spacing w:after="100"/>
      </w:pPr>
      <w:r>
        <w:rPr>
          <w:rFonts w:ascii="Arial" w:cs="Arial" w:eastAsia="Arial" w:hAnsi="Arial"/>
          <w:b/>
          <w:bCs/>
          <w:sz w:val="24"/>
          <w:szCs w:val="24"/>
        </w:rPr>
        <w:t xml:space="preserve">What We Need</w:t>
      </w:r>
    </w:p>
    <w:p>
      <w:pPr>
        <w:pStyle w:val="ListParagraph"/>
        <w:numPr>
          <w:ilvl w:val="0"/>
          <w:numId w:val="1"/>
        </w:numPr>
        <w:spacing w:after="80"/>
      </w:pPr>
      <w:r>
        <w:rPr>
          <w:rFonts w:ascii="Arial" w:cs="Arial" w:eastAsia="Arial" w:hAnsi="Arial"/>
          <w:sz w:val="22"/>
          <w:szCs w:val="22"/>
        </w:rPr>
        <w:t xml:space="preserve">LPN, LVN, or equivalent clinical credential in behavioral health.</w:t>
      </w:r>
    </w:p>
    <w:p>
      <w:pPr>
        <w:pStyle w:val="ListParagraph"/>
        <w:numPr>
          <w:ilvl w:val="0"/>
          <w:numId w:val="1"/>
        </w:numPr>
        <w:spacing w:after="80"/>
      </w:pPr>
      <w:r>
        <w:rPr>
          <w:rFonts w:ascii="Arial" w:cs="Arial" w:eastAsia="Arial" w:hAnsi="Arial"/>
          <w:sz w:val="22"/>
          <w:szCs w:val="22"/>
        </w:rPr>
        <w:t xml:space="preserve">2+ years in acute care behavioral health (inpatient psychiatric, crisis stabilization, or similar).</w:t>
      </w:r>
    </w:p>
    <w:p>
      <w:pPr>
        <w:pStyle w:val="ListParagraph"/>
        <w:numPr>
          <w:ilvl w:val="0"/>
          <w:numId w:val="1"/>
        </w:numPr>
        <w:spacing w:after="80"/>
      </w:pPr>
      <w:r>
        <w:rPr>
          <w:rFonts w:ascii="Arial" w:cs="Arial" w:eastAsia="Arial" w:hAnsi="Arial"/>
          <w:sz w:val="22"/>
          <w:szCs w:val="22"/>
        </w:rPr>
        <w:t xml:space="preserve">Direct experience with patients in acute crisis, including involuntary holds.</w:t>
      </w:r>
    </w:p>
    <w:p>
      <w:pPr>
        <w:pStyle w:val="ListParagraph"/>
        <w:numPr>
          <w:ilvl w:val="0"/>
          <w:numId w:val="1"/>
        </w:numPr>
        <w:spacing w:after="80"/>
      </w:pPr>
      <w:r>
        <w:rPr>
          <w:rFonts w:ascii="Arial" w:cs="Arial" w:eastAsia="Arial" w:hAnsi="Arial"/>
          <w:sz w:val="22"/>
          <w:szCs w:val="22"/>
        </w:rPr>
        <w:t xml:space="preserve">Current, active use of AI tools in your clinical or professional work.</w:t>
      </w:r>
    </w:p>
    <w:p>
      <w:pPr>
        <w:pStyle w:val="ListParagraph"/>
        <w:numPr>
          <w:ilvl w:val="0"/>
          <w:numId w:val="1"/>
        </w:numPr>
        <w:spacing w:after="80"/>
      </w:pPr>
      <w:r>
        <w:rPr>
          <w:rFonts w:ascii="Arial" w:cs="Arial" w:eastAsia="Arial" w:hAnsi="Arial"/>
          <w:sz w:val="22"/>
          <w:szCs w:val="22"/>
        </w:rPr>
        <w:t xml:space="preserve">Experience with utilization review, medical necessity documentation, or insurance authorization.</w:t>
      </w:r>
    </w:p>
    <w:p>
      <w:pPr>
        <w:pStyle w:val="ListParagraph"/>
        <w:numPr>
          <w:ilvl w:val="0"/>
          <w:numId w:val="1"/>
        </w:numPr>
        <w:spacing w:after="80"/>
      </w:pPr>
      <w:r>
        <w:rPr>
          <w:rFonts w:ascii="Arial" w:cs="Arial" w:eastAsia="Arial" w:hAnsi="Arial"/>
          <w:sz w:val="22"/>
          <w:szCs w:val="22"/>
        </w:rPr>
        <w:t xml:space="preserve">Strong communicator who can translate clinical experience for a non-clinical team.</w:t>
      </w:r>
    </w:p>
    <w:p>
      <w:pPr>
        <w:spacing w:after="100"/>
      </w:pPr>
    </w:p>
    <w:p>
      <w:pPr>
        <w:spacing w:after="100"/>
      </w:pPr>
      <w:r>
        <w:rPr>
          <w:rFonts w:ascii="Arial" w:cs="Arial" w:eastAsia="Arial" w:hAnsi="Arial"/>
          <w:b/>
          <w:bCs/>
          <w:sz w:val="24"/>
          <w:szCs w:val="24"/>
        </w:rPr>
        <w:t xml:space="preserve">Compensation</w:t>
      </w:r>
    </w:p>
    <w:p>
      <w:pPr>
        <w:spacing w:after="80"/>
      </w:pPr>
      <w:r>
        <w:rPr>
          <w:rFonts w:ascii="Arial" w:cs="Arial" w:eastAsia="Arial" w:hAnsi="Arial"/>
          <w:sz w:val="22"/>
          <w:szCs w:val="22"/>
        </w:rPr>
        <w:t xml:space="preserve">$55,000 to $80,000 annually (prorated to hours). Health, dental, vision, 401(k), PTO, professional development budget.</w:t>
      </w:r>
    </w:p>
    <w:p>
      <w:pPr>
        <w:spacing w:after="200"/>
      </w:pPr>
    </w:p>
    <w:p>
      <w:pPr>
        <w:spacing w:after="100"/>
      </w:pPr>
      <w:r>
        <w:rPr>
          <w:rFonts w:ascii="Arial" w:cs="Arial" w:eastAsia="Arial" w:hAnsi="Arial"/>
          <w:b/>
          <w:bCs/>
          <w:sz w:val="24"/>
          <w:szCs w:val="24"/>
        </w:rPr>
        <w:t xml:space="preserve">How to Apply</w:t>
      </w:r>
    </w:p>
    <w:p>
      <w:pPr>
        <w:spacing w:after="200"/>
      </w:pPr>
      <w:r>
        <w:rPr>
          <w:rFonts w:ascii="Arial" w:cs="Arial" w:eastAsia="Arial" w:hAnsi="Arial"/>
          <w:sz w:val="22"/>
          <w:szCs w:val="22"/>
        </w:rPr>
        <w:t xml:space="preserve">Send your resume and a cover letter to careers@audacionailabs.com with the subject line "BHA Practitioner Application." Tell us about your acute care experience and how you use AI in your clinical work.</w:t>
      </w:r>
    </w:p>
    <w:p>
      <w:pPr>
        <w:pBdr>
          <w:top w:val="single" w:color="999999" w:sz="1"/>
        </w:pBdr>
        <w:spacing w:after="200"/>
      </w:pPr>
    </w:p>
    <w:p>
      <w:pPr>
        <w:spacing w:after="100"/>
      </w:pPr>
      <w:r>
        <w:rPr>
          <w:rFonts w:ascii="Arial" w:cs="Arial" w:eastAsia="Arial" w:hAnsi="Arial"/>
          <w:i/>
          <w:iCs/>
          <w:sz w:val="20"/>
          <w:szCs w:val="20"/>
        </w:rPr>
        <w:t xml:space="preserve">This position is contingent upon securing grant or partnership funding. Volunteer or advisory contributions welcome while funding is secured. Audacion AI Labs is an equal opportunity employer.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2026-05-20T12:11:56.632Z</dcterms:created>
  <dcterms:modified xsi:type="dcterms:W3CDTF">2026-05-20T12:11:56.632Z</dcterms:modified>
</cp:coreProperties>
</file>

<file path=docProps/custom.xml><?xml version="1.0" encoding="utf-8"?>
<Properties xmlns="http://schemas.openxmlformats.org/officeDocument/2006/custom-properties" xmlns:vt="http://schemas.openxmlformats.org/officeDocument/2006/docPropsVTypes"/>
</file>