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200"/>
        <w:jc w:val="center"/>
      </w:pPr>
      <w:r>
        <w:rPr>
          <w:rFonts w:ascii="Arial" w:cs="Arial" w:eastAsia="Arial" w:hAnsi="Arial"/>
          <w:sz w:val="22"/>
          <w:szCs w:val="22"/>
        </w:rPr>
        <w:t xml:space="preserve">Job Description</w:t>
      </w:r>
    </w:p>
    <w:p>
      <w:pPr>
        <w:pBdr>
          <w:bottom w:val="single" w:color="999999" w:sz="1"/>
        </w:pBdr>
        <w:spacing w:after="200"/>
      </w:pPr>
    </w:p>
    <w:p>
      <w:pPr>
        <w:spacing w:after="60"/>
      </w:pPr>
      <w:r>
        <w:rPr>
          <w:rFonts w:ascii="Arial" w:cs="Arial" w:eastAsia="Arial" w:hAnsi="Arial"/>
          <w:b/>
          <w:bCs/>
          <w:sz w:val="22"/>
          <w:szCs w:val="22"/>
        </w:rPr>
        <w:t xml:space="preserve">Position</w:t>
      </w:r>
      <w:r>
        <w:rPr>
          <w:rFonts w:ascii="Arial" w:cs="Arial" w:eastAsia="Arial" w:hAnsi="Arial"/>
          <w:sz w:val="22"/>
          <w:szCs w:val="22"/>
        </w:rPr>
        <w:t xml:space="preserve">	Behavioral Health Adviser: Practitioner and Crisis Response</w:t>
      </w:r>
    </w:p>
    <w:p>
      <w:pPr>
        <w:spacing w:after="60"/>
      </w:pPr>
      <w:r>
        <w:rPr>
          <w:rFonts w:ascii="Arial" w:cs="Arial" w:eastAsia="Arial" w:hAnsi="Arial"/>
          <w:b/>
          <w:bCs/>
          <w:sz w:val="22"/>
          <w:szCs w:val="22"/>
        </w:rPr>
        <w:t xml:space="preserve">Department</w:t>
      </w:r>
      <w:r>
        <w:rPr>
          <w:rFonts w:ascii="Arial" w:cs="Arial" w:eastAsia="Arial" w:hAnsi="Arial"/>
          <w:sz w:val="22"/>
          <w:szCs w:val="22"/>
        </w:rPr>
        <w:t xml:space="preserve">	Research</w:t>
      </w:r>
    </w:p>
    <w:p>
      <w:pPr>
        <w:spacing w:after="60"/>
      </w:pPr>
      <w:r>
        <w:rPr>
          <w:rFonts w:ascii="Arial" w:cs="Arial" w:eastAsia="Arial" w:hAnsi="Arial"/>
          <w:b/>
          <w:bCs/>
          <w:sz w:val="22"/>
          <w:szCs w:val="22"/>
        </w:rPr>
        <w:t xml:space="preserve">Reports To</w:t>
      </w:r>
      <w:r>
        <w:rPr>
          <w:rFonts w:ascii="Arial" w:cs="Arial" w:eastAsia="Arial" w:hAnsi="Arial"/>
          <w:sz w:val="22"/>
          <w:szCs w:val="22"/>
        </w:rPr>
        <w:t xml:space="preserve">	Director of Research and Founder/CEO</w:t>
      </w:r>
    </w:p>
    <w:p>
      <w:pPr>
        <w:spacing w:after="60"/>
      </w:pPr>
      <w:r>
        <w:rPr>
          <w:rFonts w:ascii="Arial" w:cs="Arial" w:eastAsia="Arial" w:hAnsi="Arial"/>
          <w:b/>
          <w:bCs/>
          <w:sz w:val="22"/>
          <w:szCs w:val="22"/>
        </w:rPr>
        <w:t xml:space="preserve">Location</w:t>
      </w:r>
      <w:r>
        <w:rPr>
          <w:rFonts w:ascii="Arial" w:cs="Arial" w:eastAsia="Arial" w:hAnsi="Arial"/>
          <w:sz w:val="22"/>
          <w:szCs w:val="22"/>
        </w:rPr>
        <w:t xml:space="preserve">	Los Angeles, CA (Marina del Rey)</w:t>
      </w:r>
    </w:p>
    <w:p>
      <w:pPr>
        <w:spacing w:after="60"/>
      </w:pPr>
      <w:r>
        <w:rPr>
          <w:rFonts w:ascii="Arial" w:cs="Arial" w:eastAsia="Arial" w:hAnsi="Arial"/>
          <w:b/>
          <w:bCs/>
          <w:sz w:val="22"/>
          <w:szCs w:val="22"/>
        </w:rPr>
        <w:t xml:space="preserve">Employment Type</w:t>
      </w:r>
      <w:r>
        <w:rPr>
          <w:rFonts w:ascii="Arial" w:cs="Arial" w:eastAsia="Arial" w:hAnsi="Arial"/>
          <w:sz w:val="22"/>
          <w:szCs w:val="22"/>
        </w:rPr>
        <w:t xml:space="preserve">	Part-Time</w:t>
      </w:r>
    </w:p>
    <w:p>
      <w:pPr>
        <w:spacing w:after="60"/>
      </w:pPr>
      <w:r>
        <w:rPr>
          <w:rFonts w:ascii="Arial" w:cs="Arial" w:eastAsia="Arial" w:hAnsi="Arial"/>
          <w:b/>
          <w:bCs/>
          <w:sz w:val="22"/>
          <w:szCs w:val="22"/>
        </w:rPr>
        <w:t xml:space="preserve">Salary Range</w:t>
      </w:r>
      <w:r>
        <w:rPr>
          <w:rFonts w:ascii="Arial" w:cs="Arial" w:eastAsia="Arial" w:hAnsi="Arial"/>
          <w:sz w:val="22"/>
          <w:szCs w:val="22"/>
        </w:rPr>
        <w:t xml:space="preserve">	$55,000 to $80,000 (prorated to hours)</w:t>
      </w:r>
    </w:p>
    <w:p>
      <w:pPr>
        <w:spacing w:after="60"/>
      </w:pPr>
      <w:r>
        <w:rPr>
          <w:rFonts w:ascii="Arial" w:cs="Arial" w:eastAsia="Arial" w:hAnsi="Arial"/>
          <w:b/>
          <w:bCs/>
          <w:sz w:val="22"/>
          <w:szCs w:val="22"/>
        </w:rPr>
        <w:t xml:space="preserve">Hiring Phase</w:t>
      </w:r>
      <w:r>
        <w:rPr>
          <w:rFonts w:ascii="Arial" w:cs="Arial" w:eastAsia="Arial" w:hAnsi="Arial"/>
          <w:sz w:val="22"/>
          <w:szCs w:val="22"/>
        </w:rPr>
        <w:t xml:space="preserve">	Year 1</w:t>
      </w:r>
    </w:p>
    <w:p>
      <w:pPr>
        <w:spacing w:after="60"/>
      </w:pPr>
      <w:r>
        <w:rPr>
          <w:rFonts w:ascii="Arial" w:cs="Arial" w:eastAsia="Arial" w:hAnsi="Arial"/>
          <w:b/>
          <w:bCs/>
          <w:sz w:val="22"/>
          <w:szCs w:val="22"/>
        </w:rPr>
        <w:t xml:space="preserve">Status</w:t>
      </w:r>
      <w:r>
        <w:rPr>
          <w:rFonts w:ascii="Arial" w:cs="Arial" w:eastAsia="Arial" w:hAnsi="Arial"/>
          <w:sz w:val="22"/>
          <w:szCs w:val="22"/>
        </w:rPr>
        <w:t xml:space="preserve">	Contingent upon funding (see disclaimer below)</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alignment, behavioral integrity, and governance architecture in post-deployment conditions. Less than 2% of AI safety research studies AI after deployment. We study in the space the other 98% leaves empty: real work, real context, real human collaboration, over time.</w:t>
      </w:r>
    </w:p>
    <w:p>
      <w:pPr>
        <w:spacing w:after="200"/>
      </w:pPr>
      <w:r>
        <w:rPr>
          <w:rFonts w:ascii="Arial" w:cs="Arial" w:eastAsia="Arial" w:hAnsi="Arial"/>
          <w:sz w:val="22"/>
          <w:szCs w:val="22"/>
        </w:rPr>
        <w:t xml:space="preserve">Our research is organized across five pillars through the PRISM framework: Post-Deployment Behavior, Runtime Research, Interaction Dynamics, Substrate Governance, and Multi-Agent Safety. We are building the world's first post-deployment AI safety dataset through a citizen science model targeting one million contributors and one billion observations over ten years.</w:t>
      </w:r>
    </w:p>
    <w:p>
      <w:pPr>
        <w:spacing w:after="100"/>
      </w:pPr>
      <w:r>
        <w:rPr>
          <w:rFonts w:ascii="Arial" w:cs="Arial" w:eastAsia="Arial" w:hAnsi="Arial"/>
          <w:b/>
          <w:bCs/>
          <w:sz w:val="24"/>
          <w:szCs w:val="24"/>
        </w:rPr>
        <w:t xml:space="preserve">Position Summary</w:t>
      </w:r>
    </w:p>
    <w:p>
      <w:pPr>
        <w:spacing w:after="200"/>
      </w:pPr>
      <w:r>
        <w:rPr>
          <w:rFonts w:ascii="Arial" w:cs="Arial" w:eastAsia="Arial" w:hAnsi="Arial"/>
          <w:sz w:val="22"/>
          <w:szCs w:val="22"/>
        </w:rPr>
        <w:t xml:space="preserve">The Behavioral Health Adviser: Practitioner and Crisis Response brings direct acute care behavioral health experience and daily AI practitioner knowledge to two critical functions: designing the citizen science platform's crisis response protocols and contributing practitioner observations to the Interaction Dynamics pillar.</w:t>
      </w:r>
    </w:p>
    <w:p>
      <w:pPr>
        <w:spacing w:after="200"/>
      </w:pPr>
      <w:r>
        <w:rPr>
          <w:rFonts w:ascii="Arial" w:cs="Arial" w:eastAsia="Arial" w:hAnsi="Arial"/>
          <w:sz w:val="22"/>
          <w:szCs w:val="22"/>
        </w:rPr>
        <w:t xml:space="preserve">This role exists because the person who has been on the floor during a behavioral health crisis brings a perspective that clinical research alone cannot replicate. You have worked with patients in acute settings. You have also been using AI in your clinical workflow for utilization review, documentation, and medical necessity articulation. That combination of acute care experience and AI practitioner knowledge is extremely rare and it is exactly what this lab needs to build responsible safety protocols for a platform that will serve a million contributors.</w:t>
      </w:r>
    </w:p>
    <w:p>
      <w:pPr>
        <w:spacing w:after="100"/>
      </w:pPr>
      <w:r>
        <w:rPr>
          <w:rFonts w:ascii="Arial" w:cs="Arial" w:eastAsia="Arial" w:hAnsi="Arial"/>
          <w:b/>
          <w:bCs/>
          <w:sz w:val="24"/>
          <w:szCs w:val="24"/>
        </w:rPr>
        <w:t xml:space="preserve">Crisis Response Protocol Design</w:t>
      </w:r>
    </w:p>
    <w:p>
      <w:pPr>
        <w:pStyle w:val="ListParagraph"/>
        <w:numPr>
          <w:ilvl w:val="0"/>
          <w:numId w:val="1"/>
        </w:numPr>
        <w:spacing w:after="80"/>
      </w:pPr>
      <w:r>
        <w:rPr>
          <w:rFonts w:ascii="Arial" w:cs="Arial" w:eastAsia="Arial" w:hAnsi="Arial"/>
          <w:sz w:val="22"/>
          <w:szCs w:val="22"/>
        </w:rPr>
        <w:t xml:space="preserve">Design crisis response protocols for the citizen science platform when contributor observations reveal potential harm, including self-harm, AI-encouraged harmful behavior, or acute distress.</w:t>
      </w:r>
    </w:p>
    <w:p>
      <w:pPr>
        <w:pStyle w:val="ListParagraph"/>
        <w:numPr>
          <w:ilvl w:val="0"/>
          <w:numId w:val="1"/>
        </w:numPr>
        <w:spacing w:after="80"/>
      </w:pPr>
      <w:r>
        <w:rPr>
          <w:rFonts w:ascii="Arial" w:cs="Arial" w:eastAsia="Arial" w:hAnsi="Arial"/>
          <w:sz w:val="22"/>
          <w:szCs w:val="22"/>
        </w:rPr>
        <w:t xml:space="preserve">Bring acute care behavioral health perspective to protocol design, informed by direct experience with patients in crisis (including 5150 holds and similar acute care settings).</w:t>
      </w:r>
    </w:p>
    <w:p>
      <w:pPr>
        <w:pStyle w:val="ListParagraph"/>
        <w:numPr>
          <w:ilvl w:val="0"/>
          <w:numId w:val="1"/>
        </w:numPr>
        <w:spacing w:after="80"/>
      </w:pPr>
      <w:r>
        <w:rPr>
          <w:rFonts w:ascii="Arial" w:cs="Arial" w:eastAsia="Arial" w:hAnsi="Arial"/>
          <w:sz w:val="22"/>
          <w:szCs w:val="22"/>
        </w:rPr>
        <w:t xml:space="preserve">Advise on escalation procedures, triage criteria, and response workflows for platform moderators and community staff.</w:t>
      </w:r>
    </w:p>
    <w:p>
      <w:pPr>
        <w:pStyle w:val="ListParagraph"/>
        <w:numPr>
          <w:ilvl w:val="0"/>
          <w:numId w:val="1"/>
        </w:numPr>
        <w:spacing w:after="80"/>
      </w:pPr>
      <w:r>
        <w:rPr>
          <w:rFonts w:ascii="Arial" w:cs="Arial" w:eastAsia="Arial" w:hAnsi="Arial"/>
          <w:sz w:val="22"/>
          <w:szCs w:val="22"/>
        </w:rPr>
        <w:t xml:space="preserve">Collaborate with the Clinical Research Behavioral Health Adviser and the IRB/Research Ethics Officer on the ethical handling of sensitive contributor data.</w:t>
      </w:r>
    </w:p>
    <w:p>
      <w:pPr>
        <w:pStyle w:val="ListParagraph"/>
        <w:numPr>
          <w:ilvl w:val="0"/>
          <w:numId w:val="1"/>
        </w:numPr>
        <w:spacing w:after="80"/>
      </w:pPr>
      <w:r>
        <w:rPr>
          <w:rFonts w:ascii="Arial" w:cs="Arial" w:eastAsia="Arial" w:hAnsi="Arial"/>
          <w:sz w:val="22"/>
          <w:szCs w:val="22"/>
        </w:rPr>
        <w:t xml:space="preserve">Review and update crisis protocols as the platform scales from early contributors to one million users.</w:t>
      </w:r>
    </w:p>
    <w:p>
      <w:pPr>
        <w:spacing w:after="100"/>
      </w:pPr>
    </w:p>
    <w:p>
      <w:pPr>
        <w:spacing w:after="100"/>
      </w:pPr>
      <w:r>
        <w:rPr>
          <w:rFonts w:ascii="Arial" w:cs="Arial" w:eastAsia="Arial" w:hAnsi="Arial"/>
          <w:b/>
          <w:bCs/>
          <w:sz w:val="24"/>
          <w:szCs w:val="24"/>
        </w:rPr>
        <w:t xml:space="preserve">Interaction Dynamics Research Contribution</w:t>
      </w:r>
    </w:p>
    <w:p>
      <w:pPr>
        <w:pStyle w:val="ListParagraph"/>
        <w:numPr>
          <w:ilvl w:val="0"/>
          <w:numId w:val="1"/>
        </w:numPr>
        <w:spacing w:after="80"/>
      </w:pPr>
      <w:r>
        <w:rPr>
          <w:rFonts w:ascii="Arial" w:cs="Arial" w:eastAsia="Arial" w:hAnsi="Arial"/>
          <w:sz w:val="22"/>
          <w:szCs w:val="22"/>
        </w:rPr>
        <w:t xml:space="preserve">Contribute practitioner observations to the Interaction Dynamics pillar based on your direct experience using AI in clinical behavioral health settings.</w:t>
      </w:r>
    </w:p>
    <w:p>
      <w:pPr>
        <w:pStyle w:val="ListParagraph"/>
        <w:numPr>
          <w:ilvl w:val="0"/>
          <w:numId w:val="1"/>
        </w:numPr>
        <w:spacing w:after="80"/>
      </w:pPr>
      <w:r>
        <w:rPr>
          <w:rFonts w:ascii="Arial" w:cs="Arial" w:eastAsia="Arial" w:hAnsi="Arial"/>
          <w:sz w:val="22"/>
          <w:szCs w:val="22"/>
        </w:rPr>
        <w:t xml:space="preserve">Provide perspective on how AI interprets, represents, and sometimes misrepresents clinical language in utilization review and medical documentation contexts.</w:t>
      </w:r>
    </w:p>
    <w:p>
      <w:pPr>
        <w:pStyle w:val="ListParagraph"/>
        <w:numPr>
          <w:ilvl w:val="0"/>
          <w:numId w:val="1"/>
        </w:numPr>
        <w:spacing w:after="80"/>
      </w:pPr>
      <w:r>
        <w:rPr>
          <w:rFonts w:ascii="Arial" w:cs="Arial" w:eastAsia="Arial" w:hAnsi="Arial"/>
          <w:sz w:val="22"/>
          <w:szCs w:val="22"/>
        </w:rPr>
        <w:t xml:space="preserve">Advise on research questions related to AI interaction in high-stakes clinical environments where accuracy directly affects patient outcomes and facility reimbursement.</w:t>
      </w:r>
    </w:p>
    <w:p>
      <w:pPr>
        <w:pStyle w:val="ListParagraph"/>
        <w:numPr>
          <w:ilvl w:val="0"/>
          <w:numId w:val="1"/>
        </w:numPr>
        <w:spacing w:after="80"/>
      </w:pPr>
      <w:r>
        <w:rPr>
          <w:rFonts w:ascii="Arial" w:cs="Arial" w:eastAsia="Arial" w:hAnsi="Arial"/>
          <w:sz w:val="22"/>
          <w:szCs w:val="22"/>
        </w:rPr>
        <w:t xml:space="preserve">Participate in research team discussions bringing the practitioner lens that complements the clinical research perspective.</w:t>
      </w:r>
    </w:p>
    <w:p>
      <w:pPr>
        <w:spacing w:after="100"/>
      </w:pPr>
    </w:p>
    <w:p>
      <w:pPr>
        <w:spacing w:after="100"/>
      </w:pPr>
      <w:r>
        <w:rPr>
          <w:rFonts w:ascii="Arial" w:cs="Arial" w:eastAsia="Arial" w:hAnsi="Arial"/>
          <w:b/>
          <w:bCs/>
          <w:sz w:val="24"/>
          <w:szCs w:val="24"/>
        </w:rPr>
        <w:t xml:space="preserve">Platform Safety Advisory</w:t>
      </w:r>
    </w:p>
    <w:p>
      <w:pPr>
        <w:pStyle w:val="ListParagraph"/>
        <w:numPr>
          <w:ilvl w:val="0"/>
          <w:numId w:val="1"/>
        </w:numPr>
        <w:spacing w:after="80"/>
      </w:pPr>
      <w:r>
        <w:rPr>
          <w:rFonts w:ascii="Arial" w:cs="Arial" w:eastAsia="Arial" w:hAnsi="Arial"/>
          <w:sz w:val="22"/>
          <w:szCs w:val="22"/>
        </w:rPr>
        <w:t xml:space="preserve">Advise the technology team on platform design decisions that affect contributor safety and wellbeing.</w:t>
      </w:r>
    </w:p>
    <w:p>
      <w:pPr>
        <w:pStyle w:val="ListParagraph"/>
        <w:numPr>
          <w:ilvl w:val="0"/>
          <w:numId w:val="1"/>
        </w:numPr>
        <w:spacing w:after="80"/>
      </w:pPr>
      <w:r>
        <w:rPr>
          <w:rFonts w:ascii="Arial" w:cs="Arial" w:eastAsia="Arial" w:hAnsi="Arial"/>
          <w:sz w:val="22"/>
          <w:szCs w:val="22"/>
        </w:rPr>
        <w:t xml:space="preserve">Review contributor-facing language, notifications, and support resources for clinical appropriateness.</w:t>
      </w:r>
    </w:p>
    <w:p>
      <w:pPr>
        <w:pStyle w:val="ListParagraph"/>
        <w:numPr>
          <w:ilvl w:val="0"/>
          <w:numId w:val="1"/>
        </w:numPr>
        <w:spacing w:after="80"/>
      </w:pPr>
      <w:r>
        <w:rPr>
          <w:rFonts w:ascii="Arial" w:cs="Arial" w:eastAsia="Arial" w:hAnsi="Arial"/>
          <w:sz w:val="22"/>
          <w:szCs w:val="22"/>
        </w:rPr>
        <w:t xml:space="preserve">Support the development of training materials for community staff on recognizing and responding to contributor distress signals.</w:t>
      </w:r>
    </w:p>
    <w:p>
      <w:pPr>
        <w:spacing w:after="100"/>
      </w:pPr>
    </w:p>
    <w:p>
      <w:pPr>
        <w:spacing w:after="100"/>
      </w:pPr>
      <w:r>
        <w:rPr>
          <w:rFonts w:ascii="Arial" w:cs="Arial" w:eastAsia="Arial" w:hAnsi="Arial"/>
          <w:b/>
          <w:bCs/>
          <w:sz w:val="24"/>
          <w:szCs w:val="24"/>
        </w:rPr>
        <w:t xml:space="preserve">Required Qualifications</w:t>
      </w:r>
    </w:p>
    <w:p>
      <w:pPr>
        <w:pStyle w:val="ListParagraph"/>
        <w:numPr>
          <w:ilvl w:val="0"/>
          <w:numId w:val="1"/>
        </w:numPr>
        <w:spacing w:after="80"/>
      </w:pPr>
      <w:r>
        <w:rPr>
          <w:rFonts w:ascii="Arial" w:cs="Arial" w:eastAsia="Arial" w:hAnsi="Arial"/>
          <w:sz w:val="22"/>
          <w:szCs w:val="22"/>
        </w:rPr>
        <w:t xml:space="preserve">Licensed Practical Nurse (LPN), Licensed Vocational Nurse (LVN), or equivalent clinical credential in behavioral health.</w:t>
      </w:r>
    </w:p>
    <w:p>
      <w:pPr>
        <w:pStyle w:val="ListParagraph"/>
        <w:numPr>
          <w:ilvl w:val="0"/>
          <w:numId w:val="1"/>
        </w:numPr>
        <w:spacing w:after="80"/>
      </w:pPr>
      <w:r>
        <w:rPr>
          <w:rFonts w:ascii="Arial" w:cs="Arial" w:eastAsia="Arial" w:hAnsi="Arial"/>
          <w:sz w:val="22"/>
          <w:szCs w:val="22"/>
        </w:rPr>
        <w:t xml:space="preserve">2+ years of direct experience in acute care behavioral health settings (inpatient psychiatric, crisis stabilization, or similar).</w:t>
      </w:r>
    </w:p>
    <w:p>
      <w:pPr>
        <w:pStyle w:val="ListParagraph"/>
        <w:numPr>
          <w:ilvl w:val="0"/>
          <w:numId w:val="1"/>
        </w:numPr>
        <w:spacing w:after="80"/>
      </w:pPr>
      <w:r>
        <w:rPr>
          <w:rFonts w:ascii="Arial" w:cs="Arial" w:eastAsia="Arial" w:hAnsi="Arial"/>
          <w:sz w:val="22"/>
          <w:szCs w:val="22"/>
        </w:rPr>
        <w:t xml:space="preserve">Direct experience with patients in acute behavioral health crisis, including involuntary holds (5150 or equivalent).</w:t>
      </w:r>
    </w:p>
    <w:p>
      <w:pPr>
        <w:pStyle w:val="ListParagraph"/>
        <w:numPr>
          <w:ilvl w:val="0"/>
          <w:numId w:val="1"/>
        </w:numPr>
        <w:spacing w:after="80"/>
      </w:pPr>
      <w:r>
        <w:rPr>
          <w:rFonts w:ascii="Arial" w:cs="Arial" w:eastAsia="Arial" w:hAnsi="Arial"/>
          <w:sz w:val="22"/>
          <w:szCs w:val="22"/>
        </w:rPr>
        <w:t xml:space="preserve">Current, active use of AI tools in a clinical or professional context (utilization review, clinical documentation, or similar).</w:t>
      </w:r>
    </w:p>
    <w:p>
      <w:pPr>
        <w:pStyle w:val="ListParagraph"/>
        <w:numPr>
          <w:ilvl w:val="0"/>
          <w:numId w:val="1"/>
        </w:numPr>
        <w:spacing w:after="80"/>
      </w:pPr>
      <w:r>
        <w:rPr>
          <w:rFonts w:ascii="Arial" w:cs="Arial" w:eastAsia="Arial" w:hAnsi="Arial"/>
          <w:sz w:val="22"/>
          <w:szCs w:val="22"/>
        </w:rPr>
        <w:t xml:space="preserve">Understanding of medical necessity documentation, utilization review processes, and insurance authorization requirements.</w:t>
      </w:r>
    </w:p>
    <w:p>
      <w:pPr>
        <w:pStyle w:val="ListParagraph"/>
        <w:numPr>
          <w:ilvl w:val="0"/>
          <w:numId w:val="1"/>
        </w:numPr>
        <w:spacing w:after="80"/>
      </w:pPr>
      <w:r>
        <w:rPr>
          <w:rFonts w:ascii="Arial" w:cs="Arial" w:eastAsia="Arial" w:hAnsi="Arial"/>
          <w:sz w:val="22"/>
          <w:szCs w:val="22"/>
        </w:rPr>
        <w:t xml:space="preserve">Strong communication skills and ability to translate clinical and practitioner experience for a non-clinical research team.</w:t>
      </w:r>
    </w:p>
    <w:p>
      <w:pPr>
        <w:pStyle w:val="ListParagraph"/>
        <w:numPr>
          <w:ilvl w:val="0"/>
          <w:numId w:val="1"/>
        </w:numPr>
        <w:spacing w:after="80"/>
      </w:pPr>
      <w:r>
        <w:rPr>
          <w:rFonts w:ascii="Arial" w:cs="Arial" w:eastAsia="Arial" w:hAnsi="Arial"/>
          <w:sz w:val="22"/>
          <w:szCs w:val="22"/>
        </w:rPr>
        <w:t xml:space="preserve">Comfort working as part of an interdisciplinary team that spans research, technology, and community functions.</w:t>
      </w:r>
    </w:p>
    <w:p>
      <w:pPr>
        <w:spacing w:after="100"/>
      </w:pPr>
    </w:p>
    <w:p>
      <w:pPr>
        <w:spacing w:after="100"/>
      </w:pPr>
      <w:r>
        <w:rPr>
          <w:rFonts w:ascii="Arial" w:cs="Arial" w:eastAsia="Arial" w:hAnsi="Arial"/>
          <w:b/>
          <w:bCs/>
          <w:sz w:val="24"/>
          <w:szCs w:val="24"/>
        </w:rPr>
        <w:t xml:space="preserve">Preferred Qualifications</w:t>
      </w:r>
    </w:p>
    <w:p>
      <w:pPr>
        <w:pStyle w:val="ListParagraph"/>
        <w:numPr>
          <w:ilvl w:val="0"/>
          <w:numId w:val="1"/>
        </w:numPr>
        <w:spacing w:after="80"/>
      </w:pPr>
      <w:r>
        <w:rPr>
          <w:rFonts w:ascii="Arial" w:cs="Arial" w:eastAsia="Arial" w:hAnsi="Arial"/>
          <w:sz w:val="22"/>
          <w:szCs w:val="22"/>
        </w:rPr>
        <w:t xml:space="preserve">Experience developing or contributing to crisis intervention protocols or safety procedures.</w:t>
      </w:r>
    </w:p>
    <w:p>
      <w:pPr>
        <w:pStyle w:val="ListParagraph"/>
        <w:numPr>
          <w:ilvl w:val="0"/>
          <w:numId w:val="1"/>
        </w:numPr>
        <w:spacing w:after="80"/>
      </w:pPr>
      <w:r>
        <w:rPr>
          <w:rFonts w:ascii="Arial" w:cs="Arial" w:eastAsia="Arial" w:hAnsi="Arial"/>
          <w:sz w:val="22"/>
          <w:szCs w:val="22"/>
        </w:rPr>
        <w:t xml:space="preserve">Experience with multiple AI platforms (ChatGPT, Claude, Gemini, or others) in professional or personal contexts.</w:t>
      </w:r>
    </w:p>
    <w:p>
      <w:pPr>
        <w:pStyle w:val="ListParagraph"/>
        <w:numPr>
          <w:ilvl w:val="0"/>
          <w:numId w:val="1"/>
        </w:numPr>
        <w:spacing w:after="80"/>
      </w:pPr>
      <w:r>
        <w:rPr>
          <w:rFonts w:ascii="Arial" w:cs="Arial" w:eastAsia="Arial" w:hAnsi="Arial"/>
          <w:sz w:val="22"/>
          <w:szCs w:val="22"/>
        </w:rPr>
        <w:t xml:space="preserve">Familiarity with research methodology, even if informal (pattern observation, documentation of behavioral trends).</w:t>
      </w:r>
    </w:p>
    <w:p>
      <w:pPr>
        <w:pStyle w:val="ListParagraph"/>
        <w:numPr>
          <w:ilvl w:val="0"/>
          <w:numId w:val="1"/>
        </w:numPr>
        <w:spacing w:after="80"/>
      </w:pPr>
      <w:r>
        <w:rPr>
          <w:rFonts w:ascii="Arial" w:cs="Arial" w:eastAsia="Arial" w:hAnsi="Arial"/>
          <w:sz w:val="22"/>
          <w:szCs w:val="22"/>
        </w:rPr>
        <w:t xml:space="preserve">Interest in AI safety, alignment, or governance.</w:t>
      </w:r>
    </w:p>
    <w:p>
      <w:pPr>
        <w:pStyle w:val="ListParagraph"/>
        <w:numPr>
          <w:ilvl w:val="0"/>
          <w:numId w:val="1"/>
        </w:numPr>
        <w:spacing w:after="80"/>
      </w:pPr>
      <w:r>
        <w:rPr>
          <w:rFonts w:ascii="Arial" w:cs="Arial" w:eastAsia="Arial" w:hAnsi="Arial"/>
          <w:sz w:val="22"/>
          <w:szCs w:val="22"/>
        </w:rPr>
        <w:t xml:space="preserve">Experience training or mentoring staff on behavioral health crisis response.</w:t>
      </w:r>
    </w:p>
    <w:p>
      <w:pPr>
        <w:spacing w:after="100"/>
      </w:pPr>
    </w:p>
    <w:p>
      <w:pPr>
        <w:spacing w:after="100"/>
      </w:pPr>
      <w:r>
        <w:rPr>
          <w:rFonts w:ascii="Arial" w:cs="Arial" w:eastAsia="Arial" w:hAnsi="Arial"/>
          <w:b/>
          <w:bCs/>
          <w:sz w:val="24"/>
          <w:szCs w:val="24"/>
        </w:rPr>
        <w:t xml:space="preserve">Compensation and Benefits</w:t>
      </w:r>
    </w:p>
    <w:p>
      <w:pPr>
        <w:spacing w:after="80"/>
      </w:pPr>
      <w:r>
        <w:rPr>
          <w:rFonts w:ascii="Arial" w:cs="Arial" w:eastAsia="Arial" w:hAnsi="Arial"/>
          <w:sz w:val="22"/>
          <w:szCs w:val="22"/>
        </w:rPr>
        <w:t xml:space="preserve">Salary: $55,000 to $80,000 (prorated to hours) annually, commensurate with experience.</w:t>
      </w:r>
    </w:p>
    <w:p>
      <w:pPr>
        <w:spacing w:after="200"/>
      </w:pPr>
      <w:r>
        <w:rPr>
          <w:rFonts w:ascii="Arial" w:cs="Arial" w:eastAsia="Arial" w:hAnsi="Arial"/>
          <w:sz w:val="22"/>
          <w:szCs w:val="22"/>
        </w:rPr>
        <w:t xml:space="preserve">Benefits: Comprehensive health, dental, and vision insurance; 401(k); paid time off; professional development budget; conference travel budget.</w:t>
      </w: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Submit your resume and a cover letter to careers@audacionailabs.com with the subject line "Behavioral Health Adviser: Practitioner Application." In your cover letter, please describe your acute care behavioral health experience and how you currently use AI in your professional work.</w:t>
      </w:r>
    </w:p>
    <w:p>
      <w:pPr>
        <w:pBdr>
          <w:top w:val="single" w:color="999999" w:sz="1"/>
        </w:pBdr>
        <w:spacing w:after="200"/>
      </w:pPr>
    </w:p>
    <w:p>
      <w:pPr>
        <w:spacing w:after="100"/>
      </w:pPr>
      <w:r>
        <w:rPr>
          <w:rFonts w:ascii="Arial" w:cs="Arial" w:eastAsia="Arial" w:hAnsi="Arial"/>
          <w:b/>
          <w:bCs/>
          <w:sz w:val="22"/>
          <w:szCs w:val="22"/>
        </w:rPr>
        <w:t xml:space="preserve">Funding Disclaimer</w:t>
      </w:r>
    </w:p>
    <w:p>
      <w:pPr>
        <w:spacing w:after="100"/>
      </w:pPr>
      <w:r>
        <w:rPr>
          <w:rFonts w:ascii="Arial" w:cs="Arial" w:eastAsia="Arial" w:hAnsi="Arial"/>
          <w:sz w:val="22"/>
          <w:szCs w:val="22"/>
        </w:rPr>
        <w:t xml:space="preserve">This position is contingent upon securing grant or partnership funding. If you are interested in contributing to this function in a volunteer or advisory capacity while funding is being secured, we welcome that conversation.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2026-05-20T12:11:27.723Z</dcterms:created>
  <dcterms:modified xsi:type="dcterms:W3CDTF">2026-05-20T12:11:27.738Z</dcterms:modified>
</cp:coreProperties>
</file>

<file path=docProps/custom.xml><?xml version="1.0" encoding="utf-8"?>
<Properties xmlns="http://schemas.openxmlformats.org/officeDocument/2006/custom-properties" xmlns:vt="http://schemas.openxmlformats.org/officeDocument/2006/docPropsVTypes"/>
</file>