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rFonts w:ascii="Arial" w:cs="Arial" w:eastAsia="Arial" w:hAnsi="Arial"/>
          <w:b/>
          <w:bCs/>
          <w:color w:val="6C3483"/>
          <w:sz w:val="52"/>
          <w:szCs w:val="52"/>
        </w:rPr>
        <w:t xml:space="preserve">AUDACION AI LABS</w:t>
      </w:r>
    </w:p>
    <w:p>
      <w:pPr>
        <w:spacing w:after="80"/>
        <w:jc w:val="center"/>
      </w:pPr>
      <w:r>
        <w:rPr>
          <w:rFonts w:ascii="Arial" w:cs="Arial" w:eastAsia="Arial" w:hAnsi="Arial"/>
          <w:color w:val="666666"/>
          <w:sz w:val="30"/>
          <w:szCs w:val="30"/>
        </w:rPr>
        <w:t xml:space="preserve">WHAT CANNOT WAIT PAGE</w:t>
      </w:r>
    </w:p>
    <w:p>
      <w:pPr>
        <w:spacing w:after="400"/>
        <w:jc w:val="center"/>
      </w:pPr>
      <w:r>
        <w:rPr>
          <w:rFonts w:ascii="Arial" w:cs="Arial" w:eastAsia="Arial" w:hAnsi="Arial"/>
          <w:color w:val="999999"/>
          <w:sz w:val="22"/>
          <w:szCs w:val="22"/>
        </w:rPr>
        <w:t xml:space="preserve">May 2026 | Prepared by Kenny for Dee Williams</w:t>
      </w:r>
    </w:p>
    <w:p>
      <w:pPr>
        <w:pBdr>
          <w:bottom w:val="single" w:color="6C3483" w:sz="4" w:space="1"/>
        </w:pBdr>
        <w:spacing w:after="200" w:before="200"/>
      </w:pPr>
    </w:p>
    <w:p>
      <w:pPr>
        <w:spacing w:after="80" w:before="200"/>
      </w:pPr>
      <w:r>
        <w:rPr>
          <w:rFonts w:ascii="Arial" w:cs="Arial" w:eastAsia="Arial" w:hAnsi="Arial"/>
          <w:b/>
          <w:bCs/>
          <w:color w:val="6C3483"/>
          <w:sz w:val="24"/>
          <w:szCs w:val="24"/>
        </w:rPr>
        <w:t xml:space="preserve">WHAT THIS PAGE IS</w:t>
      </w:r>
    </w:p>
    <w:p>
      <w:pPr>
        <w:spacing w:after="100"/>
      </w:pPr>
      <w:r>
        <w:rPr>
          <w:rFonts w:ascii="Arial" w:cs="Arial" w:eastAsia="Arial" w:hAnsi="Arial"/>
          <w:b w:val="false"/>
          <w:bCs w:val="false"/>
          <w:i w:val="false"/>
          <w:iCs w:val="false"/>
          <w:color w:val="333333"/>
          <w:sz w:val="22"/>
          <w:szCs w:val="22"/>
        </w:rPr>
        <w:t xml:space="preserve">A threat briefing. Four urgent AI safety patterns with detailed evidence, escalation trajectories, and specific calls to action. This page is designed to be shared. It makes the case for urgency so clearly that a reader forwards it to their team, their funder, their representative, their journalist contact. Every pattern brief is a self-contained argument.</w:t>
      </w:r>
    </w:p>
    <w:p>
      <w:pPr>
        <w:spacing w:after="100"/>
      </w:pPr>
      <w:r>
        <w:rPr>
          <w:rFonts w:ascii="Arial" w:cs="Arial" w:eastAsia="Arial" w:hAnsi="Arial"/>
          <w:b/>
          <w:bCs/>
          <w:i w:val="false"/>
          <w:iCs w:val="false"/>
          <w:color w:val="333333"/>
          <w:sz w:val="22"/>
          <w:szCs w:val="22"/>
        </w:rPr>
        <w:t xml:space="preserve">Content source: </w:t>
      </w:r>
      <w:r>
        <w:rPr>
          <w:rFonts w:ascii="Arial" w:cs="Arial" w:eastAsia="Arial" w:hAnsi="Arial"/>
          <w:b w:val="false"/>
          <w:bCs w:val="false"/>
          <w:i w:val="false"/>
          <w:iCs w:val="false"/>
          <w:color w:val="333333"/>
          <w:sz w:val="22"/>
          <w:szCs w:val="22"/>
        </w:rPr>
        <w:t xml:space="preserve">The full content document provided by Dee (What Cannot Wait, May 22, 2026). Not yet in the repo as a .md file. Commit it as /website/WHAT_CANNOT_WAIT.md.</w:t>
      </w:r>
    </w:p>
    <w:p>
      <w:pPr>
        <w:spacing w:after="100"/>
      </w:pPr>
      <w:r>
        <w:rPr>
          <w:rFonts w:ascii="Arial" w:cs="Arial" w:eastAsia="Arial" w:hAnsi="Arial"/>
          <w:b/>
          <w:bCs/>
          <w:i w:val="false"/>
          <w:iCs w:val="false"/>
          <w:color w:val="333333"/>
          <w:sz w:val="22"/>
          <w:szCs w:val="22"/>
        </w:rPr>
        <w:t xml:space="preserve">Nav location: </w:t>
      </w:r>
      <w:r>
        <w:rPr>
          <w:rFonts w:ascii="Arial" w:cs="Arial" w:eastAsia="Arial" w:hAnsi="Arial"/>
          <w:b w:val="false"/>
          <w:bCs w:val="false"/>
          <w:i w:val="false"/>
          <w:iCs w:val="false"/>
          <w:color w:val="333333"/>
          <w:sz w:val="22"/>
          <w:szCs w:val="22"/>
        </w:rPr>
        <w:t xml:space="preserve">Footer for now. Cross-linked from Research, Donate, Partners, Contribute, and Homepage. Dee will decide on primary nav placement later.</w:t>
      </w:r>
    </w:p>
    <w:p>
      <w:pPr>
        <w:spacing w:after="100"/>
      </w:pPr>
      <w:r>
        <w:rPr>
          <w:rFonts w:ascii="Arial" w:cs="Arial" w:eastAsia="Arial" w:hAnsi="Arial"/>
          <w:b/>
          <w:bCs/>
          <w:i w:val="false"/>
          <w:iCs w:val="false"/>
          <w:color w:val="333333"/>
          <w:sz w:val="22"/>
          <w:szCs w:val="22"/>
        </w:rPr>
        <w:t xml:space="preserve">Social sharing: </w:t>
      </w:r>
      <w:r>
        <w:rPr>
          <w:rFonts w:ascii="Arial" w:cs="Arial" w:eastAsia="Arial" w:hAnsi="Arial"/>
          <w:b w:val="false"/>
          <w:bCs w:val="false"/>
          <w:i w:val="false"/>
          <w:iCs w:val="false"/>
          <w:color w:val="333333"/>
          <w:sz w:val="22"/>
          <w:szCs w:val="22"/>
        </w:rPr>
        <w:t xml:space="preserve">This page gets its own og:image and og:description. It is designed to be shared. The preview when someone pastes the URL into Slack or LinkedIn should compel a click.</w:t>
      </w:r>
    </w:p>
    <w:p>
      <w:pPr>
        <w:spacing w:after="100"/>
      </w:pPr>
      <w:r>
        <w:rPr>
          <w:rFonts w:ascii="Arial" w:cs="Arial" w:eastAsia="Arial" w:hAnsi="Arial"/>
          <w:b/>
          <w:bCs/>
          <w:i w:val="false"/>
          <w:iCs w:val="false"/>
          <w:color w:val="333333"/>
          <w:sz w:val="22"/>
          <w:szCs w:val="22"/>
        </w:rPr>
        <w:t xml:space="preserve">THIS IS A LONG PAGE. </w:t>
      </w:r>
      <w:r>
        <w:rPr>
          <w:rFonts w:ascii="Arial" w:cs="Arial" w:eastAsia="Arial" w:hAnsi="Arial"/>
          <w:b w:val="false"/>
          <w:bCs w:val="false"/>
          <w:i w:val="false"/>
          <w:iCs w:val="false"/>
          <w:color w:val="333333"/>
          <w:sz w:val="22"/>
          <w:szCs w:val="22"/>
        </w:rPr>
        <w:t xml:space="preserve">Four detailed pattern briefs, each the length of a short article. On mobile, each pattern must be collapsible. On desktop, the full page is readable but the visual structure must keep the reader oriented: which pattern am I in, what section of that pattern, and how many more to go.</w:t>
      </w:r>
    </w:p>
    <w:p>
      <w:r>
        <w:br w:type="page"/>
      </w:r>
    </w:p>
    <w:p>
      <w:pPr>
        <w:pStyle w:val="Heading1"/>
      </w:pPr>
      <w:r>
        <w:rPr>
          <w:rFonts w:ascii="Arial" w:cs="Arial" w:eastAsia="Arial" w:hAnsi="Arial"/>
          <w:b/>
          <w:bCs/>
          <w:color w:val="6C3483"/>
          <w:sz w:val="40"/>
          <w:szCs w:val="40"/>
        </w:rPr>
        <w:t xml:space="preserve">SECTION 1: OPENING</w:t>
      </w:r>
    </w:p>
    <w:p>
      <w:pPr>
        <w:spacing w:after="80" w:before="200"/>
      </w:pPr>
      <w:r>
        <w:rPr>
          <w:rFonts w:ascii="Arial" w:cs="Arial" w:eastAsia="Arial" w:hAnsi="Arial"/>
          <w:b/>
          <w:bCs/>
          <w:color w:val="6C3483"/>
          <w:sz w:val="24"/>
          <w:szCs w:val="24"/>
        </w:rPr>
        <w:t xml:space="preserve">WHAT TO BUILD</w:t>
      </w:r>
    </w:p>
    <w:p>
      <w:pPr>
        <w:pStyle w:val="ListParagraph"/>
        <w:numPr>
          <w:ilvl w:val="0"/>
          <w:numId w:val="2"/>
        </w:numPr>
        <w:spacing w:after="80"/>
      </w:pPr>
      <w:r>
        <w:rPr>
          <w:rFonts w:ascii="Arial" w:cs="Arial" w:eastAsia="Arial" w:hAnsi="Arial"/>
          <w:sz w:val="22"/>
          <w:szCs w:val="22"/>
        </w:rPr>
        <w:t xml:space="preserve">Section label in small uppercase gray: "WHAT CANNOT WAIT"</w:t>
      </w:r>
    </w:p>
    <w:p>
      <w:pPr>
        <w:pStyle w:val="ListParagraph"/>
        <w:numPr>
          <w:ilvl w:val="0"/>
          <w:numId w:val="2"/>
        </w:numPr>
        <w:spacing w:after="80"/>
      </w:pPr>
      <w:r>
        <w:rPr>
          <w:rFonts w:ascii="Arial" w:cs="Arial" w:eastAsia="Arial" w:hAnsi="Arial"/>
          <w:sz w:val="22"/>
          <w:szCs w:val="22"/>
        </w:rPr>
        <w:t xml:space="preserve">Headline at 32px to 40px, white, bold: "Critical AI Safety Patterns That Need Attention from Everyone."</w:t>
      </w:r>
    </w:p>
    <w:p>
      <w:pPr>
        <w:pStyle w:val="ListParagraph"/>
        <w:numPr>
          <w:ilvl w:val="0"/>
          <w:numId w:val="2"/>
        </w:numPr>
        <w:spacing w:after="80"/>
      </w:pPr>
      <w:r>
        <w:rPr>
          <w:rFonts w:ascii="Arial" w:cs="Arial" w:eastAsia="Arial" w:hAnsi="Arial"/>
          <w:sz w:val="22"/>
          <w:szCs w:val="22"/>
        </w:rPr>
        <w:t xml:space="preserve">Three paragraphs from the content. Editorial styling: 18px, line-height 1.8, max width 720px, #E0E0E0.</w:t>
      </w:r>
    </w:p>
    <w:p>
      <w:pPr>
        <w:pStyle w:val="ListParagraph"/>
        <w:numPr>
          <w:ilvl w:val="0"/>
          <w:numId w:val="2"/>
        </w:numPr>
        <w:spacing w:after="80"/>
      </w:pPr>
      <w:r>
        <w:rPr>
          <w:rFonts w:ascii="Arial" w:cs="Arial" w:eastAsia="Arial" w:hAnsi="Arial"/>
          <w:sz w:val="22"/>
          <w:szCs w:val="22"/>
        </w:rPr>
        <w:t xml:space="preserve">Inline emphasis (white): "We are not asking you to fund us. We are asking you to pay attention."</w:t>
      </w:r>
    </w:p>
    <w:p>
      <w:pPr>
        <w:pStyle w:val="ListParagraph"/>
        <w:numPr>
          <w:ilvl w:val="0"/>
          <w:numId w:val="2"/>
        </w:numPr>
        <w:spacing w:after="80"/>
      </w:pPr>
      <w:r>
        <w:rPr>
          <w:rFonts w:ascii="Arial" w:cs="Arial" w:eastAsia="Arial" w:hAnsi="Arial"/>
          <w:sz w:val="22"/>
          <w:szCs w:val="22"/>
        </w:rPr>
        <w:t xml:space="preserve">Inline emphasis (white): "Because these patterns do not wait for anyone's funding cycle, anyone's ego, or anyone's partnership terms."</w:t>
      </w:r>
    </w:p>
    <w:p>
      <w:pPr>
        <w:pStyle w:val="ListParagraph"/>
        <w:numPr>
          <w:ilvl w:val="0"/>
          <w:numId w:val="2"/>
        </w:numPr>
        <w:spacing w:after="80"/>
      </w:pPr>
      <w:r>
        <w:rPr>
          <w:rFonts w:ascii="Arial" w:cs="Arial" w:eastAsia="Arial" w:hAnsi="Arial"/>
          <w:sz w:val="22"/>
          <w:szCs w:val="22"/>
        </w:rPr>
        <w:t xml:space="preserve">Four buttons in a horizontal row below: Partner With Us (purple), Fund This Research (purple ghost), Access the Data (ghost), Start Observing (ghost).</w:t>
      </w:r>
    </w:p>
    <w:p>
      <w:pPr>
        <w:pBdr>
          <w:bottom w:val="single" w:color="6C3483" w:sz="4" w:space="1"/>
        </w:pBdr>
        <w:spacing w:after="200" w:before="200"/>
      </w:pPr>
    </w:p>
    <w:p>
      <w:pPr>
        <w:pStyle w:val="Heading1"/>
      </w:pPr>
      <w:r>
        <w:rPr>
          <w:rFonts w:ascii="Arial" w:cs="Arial" w:eastAsia="Arial" w:hAnsi="Arial"/>
          <w:b/>
          <w:bCs/>
          <w:color w:val="6C3483"/>
          <w:sz w:val="40"/>
          <w:szCs w:val="40"/>
        </w:rPr>
        <w:t xml:space="preserve">SECTION 2: HOW WE CLASSIFY URGENCY</w:t>
      </w:r>
    </w:p>
    <w:p>
      <w:pPr>
        <w:spacing w:after="80" w:before="200"/>
      </w:pPr>
      <w:r>
        <w:rPr>
          <w:rFonts w:ascii="Arial" w:cs="Arial" w:eastAsia="Arial" w:hAnsi="Arial"/>
          <w:b/>
          <w:bCs/>
          <w:color w:val="6C3483"/>
          <w:sz w:val="24"/>
          <w:szCs w:val="24"/>
        </w:rPr>
        <w:t xml:space="preserve">WHAT TO BUILD</w:t>
      </w:r>
    </w:p>
    <w:p>
      <w:pPr>
        <w:pStyle w:val="ListParagraph"/>
        <w:numPr>
          <w:ilvl w:val="0"/>
          <w:numId w:val="2"/>
        </w:numPr>
        <w:spacing w:after="80"/>
      </w:pPr>
      <w:r>
        <w:rPr>
          <w:rFonts w:ascii="Arial" w:cs="Arial" w:eastAsia="Arial" w:hAnsi="Arial"/>
          <w:sz w:val="22"/>
          <w:szCs w:val="22"/>
        </w:rPr>
        <w:t xml:space="preserve">Section label: "HOW WE CLASSIFY URGENCY" in small uppercase gray.</w:t>
      </w:r>
    </w:p>
    <w:p>
      <w:pPr>
        <w:pStyle w:val="ListParagraph"/>
        <w:numPr>
          <w:ilvl w:val="0"/>
          <w:numId w:val="2"/>
        </w:numPr>
        <w:spacing w:after="80"/>
      </w:pPr>
      <w:r>
        <w:rPr>
          <w:rFonts w:ascii="Arial" w:cs="Arial" w:eastAsia="Arial" w:hAnsi="Arial"/>
          <w:sz w:val="22"/>
          <w:szCs w:val="22"/>
        </w:rPr>
        <w:t xml:space="preserve">Three classification badges displayed as prominent visual elements. Each badge is a horizontal block:</w:t>
      </w:r>
    </w:p>
    <w:p>
      <w:pPr>
        <w:spacing w:after="100"/>
      </w:pPr>
      <w:r>
        <w:rPr>
          <w:rFonts w:ascii="Arial" w:cs="Arial" w:eastAsia="Arial" w:hAnsi="Arial"/>
          <w:b w:val="false"/>
          <w:bCs w:val="false"/>
          <w:i w:val="false"/>
          <w:iCs w:val="false"/>
          <w:color w:val="333333"/>
          <w:sz w:val="22"/>
          <w:szCs w:val="22"/>
        </w:rP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800"/>
        <w:gridCol w:w="3040"/>
      </w:tblGrid>
      <w:tr>
        <w:tc>
          <w:tcPr>
            <w:tcW w:type="dxa" w:w="1600"/>
            <w:tcBorders>
              <w:top w:val="single" w:color="CCCCCC" w:sz="1"/>
              <w:left w:val="single" w:color="CCCCCC" w:sz="1"/>
              <w:bottom w:val="single" w:color="CCCCCC" w:sz="1"/>
              <w:right w:val="single" w:color="CCCCCC" w:sz="1"/>
            </w:tcBorders>
            <w:shd w:fill="6C3483" w:val="clear"/>
            <w:tcMar>
              <w:top w:type="dxa" w:w="120"/>
              <w:left w:type="dxa" w:w="200"/>
              <w:bottom w:type="dxa" w:w="120"/>
              <w:right w:type="dxa" w:w="200"/>
            </w:tcMar>
          </w:tcPr>
          <w:p>
            <w:r>
              <w:rPr>
                <w:rFonts w:ascii="Arial" w:cs="Arial" w:eastAsia="Arial" w:hAnsi="Arial"/>
                <w:b/>
                <w:bCs/>
                <w:color w:val="FFFFFF"/>
                <w:sz w:val="20"/>
                <w:szCs w:val="20"/>
              </w:rPr>
              <w:t xml:space="preserve">Badge</w:t>
            </w:r>
          </w:p>
        </w:tc>
        <w:tc>
          <w:tcPr>
            <w:tcW w:type="dxa" w:w="2400"/>
            <w:tcBorders>
              <w:top w:val="single" w:color="CCCCCC" w:sz="1"/>
              <w:left w:val="single" w:color="CCCCCC" w:sz="1"/>
              <w:bottom w:val="single" w:color="CCCCCC" w:sz="1"/>
              <w:right w:val="single" w:color="CCCCCC" w:sz="1"/>
            </w:tcBorders>
            <w:shd w:fill="6C3483" w:val="clear"/>
            <w:tcMar>
              <w:top w:type="dxa" w:w="120"/>
              <w:left w:type="dxa" w:w="200"/>
              <w:bottom w:type="dxa" w:w="120"/>
              <w:right w:type="dxa" w:w="200"/>
            </w:tcMar>
          </w:tcPr>
          <w:p>
            <w:r>
              <w:rPr>
                <w:rFonts w:ascii="Arial" w:cs="Arial" w:eastAsia="Arial" w:hAnsi="Arial"/>
                <w:b/>
                <w:bCs/>
                <w:color w:val="FFFFFF"/>
                <w:sz w:val="20"/>
                <w:szCs w:val="20"/>
              </w:rPr>
              <w:t xml:space="preserve">Color</w:t>
            </w:r>
          </w:p>
        </w:tc>
        <w:tc>
          <w:tcPr>
            <w:tcW w:type="dxa" w:w="2800"/>
            <w:tcBorders>
              <w:top w:val="single" w:color="CCCCCC" w:sz="1"/>
              <w:left w:val="single" w:color="CCCCCC" w:sz="1"/>
              <w:bottom w:val="single" w:color="CCCCCC" w:sz="1"/>
              <w:right w:val="single" w:color="CCCCCC" w:sz="1"/>
            </w:tcBorders>
            <w:shd w:fill="6C3483" w:val="clear"/>
            <w:tcMar>
              <w:top w:type="dxa" w:w="120"/>
              <w:left w:type="dxa" w:w="200"/>
              <w:bottom w:type="dxa" w:w="120"/>
              <w:right w:type="dxa" w:w="200"/>
            </w:tcMar>
          </w:tcPr>
          <w:p>
            <w:r>
              <w:rPr>
                <w:rFonts w:ascii="Arial" w:cs="Arial" w:eastAsia="Arial" w:hAnsi="Arial"/>
                <w:b/>
                <w:bCs/>
                <w:color w:val="FFFFFF"/>
                <w:sz w:val="20"/>
                <w:szCs w:val="20"/>
              </w:rPr>
              <w:t xml:space="preserve">Label</w:t>
            </w:r>
          </w:p>
        </w:tc>
        <w:tc>
          <w:tcPr>
            <w:tcW w:type="dxa" w:w="3040"/>
            <w:tcBorders>
              <w:top w:val="single" w:color="CCCCCC" w:sz="1"/>
              <w:left w:val="single" w:color="CCCCCC" w:sz="1"/>
              <w:bottom w:val="single" w:color="CCCCCC" w:sz="1"/>
              <w:right w:val="single" w:color="CCCCCC" w:sz="1"/>
            </w:tcBorders>
            <w:shd w:fill="6C3483" w:val="clear"/>
            <w:tcMar>
              <w:top w:type="dxa" w:w="120"/>
              <w:left w:type="dxa" w:w="200"/>
              <w:bottom w:type="dxa" w:w="120"/>
              <w:right w:type="dxa" w:w="200"/>
            </w:tcMar>
          </w:tcPr>
          <w:p>
            <w:r>
              <w:rPr>
                <w:rFonts w:ascii="Arial" w:cs="Arial" w:eastAsia="Arial" w:hAnsi="Arial"/>
                <w:b/>
                <w:bCs/>
                <w:color w:val="FFFFFF"/>
                <w:sz w:val="20"/>
                <w:szCs w:val="20"/>
              </w:rPr>
              <w:t xml:space="preserve">Description (one sentence)</w:t>
            </w:r>
          </w:p>
        </w:tc>
      </w:tr>
      <w:tr>
        <w:tc>
          <w:tcPr>
            <w:tcW w:type="dxa" w:w="16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CRITICAL</w:t>
            </w:r>
          </w:p>
        </w:tc>
        <w:tc>
          <w:tcPr>
            <w:tcW w:type="dxa" w:w="24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Red #E74C3C (bright, not muted)</w:t>
            </w:r>
          </w:p>
        </w:tc>
        <w:tc>
          <w:tcPr>
            <w:tcW w:type="dxa" w:w="28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White text on red background</w:t>
            </w:r>
          </w:p>
        </w:tc>
        <w:tc>
          <w:tcPr>
            <w:tcW w:type="dxa" w:w="30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The pattern exists now. The window is narrowing. Insufficient attention.</w:t>
            </w:r>
          </w:p>
        </w:tc>
      </w:tr>
      <w:tr>
        <w:tc>
          <w:tcPr>
            <w:tcW w:type="dxa" w:w="16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ELEVATED</w:t>
            </w:r>
          </w:p>
        </w:tc>
        <w:tc>
          <w:tcPr>
            <w:tcW w:type="dxa" w:w="24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Amber #E67E22</w:t>
            </w:r>
          </w:p>
        </w:tc>
        <w:tc>
          <w:tcPr>
            <w:tcW w:type="dxa" w:w="28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White text on amber background</w:t>
            </w:r>
          </w:p>
        </w:tc>
        <w:tc>
          <w:tcPr>
            <w:tcW w:type="dxa" w:w="30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Documented pattern. Concerning trajectory. Insufficient field attention.</w:t>
            </w:r>
          </w:p>
        </w:tc>
      </w:tr>
      <w:tr>
        <w:tc>
          <w:tcPr>
            <w:tcW w:type="dxa" w:w="16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EMERGING</w:t>
            </w:r>
          </w:p>
        </w:tc>
        <w:tc>
          <w:tcPr>
            <w:tcW w:type="dxa" w:w="24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Green #27AE60</w:t>
            </w:r>
          </w:p>
        </w:tc>
        <w:tc>
          <w:tcPr>
            <w:tcW w:type="dxa" w:w="28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White text on green background</w:t>
            </w:r>
          </w:p>
        </w:tc>
        <w:tc>
          <w:tcPr>
            <w:tcW w:type="dxa" w:w="30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Early signals. Not enough data to confirm. Watching closely.</w:t>
            </w:r>
          </w:p>
        </w:tc>
      </w:tr>
    </w:tbl>
    <w:p>
      <w:pPr>
        <w:spacing w:after="100"/>
      </w:pPr>
      <w:r>
        <w:rPr>
          <w:rFonts w:ascii="Arial" w:cs="Arial" w:eastAsia="Arial" w:hAnsi="Arial"/>
          <w:b w:val="false"/>
          <w:bCs w:val="false"/>
          <w:i w:val="false"/>
          <w:iCs w:val="false"/>
          <w:color w:val="333333"/>
          <w:sz w:val="22"/>
          <w:szCs w:val="22"/>
        </w:rPr>
        <w:t xml:space="preserve"/>
      </w:r>
    </w:p>
    <w:p>
      <w:pPr>
        <w:pStyle w:val="ListParagraph"/>
        <w:numPr>
          <w:ilvl w:val="0"/>
          <w:numId w:val="2"/>
        </w:numPr>
        <w:spacing w:after="80"/>
      </w:pPr>
      <w:r>
        <w:rPr>
          <w:rFonts w:ascii="Arial" w:cs="Arial" w:eastAsia="Arial" w:hAnsi="Arial"/>
          <w:sz w:val="22"/>
          <w:szCs w:val="22"/>
        </w:rPr>
        <w:t xml:space="preserve">Each badge: rounded pill, 14px uppercase bold white text, saturated background color. These same badges appear on every pattern brief below.</w:t>
      </w:r>
    </w:p>
    <w:p>
      <w:pPr>
        <w:pStyle w:val="ListParagraph"/>
        <w:numPr>
          <w:ilvl w:val="0"/>
          <w:numId w:val="2"/>
        </w:numPr>
        <w:spacing w:after="80"/>
      </w:pPr>
      <w:r>
        <w:rPr>
          <w:rFonts w:ascii="Arial" w:cs="Arial" w:eastAsia="Arial" w:hAnsi="Arial"/>
          <w:sz w:val="22"/>
          <w:szCs w:val="22"/>
        </w:rPr>
        <w:t xml:space="preserve">Below the three badges: "Classifications are reviewed quarterly as new data arrives." in 14px #BDC3C7 italic.</w:t>
      </w:r>
    </w:p>
    <w:p>
      <w:r>
        <w:br w:type="page"/>
      </w:r>
    </w:p>
    <w:p>
      <w:pPr>
        <w:pStyle w:val="Heading1"/>
      </w:pPr>
      <w:r>
        <w:rPr>
          <w:rFonts w:ascii="Arial" w:cs="Arial" w:eastAsia="Arial" w:hAnsi="Arial"/>
          <w:b/>
          <w:bCs/>
          <w:color w:val="6C3483"/>
          <w:sz w:val="40"/>
          <w:szCs w:val="40"/>
        </w:rPr>
        <w:t xml:space="preserve">PATTERN BRIEF STRUCTURE (applies to all 4 patterns)</w:t>
      </w:r>
    </w:p>
    <w:p>
      <w:pPr>
        <w:spacing w:after="100"/>
      </w:pPr>
      <w:r>
        <w:rPr>
          <w:rFonts w:ascii="Arial" w:cs="Arial" w:eastAsia="Arial" w:hAnsi="Arial"/>
          <w:b w:val="false"/>
          <w:bCs w:val="false"/>
          <w:i w:val="false"/>
          <w:iCs w:val="false"/>
          <w:color w:val="333333"/>
          <w:sz w:val="22"/>
          <w:szCs w:val="22"/>
        </w:rPr>
        <w:t xml:space="preserve">Each pattern on this page follows the same internal structure. The visual treatment is consistent so a reader who understands the first pattern can navigate the rest by scanning. Here is the template:</w:t>
      </w:r>
    </w:p>
    <w:p>
      <w:pPr>
        <w:spacing w:after="100"/>
      </w:pPr>
      <w:r>
        <w:rPr>
          <w:rFonts w:ascii="Arial" w:cs="Arial" w:eastAsia="Arial" w:hAnsi="Arial"/>
          <w:b w:val="false"/>
          <w:bCs w:val="false"/>
          <w:i w:val="false"/>
          <w:iCs w:val="false"/>
          <w:color w:val="333333"/>
          <w:sz w:val="22"/>
          <w:szCs w:val="22"/>
        </w:rPr>
        <w:t xml:space="preserve"/>
      </w:r>
    </w:p>
    <w:p>
      <w:pPr>
        <w:spacing w:after="80" w:before="200"/>
      </w:pPr>
      <w:r>
        <w:rPr>
          <w:rFonts w:ascii="Arial" w:cs="Arial" w:eastAsia="Arial" w:hAnsi="Arial"/>
          <w:b/>
          <w:bCs/>
          <w:color w:val="6C3483"/>
          <w:sz w:val="24"/>
          <w:szCs w:val="24"/>
        </w:rPr>
        <w:t xml:space="preserve">PATTERN BRIEF CARD</w:t>
      </w:r>
    </w:p>
    <w:p>
      <w:pPr>
        <w:pStyle w:val="ListParagraph"/>
        <w:numPr>
          <w:ilvl w:val="0"/>
          <w:numId w:val="2"/>
        </w:numPr>
        <w:spacing w:after="80"/>
      </w:pPr>
      <w:r>
        <w:rPr>
          <w:rFonts w:ascii="Arial" w:cs="Arial" w:eastAsia="Arial" w:hAnsi="Arial"/>
          <w:sz w:val="22"/>
          <w:szCs w:val="22"/>
        </w:rPr>
        <w:t xml:space="preserve">Each pattern is a LARGE section with its own visual container. On dark background: a full-width area with a subtle background shift (#222222) and a colored top border matching the severity classification (4px, red for CRITICAL, amber for ELEVATED).</w:t>
      </w:r>
    </w:p>
    <w:p>
      <w:pPr>
        <w:spacing w:after="100"/>
      </w:pPr>
      <w:r>
        <w:rPr>
          <w:rFonts w:ascii="Arial" w:cs="Arial" w:eastAsia="Arial" w:hAnsi="Arial"/>
          <w:b w:val="false"/>
          <w:bCs w:val="false"/>
          <w:i w:val="false"/>
          <w:iCs w:val="false"/>
          <w:color w:val="333333"/>
          <w:sz w:val="22"/>
          <w:szCs w:val="22"/>
        </w:rPr>
        <w:t xml:space="preserve"/>
      </w:r>
    </w:p>
    <w:p>
      <w:pPr>
        <w:spacing w:after="100"/>
      </w:pPr>
      <w:r>
        <w:rPr>
          <w:rFonts w:ascii="Arial" w:cs="Arial" w:eastAsia="Arial" w:hAnsi="Arial"/>
          <w:b w:val="false"/>
          <w:bCs w:val="false"/>
          <w:i w:val="false"/>
          <w:iCs w:val="false"/>
          <w:color w:val="333333"/>
          <w:sz w:val="22"/>
          <w:szCs w:val="22"/>
        </w:rPr>
        <w:t xml:space="preserve">Internal structure of each brief:</w:t>
      </w:r>
    </w:p>
    <w:p>
      <w:pPr>
        <w:pStyle w:val="ListParagraph"/>
        <w:numPr>
          <w:ilvl w:val="0"/>
          <w:numId w:val="2"/>
        </w:numPr>
        <w:spacing w:after="80"/>
      </w:pPr>
      <w:r>
        <w:rPr>
          <w:rFonts w:ascii="Arial" w:cs="Arial" w:eastAsia="Arial" w:hAnsi="Arial"/>
          <w:sz w:val="22"/>
          <w:szCs w:val="22"/>
        </w:rPr>
        <w:t xml:space="preserve">1. PATTERN TITLE at 28px bold white. Example: "Authority Inversion at Scale"</w:t>
      </w:r>
    </w:p>
    <w:p>
      <w:pPr>
        <w:pStyle w:val="ListParagraph"/>
        <w:numPr>
          <w:ilvl w:val="0"/>
          <w:numId w:val="2"/>
        </w:numPr>
        <w:spacing w:after="80"/>
      </w:pPr>
      <w:r>
        <w:rPr>
          <w:rFonts w:ascii="Arial" w:cs="Arial" w:eastAsia="Arial" w:hAnsi="Arial"/>
          <w:sz w:val="22"/>
          <w:szCs w:val="22"/>
        </w:rPr>
        <w:t xml:space="preserve">2. SEVERITY BADGE inline after the title. The colored pill (CRITICAL in red, ELEVATED in amber). Plus PRISM pillar tags as small colored dots with pillar letters.</w:t>
      </w:r>
    </w:p>
    <w:p>
      <w:pPr>
        <w:pStyle w:val="ListParagraph"/>
        <w:numPr>
          <w:ilvl w:val="0"/>
          <w:numId w:val="2"/>
        </w:numPr>
        <w:spacing w:after="80"/>
      </w:pPr>
      <w:r>
        <w:rPr>
          <w:rFonts w:ascii="Arial" w:cs="Arial" w:eastAsia="Arial" w:hAnsi="Arial"/>
          <w:sz w:val="22"/>
          <w:szCs w:val="22"/>
        </w:rPr>
        <w:t xml:space="preserve">3. SIX SUBSECTIONS inside the brief, each collapsible on mobile:</w:t>
      </w:r>
    </w:p>
    <w:p>
      <w:pPr>
        <w:spacing w:after="100"/>
      </w:pPr>
      <w:r>
        <w:rPr>
          <w:rFonts w:ascii="Arial" w:cs="Arial" w:eastAsia="Arial" w:hAnsi="Arial"/>
          <w:b/>
          <w:bCs/>
          <w:i w:val="false"/>
          <w:iCs w:val="false"/>
          <w:color w:val="333333"/>
          <w:sz w:val="22"/>
          <w:szCs w:val="22"/>
        </w:rPr>
        <w:t xml:space="preserve">   a. What It Is: </w:t>
      </w:r>
      <w:r>
        <w:rPr>
          <w:rFonts w:ascii="Arial" w:cs="Arial" w:eastAsia="Arial" w:hAnsi="Arial"/>
          <w:b w:val="false"/>
          <w:bCs w:val="false"/>
          <w:i w:val="false"/>
          <w:iCs w:val="false"/>
          <w:color w:val="333333"/>
          <w:sz w:val="22"/>
          <w:szCs w:val="22"/>
        </w:rPr>
        <w:t xml:space="preserve">Description. Editorial body text. Key sentences in white emphasis.</w:t>
      </w:r>
    </w:p>
    <w:p>
      <w:pPr>
        <w:spacing w:after="100"/>
      </w:pPr>
      <w:r>
        <w:rPr>
          <w:rFonts w:ascii="Arial" w:cs="Arial" w:eastAsia="Arial" w:hAnsi="Arial"/>
          <w:b/>
          <w:bCs/>
          <w:i w:val="false"/>
          <w:iCs w:val="false"/>
          <w:color w:val="333333"/>
          <w:sz w:val="22"/>
          <w:szCs w:val="22"/>
        </w:rPr>
        <w:t xml:space="preserve">   b. Why It Is Urgent: </w:t>
      </w:r>
      <w:r>
        <w:rPr>
          <w:rFonts w:ascii="Arial" w:cs="Arial" w:eastAsia="Arial" w:hAnsi="Arial"/>
          <w:b w:val="false"/>
          <w:bCs w:val="false"/>
          <w:i w:val="false"/>
          <w:iCs w:val="false"/>
          <w:color w:val="333333"/>
          <w:sz w:val="22"/>
          <w:szCs w:val="22"/>
        </w:rPr>
        <w:t xml:space="preserve">The urgency argument. Body text.</w:t>
      </w:r>
    </w:p>
    <w:p>
      <w:pPr>
        <w:spacing w:after="100"/>
      </w:pPr>
      <w:r>
        <w:rPr>
          <w:rFonts w:ascii="Arial" w:cs="Arial" w:eastAsia="Arial" w:hAnsi="Arial"/>
          <w:b/>
          <w:bCs/>
          <w:i w:val="false"/>
          <w:iCs w:val="false"/>
          <w:color w:val="333333"/>
          <w:sz w:val="22"/>
          <w:szCs w:val="22"/>
        </w:rPr>
        <w:t xml:space="preserve">   c. What Happens If We Wait: </w:t>
      </w:r>
      <w:r>
        <w:rPr>
          <w:rFonts w:ascii="Arial" w:cs="Arial" w:eastAsia="Arial" w:hAnsi="Arial"/>
          <w:b w:val="false"/>
          <w:bCs w:val="false"/>
          <w:i w:val="false"/>
          <w:iCs w:val="false"/>
          <w:color w:val="333333"/>
          <w:sz w:val="22"/>
          <w:szCs w:val="22"/>
        </w:rPr>
        <w:t xml:space="preserve">Consequences of inaction. Body text with inline emphasis on the most alarming line.</w:t>
      </w:r>
    </w:p>
    <w:p>
      <w:pPr>
        <w:spacing w:after="100"/>
      </w:pPr>
      <w:r>
        <w:rPr>
          <w:rFonts w:ascii="Arial" w:cs="Arial" w:eastAsia="Arial" w:hAnsi="Arial"/>
          <w:b/>
          <w:bCs/>
          <w:i w:val="false"/>
          <w:iCs w:val="false"/>
          <w:color w:val="333333"/>
          <w:sz w:val="22"/>
          <w:szCs w:val="22"/>
        </w:rPr>
        <w:t xml:space="preserve">   d. What Research Would Accomplish: </w:t>
      </w:r>
      <w:r>
        <w:rPr>
          <w:rFonts w:ascii="Arial" w:cs="Arial" w:eastAsia="Arial" w:hAnsi="Arial"/>
          <w:b w:val="false"/>
          <w:bCs w:val="false"/>
          <w:i w:val="false"/>
          <w:iCs w:val="false"/>
          <w:color w:val="333333"/>
          <w:sz w:val="22"/>
          <w:szCs w:val="22"/>
        </w:rPr>
        <w:t xml:space="preserve">Research agenda. Display as a clean list (not bullets, not cards). Each item one line, 16px #E0E0E0, with a small Audacion purple dot.</w:t>
      </w:r>
    </w:p>
    <w:p>
      <w:pPr>
        <w:spacing w:after="100"/>
      </w:pPr>
      <w:r>
        <w:rPr>
          <w:rFonts w:ascii="Arial" w:cs="Arial" w:eastAsia="Arial" w:hAnsi="Arial"/>
          <w:b/>
          <w:bCs/>
          <w:i w:val="false"/>
          <w:iCs w:val="false"/>
          <w:color w:val="333333"/>
          <w:sz w:val="22"/>
          <w:szCs w:val="22"/>
        </w:rPr>
        <w:t xml:space="preserve">   e. What You Can Do: </w:t>
      </w:r>
      <w:r>
        <w:rPr>
          <w:rFonts w:ascii="Arial" w:cs="Arial" w:eastAsia="Arial" w:hAnsi="Arial"/>
          <w:b w:val="false"/>
          <w:bCs w:val="false"/>
          <w:i w:val="false"/>
          <w:iCs w:val="false"/>
          <w:color w:val="333333"/>
          <w:sz w:val="22"/>
          <w:szCs w:val="22"/>
        </w:rPr>
        <w:t xml:space="preserve">Four action paths (Partner, Fund, Use Data, Contribute). Each as a compact block with bold header and one paragraph.</w:t>
      </w:r>
    </w:p>
    <w:p>
      <w:pPr>
        <w:spacing w:after="100"/>
      </w:pPr>
      <w:r>
        <w:rPr>
          <w:rFonts w:ascii="Arial" w:cs="Arial" w:eastAsia="Arial" w:hAnsi="Arial"/>
          <w:b/>
          <w:bCs/>
          <w:i w:val="false"/>
          <w:iCs w:val="false"/>
          <w:color w:val="333333"/>
          <w:sz w:val="22"/>
          <w:szCs w:val="22"/>
        </w:rPr>
        <w:t xml:space="preserve">   f. ACTION BUTTONS: </w:t>
      </w:r>
      <w:r>
        <w:rPr>
          <w:rFonts w:ascii="Arial" w:cs="Arial" w:eastAsia="Arial" w:hAnsi="Arial"/>
          <w:b w:val="false"/>
          <w:bCs w:val="false"/>
          <w:i w:val="false"/>
          <w:iCs w:val="false"/>
          <w:color w:val="333333"/>
          <w:sz w:val="22"/>
          <w:szCs w:val="22"/>
        </w:rPr>
        <w:t xml:space="preserve">Four buttons matching the opening: Partner on This Research, Fund This Investigation, Access Our Data, Start Observing.</w:t>
      </w:r>
    </w:p>
    <w:p>
      <w:pPr>
        <w:spacing w:after="100"/>
      </w:pPr>
      <w:r>
        <w:rPr>
          <w:rFonts w:ascii="Arial" w:cs="Arial" w:eastAsia="Arial" w:hAnsi="Arial"/>
          <w:b w:val="false"/>
          <w:bCs w:val="false"/>
          <w:i w:val="false"/>
          <w:iCs w:val="false"/>
          <w:color w:val="333333"/>
          <w:sz w:val="22"/>
          <w:szCs w:val="22"/>
        </w:rPr>
        <w:t xml:space="preserve"/>
      </w:r>
    </w:p>
    <w:p>
      <w:pPr>
        <w:pStyle w:val="ListParagraph"/>
        <w:numPr>
          <w:ilvl w:val="0"/>
          <w:numId w:val="2"/>
        </w:numPr>
        <w:spacing w:after="80"/>
      </w:pPr>
      <w:r>
        <w:rPr>
          <w:rFonts w:ascii="Arial" w:cs="Arial" w:eastAsia="Arial" w:hAnsi="Arial"/>
          <w:sz w:val="22"/>
          <w:szCs w:val="22"/>
        </w:rPr>
        <w:t xml:space="preserve">On desktop: all subsections visible, creating a long-form brief for each pattern.</w:t>
      </w:r>
    </w:p>
    <w:p>
      <w:pPr>
        <w:pStyle w:val="ListParagraph"/>
        <w:numPr>
          <w:ilvl w:val="0"/>
          <w:numId w:val="2"/>
        </w:numPr>
        <w:spacing w:after="80"/>
      </w:pPr>
      <w:r>
        <w:rPr>
          <w:rFonts w:ascii="Arial" w:cs="Arial" w:eastAsia="Arial" w:hAnsi="Arial"/>
          <w:sz w:val="22"/>
          <w:szCs w:val="22"/>
        </w:rPr>
        <w:t xml:space="preserve">On mobile: subsections a through d collapse into an accordion. Title + severity badge + "What It Is" always visible. The rest expands on tap. Subsection e (What You Can Do) and f (buttons) are always visible below the accordion.</w:t>
      </w:r>
    </w:p>
    <w:p>
      <w:pPr>
        <w:pStyle w:val="ListParagraph"/>
        <w:numPr>
          <w:ilvl w:val="0"/>
          <w:numId w:val="2"/>
        </w:numPr>
        <w:spacing w:after="80"/>
      </w:pPr>
      <w:r>
        <w:rPr>
          <w:rFonts w:ascii="Arial" w:cs="Arial" w:eastAsia="Arial" w:hAnsi="Arial"/>
          <w:sz w:val="22"/>
          <w:szCs w:val="22"/>
        </w:rPr>
        <w:t xml:space="preserve">Between patterns: 80px spacing and a thin horizontal rule in #333333. The visual separation must be clear so the reader knows they have finished one pattern and are entering the next.</w:t>
      </w:r>
    </w:p>
    <w:p>
      <w:r>
        <w:br w:type="page"/>
      </w:r>
    </w:p>
    <w:p>
      <w:pPr>
        <w:pStyle w:val="Heading1"/>
      </w:pPr>
      <w:r>
        <w:rPr>
          <w:rFonts w:ascii="Arial" w:cs="Arial" w:eastAsia="Arial" w:hAnsi="Arial"/>
          <w:b/>
          <w:bCs/>
          <w:color w:val="6C3483"/>
          <w:sz w:val="40"/>
          <w:szCs w:val="40"/>
        </w:rPr>
        <w:t xml:space="preserve">PATTERN 1 SPECIFIC NOTES: Authority Inversion at Scale</w:t>
      </w:r>
    </w:p>
    <w:p>
      <w:pPr>
        <w:spacing w:after="80" w:before="200"/>
      </w:pPr>
      <w:r>
        <w:rPr>
          <w:rFonts w:ascii="Arial" w:cs="Arial" w:eastAsia="Arial" w:hAnsi="Arial"/>
          <w:b/>
          <w:bCs/>
          <w:color w:val="6C3483"/>
          <w:sz w:val="24"/>
          <w:szCs w:val="24"/>
        </w:rPr>
        <w:t xml:space="preserve">SPECIAL VISUAL ELEMENTS</w:t>
      </w:r>
    </w:p>
    <w:p>
      <w:pPr>
        <w:spacing w:after="100"/>
      </w:pPr>
      <w:r>
        <w:rPr>
          <w:rFonts w:ascii="Arial" w:cs="Arial" w:eastAsia="Arial" w:hAnsi="Arial"/>
          <w:b/>
          <w:bCs/>
          <w:i w:val="false"/>
          <w:iCs w:val="false"/>
          <w:color w:val="333333"/>
          <w:sz w:val="22"/>
          <w:szCs w:val="22"/>
        </w:rPr>
        <w:t xml:space="preserve">The Escalation Trajectory: </w:t>
      </w:r>
      <w:r>
        <w:rPr>
          <w:rFonts w:ascii="Arial" w:cs="Arial" w:eastAsia="Arial" w:hAnsi="Arial"/>
          <w:b w:val="false"/>
          <w:bCs w:val="false"/>
          <w:i w:val="false"/>
          <w:iCs w:val="false"/>
          <w:color w:val="333333"/>
          <w:sz w:val="22"/>
          <w:szCs w:val="22"/>
        </w:rPr>
        <w:t xml:space="preserve">Four stages (Now, Emerging, Near Horizon, Trajectory). Display as a VERTICAL PROGRESSION, not a horizontal timeline. Four nodes stacked vertically. Each node: a small circle in escalating color (green for Stage 1, gold for Stage 2, orange for Stage 3, red for Stage 4). Label on the right of each node: stage name and one-line description. A thin connecting line between nodes. This shows the trajectory getting worse over time. Build as SVG, same connected flow pattern from the Research page.</w:t>
      </w:r>
    </w:p>
    <w:p>
      <w:pPr>
        <w:spacing w:after="100"/>
      </w:pPr>
      <w:r>
        <w:rPr>
          <w:rFonts w:ascii="Arial" w:cs="Arial" w:eastAsia="Arial" w:hAnsi="Arial"/>
          <w:b w:val="false"/>
          <w:bCs w:val="false"/>
          <w:i w:val="false"/>
          <w:iCs w:val="false"/>
          <w:color w:val="333333"/>
          <w:sz w:val="22"/>
          <w:szCs w:val="22"/>
        </w:rPr>
        <w:t xml:space="preserve"/>
      </w:r>
    </w:p>
    <w:p>
      <w:pPr>
        <w:spacing w:after="100"/>
      </w:pPr>
      <w:r>
        <w:rPr>
          <w:rFonts w:ascii="Arial" w:cs="Arial" w:eastAsia="Arial" w:hAnsi="Arial"/>
          <w:b/>
          <w:bCs/>
          <w:i w:val="false"/>
          <w:iCs w:val="false"/>
          <w:color w:val="333333"/>
          <w:sz w:val="22"/>
          <w:szCs w:val="22"/>
        </w:rPr>
        <w:t xml:space="preserve">The Human Cost Framework: </w:t>
      </w:r>
      <w:r>
        <w:rPr>
          <w:rFonts w:ascii="Arial" w:cs="Arial" w:eastAsia="Arial" w:hAnsi="Arial"/>
          <w:b w:val="false"/>
          <w:bCs w:val="false"/>
          <w:i w:val="false"/>
          <w:iCs w:val="false"/>
          <w:color w:val="333333"/>
          <w:sz w:val="22"/>
          <w:szCs w:val="22"/>
        </w:rPr>
        <w:t xml:space="preserve">Four cost dimensions. Display as four compact horizontal cards in a row (stacking on mobile). Each card:</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640"/>
      </w:tblGrid>
      <w:tr>
        <w:tc>
          <w:tcPr>
            <w:tcW w:type="dxa" w:w="1800"/>
            <w:tcBorders>
              <w:top w:val="single" w:color="CCCCCC" w:sz="1"/>
              <w:left w:val="single" w:color="CCCCCC" w:sz="1"/>
              <w:bottom w:val="single" w:color="CCCCCC" w:sz="1"/>
              <w:right w:val="single" w:color="CCCCCC" w:sz="1"/>
            </w:tcBorders>
            <w:shd w:fill="6C3483" w:val="clear"/>
            <w:tcMar>
              <w:top w:type="dxa" w:w="120"/>
              <w:left w:type="dxa" w:w="200"/>
              <w:bottom w:type="dxa" w:w="120"/>
              <w:right w:type="dxa" w:w="200"/>
            </w:tcMar>
          </w:tcPr>
          <w:p>
            <w:r>
              <w:rPr>
                <w:rFonts w:ascii="Arial" w:cs="Arial" w:eastAsia="Arial" w:hAnsi="Arial"/>
                <w:b/>
                <w:bCs/>
                <w:color w:val="FFFFFF"/>
                <w:sz w:val="20"/>
                <w:szCs w:val="20"/>
              </w:rPr>
              <w:t xml:space="preserve">Cost</w:t>
            </w:r>
          </w:p>
        </w:tc>
        <w:tc>
          <w:tcPr>
            <w:tcW w:type="dxa" w:w="2400"/>
            <w:tcBorders>
              <w:top w:val="single" w:color="CCCCCC" w:sz="1"/>
              <w:left w:val="single" w:color="CCCCCC" w:sz="1"/>
              <w:bottom w:val="single" w:color="CCCCCC" w:sz="1"/>
              <w:right w:val="single" w:color="CCCCCC" w:sz="1"/>
            </w:tcBorders>
            <w:shd w:fill="6C3483" w:val="clear"/>
            <w:tcMar>
              <w:top w:type="dxa" w:w="120"/>
              <w:left w:type="dxa" w:w="200"/>
              <w:bottom w:type="dxa" w:w="120"/>
              <w:right w:type="dxa" w:w="200"/>
            </w:tcMar>
          </w:tcPr>
          <w:p>
            <w:r>
              <w:rPr>
                <w:rFonts w:ascii="Arial" w:cs="Arial" w:eastAsia="Arial" w:hAnsi="Arial"/>
                <w:b/>
                <w:bCs/>
                <w:color w:val="FFFFFF"/>
                <w:sz w:val="20"/>
                <w:szCs w:val="20"/>
              </w:rPr>
              <w:t xml:space="preserve">Icon/Color</w:t>
            </w:r>
          </w:p>
        </w:tc>
        <w:tc>
          <w:tcPr>
            <w:tcW w:type="dxa" w:w="5640"/>
            <w:tcBorders>
              <w:top w:val="single" w:color="CCCCCC" w:sz="1"/>
              <w:left w:val="single" w:color="CCCCCC" w:sz="1"/>
              <w:bottom w:val="single" w:color="CCCCCC" w:sz="1"/>
              <w:right w:val="single" w:color="CCCCCC" w:sz="1"/>
            </w:tcBorders>
            <w:shd w:fill="6C3483" w:val="clear"/>
            <w:tcMar>
              <w:top w:type="dxa" w:w="120"/>
              <w:left w:type="dxa" w:w="200"/>
              <w:bottom w:type="dxa" w:w="120"/>
              <w:right w:type="dxa" w:w="200"/>
            </w:tcMar>
          </w:tcPr>
          <w:p>
            <w:r>
              <w:rPr>
                <w:rFonts w:ascii="Arial" w:cs="Arial" w:eastAsia="Arial" w:hAnsi="Arial"/>
                <w:b/>
                <w:bCs/>
                <w:color w:val="FFFFFF"/>
                <w:sz w:val="20"/>
                <w:szCs w:val="20"/>
              </w:rPr>
              <w:t xml:space="preserve">Key Stat or Line</w:t>
            </w:r>
          </w:p>
        </w:tc>
      </w:tr>
      <w:tr>
        <w:tc>
          <w:tcPr>
            <w:tcW w:type="dxa" w:w="18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Financial</w:t>
            </w:r>
          </w:p>
        </w:tc>
        <w:tc>
          <w:tcPr>
            <w:tcW w:type="dxa" w:w="24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Red #E74C3C</w:t>
            </w:r>
          </w:p>
        </w:tc>
        <w:tc>
          <w:tcPr>
            <w:tcW w:type="dxa" w:w="56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$67.4 billion in 2024. 486 court cases.</w:t>
            </w:r>
          </w:p>
        </w:tc>
      </w:tr>
      <w:tr>
        <w:tc>
          <w:tcPr>
            <w:tcW w:type="dxa" w:w="18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Emotional</w:t>
            </w:r>
          </w:p>
        </w:tc>
        <w:tc>
          <w:tcPr>
            <w:tcW w:type="dxa" w:w="24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Gold #D4AC0D</w:t>
            </w:r>
          </w:p>
        </w:tc>
        <w:tc>
          <w:tcPr>
            <w:tcW w:type="dxa" w:w="56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Frustration, feeling disbelieved by a machine.</w:t>
            </w:r>
          </w:p>
        </w:tc>
      </w:tr>
      <w:tr>
        <w:tc>
          <w:tcPr>
            <w:tcW w:type="dxa" w:w="18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Time</w:t>
            </w:r>
          </w:p>
        </w:tc>
        <w:tc>
          <w:tcPr>
            <w:tcW w:type="dxa" w:w="24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Blue #2980B9</w:t>
            </w:r>
          </w:p>
        </w:tc>
        <w:tc>
          <w:tcPr>
            <w:tcW w:type="dxa" w:w="56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Hours proving yourself to a system.</w:t>
            </w:r>
          </w:p>
        </w:tc>
      </w:tr>
      <w:tr>
        <w:tc>
          <w:tcPr>
            <w:tcW w:type="dxa" w:w="18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Epistemic</w:t>
            </w:r>
          </w:p>
        </w:tc>
        <w:tc>
          <w:tcPr>
            <w:tcW w:type="dxa" w:w="24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Purple #6C3483</w:t>
            </w:r>
          </w:p>
        </w:tc>
        <w:tc>
          <w:tcPr>
            <w:tcW w:type="dxa" w:w="56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Erosion of confidence in your own knowing.</w:t>
            </w:r>
          </w:p>
        </w:tc>
      </w:tr>
    </w:tbl>
    <w:p>
      <w:pPr>
        <w:pStyle w:val="ListParagraph"/>
        <w:numPr>
          <w:ilvl w:val="0"/>
          <w:numId w:val="2"/>
        </w:numPr>
        <w:spacing w:after="80"/>
      </w:pPr>
      <w:r>
        <w:rPr>
          <w:rFonts w:ascii="Arial" w:cs="Arial" w:eastAsia="Arial" w:hAnsi="Arial"/>
          <w:sz w:val="22"/>
          <w:szCs w:val="22"/>
        </w:rPr>
        <w:t xml:space="preserve">Below the four cards: "The field currently tracks financial cost partially. Emotional, time, and epistemic costs are not systematically measured anywhere." in white, standalone, 18px. This is the gap statement.</w:t>
      </w:r>
    </w:p>
    <w:p>
      <w:pPr>
        <w:pBdr>
          <w:bottom w:val="single" w:color="6C3483" w:sz="4" w:space="1"/>
        </w:pBdr>
        <w:spacing w:after="200" w:before="200"/>
      </w:pPr>
    </w:p>
    <w:p>
      <w:pPr>
        <w:pStyle w:val="Heading1"/>
      </w:pPr>
      <w:r>
        <w:rPr>
          <w:rFonts w:ascii="Arial" w:cs="Arial" w:eastAsia="Arial" w:hAnsi="Arial"/>
          <w:b/>
          <w:bCs/>
          <w:color w:val="6C3483"/>
          <w:sz w:val="40"/>
          <w:szCs w:val="40"/>
        </w:rPr>
        <w:t xml:space="preserve">PATTERNS 2, 3, 4: NOTES</w:t>
      </w:r>
    </w:p>
    <w:p>
      <w:pPr>
        <w:spacing w:after="100"/>
      </w:pPr>
      <w:r>
        <w:rPr>
          <w:rFonts w:ascii="Arial" w:cs="Arial" w:eastAsia="Arial" w:hAnsi="Arial"/>
          <w:b w:val="false"/>
          <w:bCs w:val="false"/>
          <w:i w:val="false"/>
          <w:iCs w:val="false"/>
          <w:color w:val="333333"/>
          <w:sz w:val="22"/>
          <w:szCs w:val="22"/>
        </w:rPr>
        <w:t xml:space="preserve">These follow the same template as Pattern 1. Specific callouts:</w:t>
      </w:r>
    </w:p>
    <w:p>
      <w:pPr>
        <w:spacing w:after="100"/>
      </w:pPr>
      <w:r>
        <w:rPr>
          <w:rFonts w:ascii="Arial" w:cs="Arial" w:eastAsia="Arial" w:hAnsi="Arial"/>
          <w:b w:val="false"/>
          <w:bCs w:val="false"/>
          <w:i w:val="false"/>
          <w:iCs w:val="false"/>
          <w:color w:val="333333"/>
          <w:sz w:val="22"/>
          <w:szCs w:val="22"/>
        </w:rPr>
        <w:t xml:space="preserve"/>
      </w:r>
    </w:p>
    <w:p>
      <w:pPr>
        <w:spacing w:after="100"/>
      </w:pPr>
      <w:r>
        <w:rPr>
          <w:rFonts w:ascii="Arial" w:cs="Arial" w:eastAsia="Arial" w:hAnsi="Arial"/>
          <w:b/>
          <w:bCs/>
          <w:i w:val="false"/>
          <w:iCs w:val="false"/>
          <w:color w:val="333333"/>
          <w:sz w:val="22"/>
          <w:szCs w:val="22"/>
        </w:rPr>
        <w:t xml:space="preserve">Pattern 2 (Emotional Exploitation): </w:t>
      </w:r>
      <w:r>
        <w:rPr>
          <w:rFonts w:ascii="Arial" w:cs="Arial" w:eastAsia="Arial" w:hAnsi="Arial"/>
          <w:b w:val="false"/>
          <w:bCs w:val="false"/>
          <w:i w:val="false"/>
          <w:iCs w:val="false"/>
          <w:color w:val="333333"/>
          <w:sz w:val="22"/>
          <w:szCs w:val="22"/>
        </w:rPr>
        <w:t xml:space="preserve">CRITICAL badge in red. The paragraph about Pennsylvania suing Character.AI (May 2026) should be in white emphasis. This is the most current legal event and makes the urgency concrete.</w:t>
      </w:r>
    </w:p>
    <w:p>
      <w:pPr>
        <w:spacing w:after="100"/>
      </w:pPr>
      <w:r>
        <w:rPr>
          <w:rFonts w:ascii="Arial" w:cs="Arial" w:eastAsia="Arial" w:hAnsi="Arial"/>
          <w:b w:val="false"/>
          <w:bCs w:val="false"/>
          <w:i w:val="false"/>
          <w:iCs w:val="false"/>
          <w:color w:val="333333"/>
          <w:sz w:val="22"/>
          <w:szCs w:val="22"/>
        </w:rPr>
        <w:t xml:space="preserve"/>
      </w:r>
    </w:p>
    <w:p>
      <w:pPr>
        <w:spacing w:after="100"/>
      </w:pPr>
      <w:r>
        <w:rPr>
          <w:rFonts w:ascii="Arial" w:cs="Arial" w:eastAsia="Arial" w:hAnsi="Arial"/>
          <w:b/>
          <w:bCs/>
          <w:i w:val="false"/>
          <w:iCs w:val="false"/>
          <w:color w:val="333333"/>
          <w:sz w:val="22"/>
          <w:szCs w:val="22"/>
        </w:rPr>
        <w:t xml:space="preserve">Pattern 3 (Epistemic Erosion): </w:t>
      </w:r>
      <w:r>
        <w:rPr>
          <w:rFonts w:ascii="Arial" w:cs="Arial" w:eastAsia="Arial" w:hAnsi="Arial"/>
          <w:b w:val="false"/>
          <w:bCs w:val="false"/>
          <w:i w:val="false"/>
          <w:iCs w:val="false"/>
          <w:color w:val="333333"/>
          <w:sz w:val="22"/>
          <w:szCs w:val="22"/>
        </w:rPr>
        <w:t xml:space="preserve">ELEVATED badge in amber. The stat "AI agrees with users 49% more often than other humans do" should be in white emphasis. This is the data point that makes the abstract pattern tangible.</w:t>
      </w:r>
    </w:p>
    <w:p>
      <w:pPr>
        <w:spacing w:after="100"/>
      </w:pPr>
      <w:r>
        <w:rPr>
          <w:rFonts w:ascii="Arial" w:cs="Arial" w:eastAsia="Arial" w:hAnsi="Arial"/>
          <w:b w:val="false"/>
          <w:bCs w:val="false"/>
          <w:i w:val="false"/>
          <w:iCs w:val="false"/>
          <w:color w:val="333333"/>
          <w:sz w:val="22"/>
          <w:szCs w:val="22"/>
        </w:rPr>
        <w:t xml:space="preserve"/>
      </w:r>
    </w:p>
    <w:p>
      <w:pPr>
        <w:spacing w:after="100"/>
      </w:pPr>
      <w:r>
        <w:rPr>
          <w:rFonts w:ascii="Arial" w:cs="Arial" w:eastAsia="Arial" w:hAnsi="Arial"/>
          <w:b/>
          <w:bCs/>
          <w:i w:val="false"/>
          <w:iCs w:val="false"/>
          <w:color w:val="333333"/>
          <w:sz w:val="22"/>
          <w:szCs w:val="22"/>
        </w:rPr>
        <w:t xml:space="preserve">Pattern 4 (Moral Outsourcing): </w:t>
      </w:r>
      <w:r>
        <w:rPr>
          <w:rFonts w:ascii="Arial" w:cs="Arial" w:eastAsia="Arial" w:hAnsi="Arial"/>
          <w:b w:val="false"/>
          <w:bCs w:val="false"/>
          <w:i w:val="false"/>
          <w:iCs w:val="false"/>
          <w:color w:val="333333"/>
          <w:sz w:val="22"/>
          <w:szCs w:val="22"/>
        </w:rPr>
        <w:t xml:space="preserve">ELEVATED badge in amber. The stat "47% of business executives have made decisions based on faulty AI-generated content" in white emphasis.</w:t>
      </w:r>
    </w:p>
    <w:p>
      <w:pPr>
        <w:pBdr>
          <w:bottom w:val="single" w:color="6C3483" w:sz="4" w:space="1"/>
        </w:pBdr>
        <w:spacing w:after="200" w:before="200"/>
      </w:pPr>
    </w:p>
    <w:p>
      <w:pPr>
        <w:pStyle w:val="Heading1"/>
      </w:pPr>
      <w:r>
        <w:rPr>
          <w:rFonts w:ascii="Arial" w:cs="Arial" w:eastAsia="Arial" w:hAnsi="Arial"/>
          <w:b/>
          <w:bCs/>
          <w:color w:val="6C3483"/>
          <w:sz w:val="40"/>
          <w:szCs w:val="40"/>
        </w:rPr>
        <w:t xml:space="preserve">SECTION: MORE PATTERNS UNDER REVIEW</w:t>
      </w:r>
    </w:p>
    <w:p>
      <w:pPr>
        <w:spacing w:after="80" w:before="200"/>
      </w:pPr>
      <w:r>
        <w:rPr>
          <w:rFonts w:ascii="Arial" w:cs="Arial" w:eastAsia="Arial" w:hAnsi="Arial"/>
          <w:b/>
          <w:bCs/>
          <w:color w:val="6C3483"/>
          <w:sz w:val="24"/>
          <w:szCs w:val="24"/>
        </w:rPr>
        <w:t xml:space="preserve">WHAT TO BUILD</w:t>
      </w:r>
    </w:p>
    <w:p>
      <w:pPr>
        <w:pStyle w:val="ListParagraph"/>
        <w:numPr>
          <w:ilvl w:val="0"/>
          <w:numId w:val="2"/>
        </w:numPr>
        <w:spacing w:after="80"/>
      </w:pPr>
      <w:r>
        <w:rPr>
          <w:rFonts w:ascii="Arial" w:cs="Arial" w:eastAsia="Arial" w:hAnsi="Arial"/>
          <w:sz w:val="22"/>
          <w:szCs w:val="22"/>
        </w:rPr>
        <w:t xml:space="preserve">A distinct section below the four main patterns. Slightly different treatment: no severity badge, no full brief. Just titles and one-line descriptions.</w:t>
      </w:r>
    </w:p>
    <w:p>
      <w:pPr>
        <w:pStyle w:val="ListParagraph"/>
        <w:numPr>
          <w:ilvl w:val="0"/>
          <w:numId w:val="2"/>
        </w:numPr>
        <w:spacing w:after="80"/>
      </w:pPr>
      <w:r>
        <w:rPr>
          <w:rFonts w:ascii="Arial" w:cs="Arial" w:eastAsia="Arial" w:hAnsi="Arial"/>
          <w:sz w:val="22"/>
          <w:szCs w:val="22"/>
        </w:rPr>
        <w:t xml:space="preserve">Four items listed as clean text blocks: Oversight Degradation, Emergent Coordination, Training Data Feedback Loops, Asymmetric Intimacy. Each title bold white, 18px. Description at 14px #BDC3C7.</w:t>
      </w:r>
    </w:p>
    <w:p>
      <w:pPr>
        <w:pStyle w:val="ListParagraph"/>
        <w:numPr>
          <w:ilvl w:val="0"/>
          <w:numId w:val="2"/>
        </w:numPr>
        <w:spacing w:after="80"/>
      </w:pPr>
      <w:r>
        <w:rPr>
          <w:rFonts w:ascii="Arial" w:cs="Arial" w:eastAsia="Arial" w:hAnsi="Arial"/>
          <w:sz w:val="22"/>
          <w:szCs w:val="22"/>
        </w:rPr>
        <w:t xml:space="preserve">Closing: "If you are observing a pattern that you believe belongs on this page, contact us." in white.</w:t>
      </w:r>
    </w:p>
    <w:p>
      <w:pPr>
        <w:pStyle w:val="ListParagraph"/>
        <w:numPr>
          <w:ilvl w:val="0"/>
          <w:numId w:val="2"/>
        </w:numPr>
        <w:spacing w:after="80"/>
      </w:pPr>
      <w:r>
        <w:rPr>
          <w:rFonts w:ascii="Arial" w:cs="Arial" w:eastAsia="Arial" w:hAnsi="Arial"/>
          <w:sz w:val="22"/>
          <w:szCs w:val="22"/>
        </w:rPr>
        <w:t xml:space="preserve">Two buttons: "Suggest a Pattern" and "Contact the Research Team".</w:t>
      </w:r>
    </w:p>
    <w:p>
      <w:pPr>
        <w:pBdr>
          <w:bottom w:val="single" w:color="6C3483" w:sz="4" w:space="1"/>
        </w:pBdr>
        <w:spacing w:after="200" w:before="200"/>
      </w:pPr>
    </w:p>
    <w:p>
      <w:pPr>
        <w:pStyle w:val="Heading1"/>
      </w:pPr>
      <w:r>
        <w:rPr>
          <w:rFonts w:ascii="Arial" w:cs="Arial" w:eastAsia="Arial" w:hAnsi="Arial"/>
          <w:b/>
          <w:bCs/>
          <w:color w:val="6C3483"/>
          <w:sz w:val="40"/>
          <w:szCs w:val="40"/>
        </w:rPr>
        <w:t xml:space="preserve">CLOSING: THIS IS WHAT YOU ARE FUNDING</w:t>
      </w:r>
    </w:p>
    <w:p>
      <w:pPr>
        <w:spacing w:after="80" w:before="200"/>
      </w:pPr>
      <w:r>
        <w:rPr>
          <w:rFonts w:ascii="Arial" w:cs="Arial" w:eastAsia="Arial" w:hAnsi="Arial"/>
          <w:b/>
          <w:bCs/>
          <w:color w:val="6C3483"/>
          <w:sz w:val="24"/>
          <w:szCs w:val="24"/>
        </w:rPr>
        <w:t xml:space="preserve">WHAT TO BUILD</w:t>
      </w:r>
    </w:p>
    <w:p>
      <w:pPr>
        <w:pStyle w:val="ListParagraph"/>
        <w:numPr>
          <w:ilvl w:val="0"/>
          <w:numId w:val="2"/>
        </w:numPr>
        <w:spacing w:after="80"/>
      </w:pPr>
      <w:r>
        <w:rPr>
          <w:rFonts w:ascii="Arial" w:cs="Arial" w:eastAsia="Arial" w:hAnsi="Arial"/>
          <w:sz w:val="22"/>
          <w:szCs w:val="22"/>
        </w:rPr>
        <w:t xml:space="preserve">A powerful closing section. Distinct background zone (#1A1A2E or #222222).</w:t>
      </w:r>
    </w:p>
    <w:p>
      <w:pPr>
        <w:pStyle w:val="ListParagraph"/>
        <w:numPr>
          <w:ilvl w:val="0"/>
          <w:numId w:val="2"/>
        </w:numPr>
        <w:spacing w:after="80"/>
      </w:pPr>
      <w:r>
        <w:rPr>
          <w:rFonts w:ascii="Arial" w:cs="Arial" w:eastAsia="Arial" w:hAnsi="Arial"/>
          <w:sz w:val="22"/>
          <w:szCs w:val="22"/>
        </w:rPr>
        <w:t xml:space="preserve">Heading: "This Is What You Are Funding. This Is What You Are Observing." at 24px white bold.</w:t>
      </w:r>
    </w:p>
    <w:p>
      <w:pPr>
        <w:pStyle w:val="ListParagraph"/>
        <w:numPr>
          <w:ilvl w:val="0"/>
          <w:numId w:val="2"/>
        </w:numPr>
        <w:spacing w:after="80"/>
      </w:pPr>
      <w:r>
        <w:rPr>
          <w:rFonts w:ascii="Arial" w:cs="Arial" w:eastAsia="Arial" w:hAnsi="Arial"/>
          <w:sz w:val="22"/>
          <w:szCs w:val="22"/>
        </w:rPr>
        <w:t xml:space="preserve">Opening paragraph from the content. 18px #E0E0E0.</w:t>
      </w:r>
    </w:p>
    <w:p>
      <w:pPr>
        <w:pStyle w:val="ListParagraph"/>
        <w:numPr>
          <w:ilvl w:val="0"/>
          <w:numId w:val="2"/>
        </w:numPr>
        <w:spacing w:after="80"/>
      </w:pPr>
      <w:r>
        <w:rPr>
          <w:rFonts w:ascii="Arial" w:cs="Arial" w:eastAsia="Arial" w:hAnsi="Arial"/>
          <w:sz w:val="22"/>
          <w:szCs w:val="22"/>
        </w:rPr>
        <w:t xml:space="preserve">Four action blocks (Partner, Fund, Use Data, Contribute). Each block: bold white header at 18px, one paragraph at 16px #E0E0E0. These are the same four actions that appear after every pattern, now presented as the final comprehensive call.</w:t>
      </w:r>
    </w:p>
    <w:p>
      <w:pPr>
        <w:pStyle w:val="ListParagraph"/>
        <w:numPr>
          <w:ilvl w:val="0"/>
          <w:numId w:val="2"/>
        </w:numPr>
        <w:spacing w:after="80"/>
      </w:pPr>
      <w:r>
        <w:rPr>
          <w:rFonts w:ascii="Arial" w:cs="Arial" w:eastAsia="Arial" w:hAnsi="Arial"/>
          <w:sz w:val="22"/>
          <w:szCs w:val="22"/>
        </w:rPr>
        <w:t xml:space="preserve">Inline emphasis (white): "We would rather the problem get solved without us than not get solved at all." This is the credibility line. It says: we care about the outcome more than the credit.</w:t>
      </w:r>
    </w:p>
    <w:p>
      <w:pPr>
        <w:pStyle w:val="ListParagraph"/>
        <w:numPr>
          <w:ilvl w:val="0"/>
          <w:numId w:val="2"/>
        </w:numPr>
        <w:spacing w:after="80"/>
      </w:pPr>
      <w:r>
        <w:rPr>
          <w:rFonts w:ascii="Arial" w:cs="Arial" w:eastAsia="Arial" w:hAnsi="Arial"/>
          <w:sz w:val="22"/>
          <w:szCs w:val="22"/>
        </w:rPr>
        <w:t xml:space="preserve">Five final buttons in a row: Partner With Us, Fund the Research, Access the Data, Start Observing, Donate.</w:t>
      </w:r>
    </w:p>
    <w:p>
      <w:pPr>
        <w:pBdr>
          <w:bottom w:val="single" w:color="6C3483" w:sz="4" w:space="1"/>
        </w:pBdr>
        <w:spacing w:after="200" w:before="200"/>
      </w:pPr>
    </w:p>
    <w:p>
      <w:pPr>
        <w:pStyle w:val="Heading1"/>
      </w:pPr>
      <w:r>
        <w:rPr>
          <w:rFonts w:ascii="Arial" w:cs="Arial" w:eastAsia="Arial" w:hAnsi="Arial"/>
          <w:b/>
          <w:bCs/>
          <w:color w:val="6C3483"/>
          <w:sz w:val="40"/>
          <w:szCs w:val="40"/>
        </w:rPr>
        <w:t xml:space="preserve">SOCIAL SHARING METADATA</w:t>
      </w:r>
    </w:p>
    <w:p>
      <w:pPr>
        <w:pStyle w:val="ListParagraph"/>
        <w:numPr>
          <w:ilvl w:val="0"/>
          <w:numId w:val="2"/>
        </w:numPr>
        <w:spacing w:after="80"/>
      </w:pPr>
      <w:r>
        <w:rPr>
          <w:rFonts w:ascii="Arial" w:cs="Arial" w:eastAsia="Arial" w:hAnsi="Arial"/>
          <w:sz w:val="22"/>
          <w:szCs w:val="22"/>
        </w:rPr>
        <w:t xml:space="preserve">This page gets its own og:image and descriptions. Tell Replit:</w:t>
      </w:r>
    </w:p>
    <w:p>
      <w:pPr>
        <w:pStyle w:val="ListParagraph"/>
        <w:numPr>
          <w:ilvl w:val="0"/>
          <w:numId w:val="2"/>
        </w:numPr>
        <w:spacing w:after="80"/>
      </w:pPr>
      <w:r>
        <w:rPr>
          <w:rFonts w:ascii="Arial" w:cs="Arial" w:eastAsia="Arial" w:hAnsi="Arial"/>
          <w:sz w:val="22"/>
          <w:szCs w:val="22"/>
        </w:rPr>
        <w:t xml:space="preserve">og:title: "What Cannot Wait | Audacion AI Labs"</w:t>
      </w:r>
    </w:p>
    <w:p>
      <w:pPr>
        <w:pStyle w:val="ListParagraph"/>
        <w:numPr>
          <w:ilvl w:val="0"/>
          <w:numId w:val="2"/>
        </w:numPr>
        <w:spacing w:after="80"/>
      </w:pPr>
      <w:r>
        <w:rPr>
          <w:rFonts w:ascii="Arial" w:cs="Arial" w:eastAsia="Arial" w:hAnsi="Arial"/>
          <w:sz w:val="22"/>
          <w:szCs w:val="22"/>
        </w:rPr>
        <w:t xml:space="preserve">og:description: "Four critical AI safety patterns where the cost of waiting is highest. Authority inversion. Emotional exploitation. Epistemic erosion. Moral outsourcing. The data is here. The window is closing."</w:t>
      </w:r>
    </w:p>
    <w:p>
      <w:pPr>
        <w:pStyle w:val="ListParagraph"/>
        <w:numPr>
          <w:ilvl w:val="0"/>
          <w:numId w:val="2"/>
        </w:numPr>
        <w:spacing w:after="80"/>
      </w:pPr>
      <w:r>
        <w:rPr>
          <w:rFonts w:ascii="Arial" w:cs="Arial" w:eastAsia="Arial" w:hAnsi="Arial"/>
          <w:sz w:val="22"/>
          <w:szCs w:val="22"/>
        </w:rPr>
        <w:t xml:space="preserve">og:image: create a simple graphic (dark background, white text, "What Cannot Wait" in large type, Audacion logo, severity badges). This image should compel a click when shared on LinkedIn, Twitter, or Slack.</w:t>
      </w:r>
    </w:p>
    <w:p>
      <w:r>
        <w:br w:type="page"/>
      </w:r>
    </w:p>
    <w:p>
      <w:pPr>
        <w:pStyle w:val="Heading1"/>
      </w:pPr>
      <w:r>
        <w:rPr>
          <w:rFonts w:ascii="Arial" w:cs="Arial" w:eastAsia="Arial" w:hAnsi="Arial"/>
          <w:b/>
          <w:bCs/>
          <w:color w:val="6C3483"/>
          <w:sz w:val="40"/>
          <w:szCs w:val="40"/>
        </w:rPr>
        <w:t xml:space="preserve">PAGE VISUAL RHYTHM</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3040"/>
      </w:tblGrid>
      <w:tr>
        <w:tc>
          <w:tcPr>
            <w:tcW w:type="dxa" w:w="2600"/>
            <w:tcBorders>
              <w:top w:val="single" w:color="CCCCCC" w:sz="1"/>
              <w:left w:val="single" w:color="CCCCCC" w:sz="1"/>
              <w:bottom w:val="single" w:color="CCCCCC" w:sz="1"/>
              <w:right w:val="single" w:color="CCCCCC" w:sz="1"/>
            </w:tcBorders>
            <w:shd w:fill="6C3483" w:val="clear"/>
            <w:tcMar>
              <w:top w:type="dxa" w:w="120"/>
              <w:left w:type="dxa" w:w="200"/>
              <w:bottom w:type="dxa" w:w="120"/>
              <w:right w:type="dxa" w:w="200"/>
            </w:tcMar>
          </w:tcPr>
          <w:p>
            <w:r>
              <w:rPr>
                <w:rFonts w:ascii="Arial" w:cs="Arial" w:eastAsia="Arial" w:hAnsi="Arial"/>
                <w:b/>
                <w:bCs/>
                <w:color w:val="FFFFFF"/>
                <w:sz w:val="20"/>
                <w:szCs w:val="20"/>
              </w:rPr>
              <w:t xml:space="preserve">Section</w:t>
            </w:r>
          </w:p>
        </w:tc>
        <w:tc>
          <w:tcPr>
            <w:tcW w:type="dxa" w:w="4200"/>
            <w:tcBorders>
              <w:top w:val="single" w:color="CCCCCC" w:sz="1"/>
              <w:left w:val="single" w:color="CCCCCC" w:sz="1"/>
              <w:bottom w:val="single" w:color="CCCCCC" w:sz="1"/>
              <w:right w:val="single" w:color="CCCCCC" w:sz="1"/>
            </w:tcBorders>
            <w:shd w:fill="6C3483" w:val="clear"/>
            <w:tcMar>
              <w:top w:type="dxa" w:w="120"/>
              <w:left w:type="dxa" w:w="200"/>
              <w:bottom w:type="dxa" w:w="120"/>
              <w:right w:type="dxa" w:w="200"/>
            </w:tcMar>
          </w:tcPr>
          <w:p>
            <w:r>
              <w:rPr>
                <w:rFonts w:ascii="Arial" w:cs="Arial" w:eastAsia="Arial" w:hAnsi="Arial"/>
                <w:b/>
                <w:bCs/>
                <w:color w:val="FFFFFF"/>
                <w:sz w:val="20"/>
                <w:szCs w:val="20"/>
              </w:rPr>
              <w:t xml:space="preserve">Layout</w:t>
            </w:r>
          </w:p>
        </w:tc>
        <w:tc>
          <w:tcPr>
            <w:tcW w:type="dxa" w:w="3040"/>
            <w:tcBorders>
              <w:top w:val="single" w:color="CCCCCC" w:sz="1"/>
              <w:left w:val="single" w:color="CCCCCC" w:sz="1"/>
              <w:bottom w:val="single" w:color="CCCCCC" w:sz="1"/>
              <w:right w:val="single" w:color="CCCCCC" w:sz="1"/>
            </w:tcBorders>
            <w:shd w:fill="6C3483" w:val="clear"/>
            <w:tcMar>
              <w:top w:type="dxa" w:w="120"/>
              <w:left w:type="dxa" w:w="200"/>
              <w:bottom w:type="dxa" w:w="120"/>
              <w:right w:type="dxa" w:w="200"/>
            </w:tcMar>
          </w:tcPr>
          <w:p>
            <w:r>
              <w:rPr>
                <w:rFonts w:ascii="Arial" w:cs="Arial" w:eastAsia="Arial" w:hAnsi="Arial"/>
                <w:b/>
                <w:bCs/>
                <w:color w:val="FFFFFF"/>
                <w:sz w:val="20"/>
                <w:szCs w:val="20"/>
              </w:rPr>
              <w:t xml:space="preserve">Energy</w:t>
            </w:r>
          </w:p>
        </w:tc>
      </w:tr>
      <w:tr>
        <w:tc>
          <w:tcPr>
            <w:tcW w:type="dxa" w:w="26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1. Opening</w:t>
            </w:r>
          </w:p>
        </w:tc>
        <w:tc>
          <w:tcPr>
            <w:tcW w:type="dxa" w:w="42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Headline + editorial text + 4 buttons</w:t>
            </w:r>
          </w:p>
        </w:tc>
        <w:tc>
          <w:tcPr>
            <w:tcW w:type="dxa" w:w="30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Grounded urgency</w:t>
            </w:r>
          </w:p>
        </w:tc>
      </w:tr>
      <w:tr>
        <w:tc>
          <w:tcPr>
            <w:tcW w:type="dxa" w:w="26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2. Classification</w:t>
            </w:r>
          </w:p>
        </w:tc>
        <w:tc>
          <w:tcPr>
            <w:tcW w:type="dxa" w:w="42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Three severity badges with definitions</w:t>
            </w:r>
          </w:p>
        </w:tc>
        <w:tc>
          <w:tcPr>
            <w:tcW w:type="dxa" w:w="30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Framework, orientation</w:t>
            </w:r>
          </w:p>
        </w:tc>
      </w:tr>
      <w:tr>
        <w:tc>
          <w:tcPr>
            <w:tcW w:type="dxa" w:w="26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3. Pattern 1 (CRITICAL)</w:t>
            </w:r>
          </w:p>
        </w:tc>
        <w:tc>
          <w:tcPr>
            <w:tcW w:type="dxa" w:w="42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Full brief with escalation visual + cost framework cards</w:t>
            </w:r>
          </w:p>
        </w:tc>
        <w:tc>
          <w:tcPr>
            <w:tcW w:type="dxa" w:w="30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Detailed, alarming, evidence-based</w:t>
            </w:r>
          </w:p>
        </w:tc>
      </w:tr>
      <w:tr>
        <w:tc>
          <w:tcPr>
            <w:tcW w:type="dxa" w:w="26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4. Pattern 2 (CRITICAL)</w:t>
            </w:r>
          </w:p>
        </w:tc>
        <w:tc>
          <w:tcPr>
            <w:tcW w:type="dxa" w:w="42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Full brief, same template</w:t>
            </w:r>
          </w:p>
        </w:tc>
        <w:tc>
          <w:tcPr>
            <w:tcW w:type="dxa" w:w="30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Emotional, legal, current</w:t>
            </w:r>
          </w:p>
        </w:tc>
      </w:tr>
      <w:tr>
        <w:tc>
          <w:tcPr>
            <w:tcW w:type="dxa" w:w="26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5. Pattern 3 (ELEVATED)</w:t>
            </w:r>
          </w:p>
        </w:tc>
        <w:tc>
          <w:tcPr>
            <w:tcW w:type="dxa" w:w="42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Full brief, same template</w:t>
            </w:r>
          </w:p>
        </w:tc>
        <w:tc>
          <w:tcPr>
            <w:tcW w:type="dxa" w:w="30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Subtle, cumulative, population-scale</w:t>
            </w:r>
          </w:p>
        </w:tc>
      </w:tr>
      <w:tr>
        <w:tc>
          <w:tcPr>
            <w:tcW w:type="dxa" w:w="26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6. Pattern 4 (ELEVATED)</w:t>
            </w:r>
          </w:p>
        </w:tc>
        <w:tc>
          <w:tcPr>
            <w:tcW w:type="dxa" w:w="42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Full brief, same template</w:t>
            </w:r>
          </w:p>
        </w:tc>
        <w:tc>
          <w:tcPr>
            <w:tcW w:type="dxa" w:w="30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Developmental, generational</w:t>
            </w:r>
          </w:p>
        </w:tc>
      </w:tr>
      <w:tr>
        <w:tc>
          <w:tcPr>
            <w:tcW w:type="dxa" w:w="26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7. More Patterns</w:t>
            </w:r>
          </w:p>
        </w:tc>
        <w:tc>
          <w:tcPr>
            <w:tcW w:type="dxa" w:w="42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Four titles with one-line descriptions</w:t>
            </w:r>
          </w:p>
        </w:tc>
        <w:tc>
          <w:tcPr>
            <w:tcW w:type="dxa" w:w="30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Forward-looking, alive</w:t>
            </w:r>
          </w:p>
        </w:tc>
      </w:tr>
      <w:tr>
        <w:tc>
          <w:tcPr>
            <w:tcW w:type="dxa" w:w="26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8. Closing</w:t>
            </w:r>
          </w:p>
        </w:tc>
        <w:tc>
          <w:tcPr>
            <w:tcW w:type="dxa" w:w="42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Distinct zone, four action blocks, 5 buttons</w:t>
            </w:r>
          </w:p>
        </w:tc>
        <w:tc>
          <w:tcPr>
            <w:tcW w:type="dxa" w:w="30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Call to arms</w:t>
            </w:r>
          </w:p>
        </w:tc>
      </w:tr>
    </w:tbl>
    <w:p>
      <w:pPr>
        <w:pBdr>
          <w:bottom w:val="single" w:color="6C3483" w:sz="4" w:space="1"/>
        </w:pBdr>
        <w:spacing w:after="200" w:before="200"/>
      </w:pPr>
    </w:p>
    <w:p>
      <w:pPr>
        <w:spacing w:after="80" w:before="200"/>
      </w:pPr>
      <w:r>
        <w:rPr>
          <w:rFonts w:ascii="Arial" w:cs="Arial" w:eastAsia="Arial" w:hAnsi="Arial"/>
          <w:b/>
          <w:bCs/>
          <w:color w:val="C0392B"/>
          <w:sz w:val="24"/>
          <w:szCs w:val="24"/>
        </w:rPr>
        <w:t xml:space="preserve">WHAT NOT TO DO</w:t>
      </w:r>
    </w:p>
    <w:p>
      <w:pPr>
        <w:pStyle w:val="ListParagraph"/>
        <w:numPr>
          <w:ilvl w:val="0"/>
          <w:numId w:val="2"/>
        </w:numPr>
        <w:spacing w:after="80"/>
      </w:pPr>
      <w:r>
        <w:rPr>
          <w:rFonts w:ascii="Arial" w:cs="Arial" w:eastAsia="Arial" w:hAnsi="Arial"/>
          <w:sz w:val="22"/>
          <w:szCs w:val="22"/>
        </w:rPr>
        <w:t xml:space="preserve">Do NOT make this page alarmist. The tone is grounded, evidence-based, and urgent. Not panicked. Not sensational. The data speaks. Let it.</w:t>
      </w:r>
    </w:p>
    <w:p>
      <w:pPr>
        <w:pStyle w:val="ListParagraph"/>
        <w:numPr>
          <w:ilvl w:val="0"/>
          <w:numId w:val="2"/>
        </w:numPr>
        <w:spacing w:after="80"/>
      </w:pPr>
      <w:r>
        <w:rPr>
          <w:rFonts w:ascii="Arial" w:cs="Arial" w:eastAsia="Arial" w:hAnsi="Arial"/>
          <w:sz w:val="22"/>
          <w:szCs w:val="22"/>
        </w:rPr>
        <w:t xml:space="preserve">Do NOT collapse the pattern briefs by default on desktop. On desktop, the full briefs should be readable. On mobile, collapse subsections b through d.</w:t>
      </w:r>
    </w:p>
    <w:p>
      <w:pPr>
        <w:pStyle w:val="ListParagraph"/>
        <w:numPr>
          <w:ilvl w:val="0"/>
          <w:numId w:val="2"/>
        </w:numPr>
        <w:spacing w:after="80"/>
      </w:pPr>
      <w:r>
        <w:rPr>
          <w:rFonts w:ascii="Arial" w:cs="Arial" w:eastAsia="Arial" w:hAnsi="Arial"/>
          <w:sz w:val="22"/>
          <w:szCs w:val="22"/>
        </w:rPr>
        <w:t xml:space="preserve">Do NOT use generic AI imagery or stock photos. No images on this page. The text, the severity badges, the escalation visual, and the cost framework cards are the visuals.</w:t>
      </w:r>
    </w:p>
    <w:p>
      <w:pPr>
        <w:pStyle w:val="ListParagraph"/>
        <w:numPr>
          <w:ilvl w:val="0"/>
          <w:numId w:val="2"/>
        </w:numPr>
        <w:spacing w:after="80"/>
      </w:pPr>
      <w:r>
        <w:rPr>
          <w:rFonts w:ascii="Arial" w:cs="Arial" w:eastAsia="Arial" w:hAnsi="Arial"/>
          <w:sz w:val="22"/>
          <w:szCs w:val="22"/>
        </w:rPr>
        <w:t xml:space="preserve">Do NOT skip the action buttons after each pattern. A reader who is convinced by Pattern 1 should be able to act immediately without scrolling through Patterns 2, 3, and 4.</w:t>
      </w:r>
    </w:p>
    <w:p>
      <w:pPr>
        <w:pStyle w:val="ListParagraph"/>
        <w:numPr>
          <w:ilvl w:val="0"/>
          <w:numId w:val="2"/>
        </w:numPr>
        <w:spacing w:after="80"/>
      </w:pPr>
      <w:r>
        <w:rPr>
          <w:rFonts w:ascii="Arial" w:cs="Arial" w:eastAsia="Arial" w:hAnsi="Arial"/>
          <w:sz w:val="22"/>
          <w:szCs w:val="22"/>
        </w:rPr>
        <w:t xml:space="preserve">Do NOT make the severity badges small or subtle. CRITICAL in bright red and ELEVATED in amber should be the first thing the eye catches on each pattern brief. 14px uppercase bold text on saturated background. They are warning labels.</w:t>
      </w:r>
    </w:p>
    <w:p>
      <w:pPr>
        <w:pStyle w:val="ListParagraph"/>
        <w:numPr>
          <w:ilvl w:val="0"/>
          <w:numId w:val="2"/>
        </w:numPr>
        <w:spacing w:after="80"/>
      </w:pPr>
      <w:r>
        <w:rPr>
          <w:rFonts w:ascii="Arial" w:cs="Arial" w:eastAsia="Arial" w:hAnsi="Arial"/>
          <w:sz w:val="22"/>
          <w:szCs w:val="22"/>
        </w:rPr>
        <w:t xml:space="preserve">Do NOT minimize the "What Happens If We Wait" subsections. These are the urgency arguments. They need inline emphasis on the most alarming sentences.</w:t>
      </w:r>
    </w:p>
    <w:p>
      <w:pPr>
        <w:pBdr>
          <w:bottom w:val="single" w:color="6C3483" w:sz="4" w:space="1"/>
        </w:pBdr>
        <w:spacing w:after="200" w:before="200"/>
      </w:pPr>
    </w:p>
    <w:p>
      <w:pPr>
        <w:spacing w:after="100"/>
      </w:pPr>
      <w:r>
        <w:rPr>
          <w:rFonts w:ascii="Arial" w:cs="Arial" w:eastAsia="Arial" w:hAnsi="Arial"/>
          <w:b/>
          <w:bCs/>
          <w:i w:val="false"/>
          <w:iCs w:val="false"/>
          <w:color w:val="6C3483"/>
          <w:sz w:val="24"/>
          <w:szCs w:val="24"/>
        </w:rPr>
        <w:t xml:space="preserve">End of What Cannot Wait page design instructions.</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6C3483"/>
      <w:sz w:val="40"/>
      <w:szCs w:val="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2026-05-23T02:41:57.880Z</dcterms:created>
  <dcterms:modified xsi:type="dcterms:W3CDTF">2026-05-23T02:41:57.892Z</dcterms:modified>
</cp:coreProperties>
</file>

<file path=docProps/custom.xml><?xml version="1.0" encoding="utf-8"?>
<Properties xmlns="http://schemas.openxmlformats.org/officeDocument/2006/custom-properties" xmlns:vt="http://schemas.openxmlformats.org/officeDocument/2006/docPropsVTypes"/>
</file>