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center"/>
      </w:pPr>
      <w:r>
        <w:rPr>
          <w:rFonts w:ascii="Arial" w:cs="Arial" w:eastAsia="Arial" w:hAnsi="Arial"/>
          <w:b/>
          <w:bCs/>
          <w:color w:val="4A1D96"/>
          <w:sz w:val="36"/>
          <w:szCs w:val="36"/>
        </w:rPr>
        <w:t xml:space="preserve">AUDACION AI LABS PBC</w:t>
      </w:r>
    </w:p>
    <w:p>
      <w:pPr>
        <w:spacing w:after="200" w:line="276"/>
        <w:jc w:val="center"/>
      </w:pPr>
      <w:r>
        <w:rPr>
          <w:rFonts w:ascii="Arial" w:cs="Arial" w:eastAsia="Arial" w:hAnsi="Arial"/>
          <w:b/>
          <w:bCs/>
          <w:color w:val="1A1A2E"/>
          <w:sz w:val="32"/>
          <w:szCs w:val="32"/>
        </w:rPr>
        <w:t xml:space="preserve">2026 EQUITY INCENTIVE PLAN</w:t>
      </w:r>
    </w:p>
    <w:p>
      <w:pPr>
        <w:pBdr>
          <w:bottom w:val="single" w:color="4A1D96" w:sz="6" w:space="1"/>
        </w:pBdr>
        <w:spacing w:after="300" w:line="276"/>
      </w:pPr>
    </w:p>
    <w:p>
      <w:pPr>
        <w:spacing w:after="200" w:line="276"/>
      </w:pPr>
      <w:r>
        <w:rPr>
          <w:rFonts w:ascii="Arial" w:cs="Arial" w:eastAsia="Arial" w:hAnsi="Arial"/>
          <w:i/>
          <w:iCs/>
          <w:color w:val="555555"/>
          <w:sz w:val="22"/>
          <w:szCs w:val="22"/>
        </w:rPr>
        <w:t xml:space="preserve">LEGAL DISCLAIMER: This is a template. Equity incentive plans have significant tax and securities law implications. Have a qualified attorney and tax advisor review and customize this plan before adoption. Nothing in this document constitutes legal or tax advice.</w:t>
      </w:r>
    </w:p>
    <w:p>
      <w:pPr>
        <w:spacing w:after="100"/>
      </w:pPr>
    </w:p>
    <w:p>
      <w:pPr>
        <w:pStyle w:val="Heading1"/>
        <w:spacing w:after="120" w:line="276"/>
      </w:pPr>
      <w:r>
        <w:rPr>
          <w:rFonts w:ascii="Arial" w:cs="Arial" w:eastAsia="Arial" w:hAnsi="Arial"/>
          <w:b/>
          <w:bCs/>
          <w:color w:val="4A1D96"/>
          <w:sz w:val="28"/>
          <w:szCs w:val="28"/>
        </w:rPr>
        <w:t xml:space="preserve">1. Purpose</w:t>
      </w:r>
    </w:p>
    <w:p>
      <w:pPr>
        <w:spacing w:after="200" w:line="276"/>
      </w:pPr>
      <w:r>
        <w:rPr>
          <w:rFonts w:ascii="Arial" w:cs="Arial" w:eastAsia="Arial" w:hAnsi="Arial"/>
          <w:color w:val="1A1A2E"/>
          <w:sz w:val="22"/>
          <w:szCs w:val="22"/>
        </w:rPr>
        <w:t xml:space="preserve">The Audacion AI Labs PBC 2026 Equity Incentive Plan (the "Plan") is established to attract, retain, and motivate employees, consultants, and advisors who contribute to the success of Audacion AI Labs PBC, a Delaware Public Benefit Corporation (the "Company"), by providing them with the opportunity to acquire equity ownership in the Company.</w:t>
      </w:r>
    </w:p>
    <w:p>
      <w:pPr>
        <w:spacing w:after="100"/>
      </w:pPr>
    </w:p>
    <w:p>
      <w:pPr>
        <w:pStyle w:val="Heading1"/>
        <w:spacing w:after="120" w:line="276"/>
      </w:pPr>
      <w:r>
        <w:rPr>
          <w:rFonts w:ascii="Arial" w:cs="Arial" w:eastAsia="Arial" w:hAnsi="Arial"/>
          <w:b/>
          <w:bCs/>
          <w:color w:val="4A1D96"/>
          <w:sz w:val="28"/>
          <w:szCs w:val="28"/>
        </w:rPr>
        <w:t xml:space="preserve">2. Shares Reserved</w:t>
      </w:r>
    </w:p>
    <w:p>
      <w:pPr>
        <w:spacing w:after="200" w:line="276"/>
      </w:pPr>
      <w:r>
        <w:rPr>
          <w:rFonts w:ascii="Arial" w:cs="Arial" w:eastAsia="Arial" w:hAnsi="Arial"/>
          <w:b/>
          <w:bCs/>
          <w:color w:val="1A1A2E"/>
          <w:sz w:val="22"/>
          <w:szCs w:val="22"/>
        </w:rPr>
        <w:t xml:space="preserve">2.1 Pool Size. </w:t>
      </w:r>
      <w:r>
        <w:rPr>
          <w:rFonts w:ascii="Arial" w:cs="Arial" w:eastAsia="Arial" w:hAnsi="Arial"/>
          <w:color w:val="1A1A2E"/>
          <w:sz w:val="22"/>
          <w:szCs w:val="22"/>
        </w:rPr>
        <w:t xml:space="preserve">The Company has reserved a total of 1,000,000 shares of Common Stock (the "Pool") for issuance under this Plan, representing 10% of the Company's total authorized shares of 10,000,000.</w:t>
      </w:r>
    </w:p>
    <w:p>
      <w:pPr>
        <w:spacing w:after="200" w:line="276"/>
      </w:pPr>
      <w:r>
        <w:rPr>
          <w:rFonts w:ascii="Arial" w:cs="Arial" w:eastAsia="Arial" w:hAnsi="Arial"/>
          <w:b/>
          <w:bCs/>
          <w:color w:val="1A1A2E"/>
          <w:sz w:val="22"/>
          <w:szCs w:val="22"/>
        </w:rPr>
        <w:t xml:space="preserve">2.2 Source of Shares. </w:t>
      </w:r>
      <w:r>
        <w:rPr>
          <w:rFonts w:ascii="Arial" w:cs="Arial" w:eastAsia="Arial" w:hAnsi="Arial"/>
          <w:color w:val="1A1A2E"/>
          <w:sz w:val="22"/>
          <w:szCs w:val="22"/>
        </w:rPr>
        <w:t xml:space="preserve">Shares issued under this Plan come from the Company's authorized but unissued shares. No shares shall be issued from the Founder's existing holdings without the Founder's express written consent.</w:t>
      </w:r>
    </w:p>
    <w:p>
      <w:pPr>
        <w:spacing w:after="200" w:line="276"/>
      </w:pPr>
      <w:r>
        <w:rPr>
          <w:rFonts w:ascii="Arial" w:cs="Arial" w:eastAsia="Arial" w:hAnsi="Arial"/>
          <w:b/>
          <w:bCs/>
          <w:color w:val="1A1A2E"/>
          <w:sz w:val="22"/>
          <w:szCs w:val="22"/>
        </w:rPr>
        <w:t xml:space="preserve">2.3 Recycling. </w:t>
      </w:r>
      <w:r>
        <w:rPr>
          <w:rFonts w:ascii="Arial" w:cs="Arial" w:eastAsia="Arial" w:hAnsi="Arial"/>
          <w:color w:val="1A1A2E"/>
          <w:sz w:val="22"/>
          <w:szCs w:val="22"/>
        </w:rPr>
        <w:t xml:space="preserve">If any option granted under this Plan expires unexercised, is forfeited, or is cancelled, the shares subject to such option shall be returned to the Pool and become available for future grants.</w:t>
      </w:r>
    </w:p>
    <w:p>
      <w:pPr>
        <w:spacing w:after="200" w:line="276"/>
      </w:pPr>
      <w:r>
        <w:rPr>
          <w:rFonts w:ascii="Arial" w:cs="Arial" w:eastAsia="Arial" w:hAnsi="Arial"/>
          <w:b/>
          <w:bCs/>
          <w:color w:val="1A1A2E"/>
          <w:sz w:val="22"/>
          <w:szCs w:val="22"/>
        </w:rPr>
        <w:t xml:space="preserve">2.4 Adjustment. </w:t>
      </w:r>
      <w:r>
        <w:rPr>
          <w:rFonts w:ascii="Arial" w:cs="Arial" w:eastAsia="Arial" w:hAnsi="Arial"/>
          <w:color w:val="1A1A2E"/>
          <w:sz w:val="22"/>
          <w:szCs w:val="22"/>
        </w:rPr>
        <w:t xml:space="preserve">In the event of a stock split, reverse stock split, recapitalization, or similar event, the Board shall proportionally adjust the number of shares reserved under the Plan and the terms of outstanding options.</w:t>
      </w:r>
    </w:p>
    <w:p>
      <w:pPr>
        <w:spacing w:after="100"/>
      </w:pPr>
    </w:p>
    <w:p>
      <w:pPr>
        <w:pStyle w:val="Heading1"/>
        <w:spacing w:after="120" w:line="276"/>
      </w:pPr>
      <w:r>
        <w:rPr>
          <w:rFonts w:ascii="Arial" w:cs="Arial" w:eastAsia="Arial" w:hAnsi="Arial"/>
          <w:b/>
          <w:bCs/>
          <w:color w:val="4A1D96"/>
          <w:sz w:val="28"/>
          <w:szCs w:val="28"/>
        </w:rPr>
        <w:t xml:space="preserve">3. Administration</w:t>
      </w:r>
    </w:p>
    <w:p>
      <w:pPr>
        <w:spacing w:after="200" w:line="276"/>
      </w:pPr>
      <w:r>
        <w:rPr>
          <w:rFonts w:ascii="Arial" w:cs="Arial" w:eastAsia="Arial" w:hAnsi="Arial"/>
          <w:b/>
          <w:bCs/>
          <w:color w:val="1A1A2E"/>
          <w:sz w:val="22"/>
          <w:szCs w:val="22"/>
        </w:rPr>
        <w:t xml:space="preserve">3.1 Administrator. </w:t>
      </w:r>
      <w:r>
        <w:rPr>
          <w:rFonts w:ascii="Arial" w:cs="Arial" w:eastAsia="Arial" w:hAnsi="Arial"/>
          <w:color w:val="1A1A2E"/>
          <w:sz w:val="22"/>
          <w:szCs w:val="22"/>
        </w:rPr>
        <w:t xml:space="preserve">The Plan shall be administered by the Board of Directors (the "Administrator"). The Administrator has full authority to interpret the Plan, determine eligibility, set terms and conditions of grants, and make all decisions necessary for Plan administration.</w:t>
      </w:r>
    </w:p>
    <w:p>
      <w:pPr>
        <w:spacing w:after="200" w:line="276"/>
      </w:pPr>
      <w:r>
        <w:rPr>
          <w:rFonts w:ascii="Arial" w:cs="Arial" w:eastAsia="Arial" w:hAnsi="Arial"/>
          <w:b/>
          <w:bCs/>
          <w:color w:val="1A1A2E"/>
          <w:sz w:val="22"/>
          <w:szCs w:val="22"/>
        </w:rPr>
        <w:t xml:space="preserve">3.2 Delegation. </w:t>
      </w:r>
      <w:r>
        <w:rPr>
          <w:rFonts w:ascii="Arial" w:cs="Arial" w:eastAsia="Arial" w:hAnsi="Arial"/>
          <w:color w:val="1A1A2E"/>
          <w:sz w:val="22"/>
          <w:szCs w:val="22"/>
        </w:rPr>
        <w:t xml:space="preserve">The Administrator may delegate day-to-day administrative functions to officers of the Company, but may not delegate the authority to grant options or determine the material terms of grants.</w:t>
      </w:r>
    </w:p>
    <w:p>
      <w:pPr>
        <w:spacing w:after="100"/>
      </w:pPr>
    </w:p>
    <w:p>
      <w:pPr>
        <w:pStyle w:val="Heading1"/>
        <w:spacing w:after="120" w:line="276"/>
      </w:pPr>
      <w:r>
        <w:rPr>
          <w:rFonts w:ascii="Arial" w:cs="Arial" w:eastAsia="Arial" w:hAnsi="Arial"/>
          <w:b/>
          <w:bCs/>
          <w:color w:val="4A1D96"/>
          <w:sz w:val="28"/>
          <w:szCs w:val="28"/>
        </w:rPr>
        <w:t xml:space="preserve">4. Eligibility</w:t>
      </w:r>
    </w:p>
    <w:p>
      <w:pPr>
        <w:spacing w:after="200" w:line="276"/>
      </w:pPr>
      <w:r>
        <w:rPr>
          <w:rFonts w:ascii="Arial" w:cs="Arial" w:eastAsia="Arial" w:hAnsi="Arial"/>
          <w:color w:val="1A1A2E"/>
          <w:sz w:val="22"/>
          <w:szCs w:val="22"/>
        </w:rPr>
        <w:t xml:space="preserve">The following individuals are eligible to receive grants under this Plan:</w:t>
      </w:r>
    </w:p>
    <w:p>
      <w:pPr>
        <w:pStyle w:val="ListParagraph"/>
        <w:numPr>
          <w:ilvl w:val="0"/>
          <w:numId w:val="2"/>
        </w:numPr>
        <w:spacing w:after="100" w:line="276"/>
      </w:pPr>
      <w:r>
        <w:rPr>
          <w:rFonts w:ascii="Arial" w:cs="Arial" w:eastAsia="Arial" w:hAnsi="Arial"/>
          <w:color w:val="1A1A2E"/>
          <w:sz w:val="22"/>
          <w:szCs w:val="22"/>
        </w:rPr>
        <w:t xml:space="preserve">Employees of the Company (full-time and part-time)</w:t>
      </w:r>
    </w:p>
    <w:p>
      <w:pPr>
        <w:pStyle w:val="ListParagraph"/>
        <w:numPr>
          <w:ilvl w:val="0"/>
          <w:numId w:val="2"/>
        </w:numPr>
        <w:spacing w:after="100" w:line="276"/>
      </w:pPr>
      <w:r>
        <w:rPr>
          <w:rFonts w:ascii="Arial" w:cs="Arial" w:eastAsia="Arial" w:hAnsi="Arial"/>
          <w:color w:val="1A1A2E"/>
          <w:sz w:val="22"/>
          <w:szCs w:val="22"/>
        </w:rPr>
        <w:t xml:space="preserve">Independent contractors providing services to the Company</w:t>
      </w:r>
    </w:p>
    <w:p>
      <w:pPr>
        <w:pStyle w:val="ListParagraph"/>
        <w:numPr>
          <w:ilvl w:val="0"/>
          <w:numId w:val="2"/>
        </w:numPr>
        <w:spacing w:after="100" w:line="276"/>
      </w:pPr>
      <w:r>
        <w:rPr>
          <w:rFonts w:ascii="Arial" w:cs="Arial" w:eastAsia="Arial" w:hAnsi="Arial"/>
          <w:color w:val="1A1A2E"/>
          <w:sz w:val="22"/>
          <w:szCs w:val="22"/>
        </w:rPr>
        <w:t xml:space="preserve">Advisory Board members</w:t>
      </w:r>
    </w:p>
    <w:p>
      <w:pPr>
        <w:pStyle w:val="ListParagraph"/>
        <w:numPr>
          <w:ilvl w:val="0"/>
          <w:numId w:val="2"/>
        </w:numPr>
        <w:spacing w:after="100" w:line="276"/>
      </w:pPr>
      <w:r>
        <w:rPr>
          <w:rFonts w:ascii="Arial" w:cs="Arial" w:eastAsia="Arial" w:hAnsi="Arial"/>
          <w:color w:val="1A1A2E"/>
          <w:sz w:val="22"/>
          <w:szCs w:val="22"/>
        </w:rPr>
        <w:t xml:space="preserve">Directors of the Company (excluding the Founder for purposes of this Pool)</w:t>
      </w:r>
    </w:p>
    <w:p>
      <w:pPr>
        <w:spacing w:after="200" w:line="276"/>
      </w:pPr>
      <w:r>
        <w:rPr>
          <w:rFonts w:ascii="Arial" w:cs="Arial" w:eastAsia="Arial" w:hAnsi="Arial"/>
          <w:color w:val="1A1A2E"/>
          <w:sz w:val="22"/>
          <w:szCs w:val="22"/>
        </w:rPr>
        <w:t xml:space="preserve">The Founder's equity (8,000,000 shares) is separate from and not governed by this Plan.</w:t>
      </w:r>
    </w:p>
    <w:p>
      <w:pPr>
        <w:spacing w:after="100"/>
      </w:pPr>
    </w:p>
    <w:p>
      <w:pPr>
        <w:pStyle w:val="Heading1"/>
        <w:spacing w:after="120" w:line="276"/>
      </w:pPr>
      <w:r>
        <w:rPr>
          <w:rFonts w:ascii="Arial" w:cs="Arial" w:eastAsia="Arial" w:hAnsi="Arial"/>
          <w:b/>
          <w:bCs/>
          <w:color w:val="4A1D96"/>
          <w:sz w:val="28"/>
          <w:szCs w:val="28"/>
        </w:rPr>
        <w:t xml:space="preserve">5. Types of Awards</w:t>
      </w:r>
    </w:p>
    <w:p>
      <w:pPr>
        <w:spacing w:after="200" w:line="276"/>
      </w:pPr>
      <w:r>
        <w:rPr>
          <w:rFonts w:ascii="Arial" w:cs="Arial" w:eastAsia="Arial" w:hAnsi="Arial"/>
          <w:b/>
          <w:bCs/>
          <w:color w:val="1A1A2E"/>
          <w:sz w:val="22"/>
          <w:szCs w:val="22"/>
        </w:rPr>
        <w:t xml:space="preserve">5.1 Stock Options. </w:t>
      </w:r>
      <w:r>
        <w:rPr>
          <w:rFonts w:ascii="Arial" w:cs="Arial" w:eastAsia="Arial" w:hAnsi="Arial"/>
          <w:color w:val="1A1A2E"/>
          <w:sz w:val="22"/>
          <w:szCs w:val="22"/>
        </w:rPr>
        <w:t xml:space="preserve">The Plan authorizes the grant of stock options, which give the holder the right to purchase shares of Common Stock at a specified exercise price. Options may be Incentive Stock Options (ISOs, for employees only, with favorable tax treatment under Section 422 of the Internal Revenue Code) or Non-Qualified Stock Options (NQSOs, for all eligible participants).</w:t>
      </w:r>
    </w:p>
    <w:p>
      <w:pPr>
        <w:spacing w:after="200" w:line="276"/>
      </w:pPr>
      <w:r>
        <w:rPr>
          <w:rFonts w:ascii="Arial" w:cs="Arial" w:eastAsia="Arial" w:hAnsi="Arial"/>
          <w:b/>
          <w:bCs/>
          <w:color w:val="1A1A2E"/>
          <w:sz w:val="22"/>
          <w:szCs w:val="22"/>
        </w:rPr>
        <w:t xml:space="preserve">5.2 Restricted Stock. </w:t>
      </w:r>
      <w:r>
        <w:rPr>
          <w:rFonts w:ascii="Arial" w:cs="Arial" w:eastAsia="Arial" w:hAnsi="Arial"/>
          <w:color w:val="1A1A2E"/>
          <w:sz w:val="22"/>
          <w:szCs w:val="22"/>
        </w:rPr>
        <w:t xml:space="preserve">The Administrator may grant shares of restricted stock subject to vesting conditions. Restricted stock is issued immediately but subject to forfeiture if vesting conditions are not met.</w:t>
      </w:r>
    </w:p>
    <w:p>
      <w:pPr>
        <w:spacing w:after="200" w:line="276"/>
      </w:pPr>
      <w:r>
        <w:rPr>
          <w:rFonts w:ascii="Arial" w:cs="Arial" w:eastAsia="Arial" w:hAnsi="Arial"/>
          <w:b/>
          <w:bCs/>
          <w:color w:val="1A1A2E"/>
          <w:sz w:val="22"/>
          <w:szCs w:val="22"/>
        </w:rPr>
        <w:t xml:space="preserve">5.3 Other Awards. </w:t>
      </w:r>
      <w:r>
        <w:rPr>
          <w:rFonts w:ascii="Arial" w:cs="Arial" w:eastAsia="Arial" w:hAnsi="Arial"/>
          <w:color w:val="1A1A2E"/>
          <w:sz w:val="22"/>
          <w:szCs w:val="22"/>
        </w:rPr>
        <w:t xml:space="preserve">The Administrator may grant such other equity-based awards as it deems appropriate, consistent with the terms of this Plan.</w:t>
      </w:r>
    </w:p>
    <w:p>
      <w:pPr>
        <w:spacing w:after="100"/>
      </w:pPr>
    </w:p>
    <w:p>
      <w:pPr>
        <w:pStyle w:val="Heading1"/>
        <w:spacing w:after="120" w:line="276"/>
      </w:pPr>
      <w:r>
        <w:rPr>
          <w:rFonts w:ascii="Arial" w:cs="Arial" w:eastAsia="Arial" w:hAnsi="Arial"/>
          <w:b/>
          <w:bCs/>
          <w:color w:val="4A1D96"/>
          <w:sz w:val="28"/>
          <w:szCs w:val="28"/>
        </w:rPr>
        <w:t xml:space="preserve">6. Exercise Price</w:t>
      </w:r>
    </w:p>
    <w:p>
      <w:pPr>
        <w:spacing w:after="200" w:line="276"/>
      </w:pPr>
      <w:r>
        <w:rPr>
          <w:rFonts w:ascii="Arial" w:cs="Arial" w:eastAsia="Arial" w:hAnsi="Arial"/>
          <w:b/>
          <w:bCs/>
          <w:color w:val="1A1A2E"/>
          <w:sz w:val="22"/>
          <w:szCs w:val="22"/>
        </w:rPr>
        <w:t xml:space="preserve">6.1 Fair Market Value. </w:t>
      </w:r>
      <w:r>
        <w:rPr>
          <w:rFonts w:ascii="Arial" w:cs="Arial" w:eastAsia="Arial" w:hAnsi="Arial"/>
          <w:color w:val="1A1A2E"/>
          <w:sz w:val="22"/>
          <w:szCs w:val="22"/>
        </w:rPr>
        <w:t xml:space="preserve">The exercise price of each option shall be no less than 100% of the Fair Market Value of the Common Stock on the date of grant.</w:t>
      </w:r>
    </w:p>
    <w:p>
      <w:pPr>
        <w:spacing w:after="200" w:line="276"/>
      </w:pPr>
      <w:r>
        <w:rPr>
          <w:rFonts w:ascii="Arial" w:cs="Arial" w:eastAsia="Arial" w:hAnsi="Arial"/>
          <w:b/>
          <w:bCs/>
          <w:color w:val="1A1A2E"/>
          <w:sz w:val="22"/>
          <w:szCs w:val="22"/>
        </w:rPr>
        <w:t xml:space="preserve">6.2 Determination. </w:t>
      </w:r>
      <w:r>
        <w:rPr>
          <w:rFonts w:ascii="Arial" w:cs="Arial" w:eastAsia="Arial" w:hAnsi="Arial"/>
          <w:color w:val="1A1A2E"/>
          <w:sz w:val="22"/>
          <w:szCs w:val="22"/>
        </w:rPr>
        <w:t xml:space="preserve">For purposes of this Plan, Fair Market Value shall be determined by the Board of Directors in good faith. Prior to the Company's first priced equity financing round, the Board may rely on a reasonable valuation methodology, including a 409A valuation performed by an independent appraiser.</w:t>
      </w:r>
    </w:p>
    <w:p>
      <w:pPr>
        <w:spacing w:after="200" w:line="276"/>
      </w:pPr>
      <w:r>
        <w:rPr>
          <w:rFonts w:ascii="Arial" w:cs="Arial" w:eastAsia="Arial" w:hAnsi="Arial"/>
          <w:b/>
          <w:bCs/>
          <w:color w:val="1A1A2E"/>
          <w:sz w:val="22"/>
          <w:szCs w:val="22"/>
        </w:rPr>
        <w:t xml:space="preserve">6.3 Note on 409A. </w:t>
      </w:r>
      <w:r>
        <w:rPr>
          <w:rFonts w:ascii="Arial" w:cs="Arial" w:eastAsia="Arial" w:hAnsi="Arial"/>
          <w:color w:val="1A1A2E"/>
          <w:sz w:val="22"/>
          <w:szCs w:val="22"/>
        </w:rPr>
        <w:t xml:space="preserve">Before granting options, the Company should obtain a 409A valuation to establish the Fair Market Value of the Common Stock. This is a tax compliance requirement. Granting options at below Fair Market Value creates adverse tax consequences for the option holder. A 409A valuation typically costs $1,000 to $5,000 for an early-stage company.</w:t>
      </w:r>
    </w:p>
    <w:p>
      <w:pPr>
        <w:spacing w:after="100"/>
      </w:pPr>
    </w:p>
    <w:p>
      <w:pPr>
        <w:pStyle w:val="Heading1"/>
        <w:spacing w:after="120" w:line="276"/>
      </w:pPr>
      <w:r>
        <w:rPr>
          <w:rFonts w:ascii="Arial" w:cs="Arial" w:eastAsia="Arial" w:hAnsi="Arial"/>
          <w:b/>
          <w:bCs/>
          <w:color w:val="4A1D96"/>
          <w:sz w:val="28"/>
          <w:szCs w:val="28"/>
        </w:rPr>
        <w:t xml:space="preserve">7. Vesting</w:t>
      </w:r>
    </w:p>
    <w:p>
      <w:pPr>
        <w:spacing w:after="200" w:line="276"/>
      </w:pPr>
      <w:r>
        <w:rPr>
          <w:rFonts w:ascii="Arial" w:cs="Arial" w:eastAsia="Arial" w:hAnsi="Arial"/>
          <w:b/>
          <w:bCs/>
          <w:color w:val="1A1A2E"/>
          <w:sz w:val="22"/>
          <w:szCs w:val="22"/>
        </w:rPr>
        <w:t xml:space="preserve">7.1 Standard Schedule. </w:t>
      </w:r>
      <w:r>
        <w:rPr>
          <w:rFonts w:ascii="Arial" w:cs="Arial" w:eastAsia="Arial" w:hAnsi="Arial"/>
          <w:color w:val="1A1A2E"/>
          <w:sz w:val="22"/>
          <w:szCs w:val="22"/>
        </w:rPr>
        <w:t xml:space="preserve">Unless the Administrator specifies otherwise, options shall vest according to the following standard schedule: 25% of the total grant vests on the first anniversary of the Vesting Start Date (the "Cliff"). The remaining 75% vests in equal monthly installments over the following 36 months (1/48th of the total grant per month).</w:t>
      </w:r>
    </w:p>
    <w:p>
      <w:pPr>
        <w:spacing w:after="200" w:line="276"/>
      </w:pPr>
      <w:r>
        <w:rPr>
          <w:rFonts w:ascii="Arial" w:cs="Arial" w:eastAsia="Arial" w:hAnsi="Arial"/>
          <w:b/>
          <w:bCs/>
          <w:color w:val="1A1A2E"/>
          <w:sz w:val="22"/>
          <w:szCs w:val="22"/>
        </w:rPr>
        <w:t xml:space="preserve">7.2 Advisory Board Schedule. </w:t>
      </w:r>
      <w:r>
        <w:rPr>
          <w:rFonts w:ascii="Arial" w:cs="Arial" w:eastAsia="Arial" w:hAnsi="Arial"/>
          <w:color w:val="1A1A2E"/>
          <w:sz w:val="22"/>
          <w:szCs w:val="22"/>
        </w:rPr>
        <w:t xml:space="preserve">Options granted to Advisory Board members shall vest monthly over 24 months with no cliff, unless the Administrator specifies otherwise.</w:t>
      </w:r>
    </w:p>
    <w:p>
      <w:pPr>
        <w:spacing w:after="200" w:line="276"/>
      </w:pPr>
      <w:r>
        <w:rPr>
          <w:rFonts w:ascii="Arial" w:cs="Arial" w:eastAsia="Arial" w:hAnsi="Arial"/>
          <w:b/>
          <w:bCs/>
          <w:color w:val="1A1A2E"/>
          <w:sz w:val="22"/>
          <w:szCs w:val="22"/>
        </w:rPr>
        <w:t xml:space="preserve">7.3 Acceleration. </w:t>
      </w:r>
      <w:r>
        <w:rPr>
          <w:rFonts w:ascii="Arial" w:cs="Arial" w:eastAsia="Arial" w:hAnsi="Arial"/>
          <w:color w:val="1A1A2E"/>
          <w:sz w:val="22"/>
          <w:szCs w:val="22"/>
        </w:rPr>
        <w:t xml:space="preserve">The Administrator may provide for acceleration of vesting in connection with a Change of Control (as defined in Section 12) or in other circumstances as the Administrator deems appropriate.</w:t>
      </w:r>
    </w:p>
    <w:p>
      <w:pPr>
        <w:spacing w:after="200" w:line="276"/>
      </w:pPr>
      <w:r>
        <w:rPr>
          <w:rFonts w:ascii="Arial" w:cs="Arial" w:eastAsia="Arial" w:hAnsi="Arial"/>
          <w:b/>
          <w:bCs/>
          <w:color w:val="1A1A2E"/>
          <w:sz w:val="22"/>
          <w:szCs w:val="22"/>
        </w:rPr>
        <w:t xml:space="preserve">7.4 Continued Service Required. </w:t>
      </w:r>
      <w:r>
        <w:rPr>
          <w:rFonts w:ascii="Arial" w:cs="Arial" w:eastAsia="Arial" w:hAnsi="Arial"/>
          <w:color w:val="1A1A2E"/>
          <w:sz w:val="22"/>
          <w:szCs w:val="22"/>
        </w:rPr>
        <w:t xml:space="preserve">Vesting requires continued service to the Company. If the participant's service terminates for any reason, unvested options are forfeited.</w:t>
      </w:r>
    </w:p>
    <w:p>
      <w:pPr>
        <w:spacing w:after="100"/>
      </w:pPr>
    </w:p>
    <w:p>
      <w:pPr>
        <w:pStyle w:val="Heading1"/>
        <w:spacing w:after="120" w:line="276"/>
      </w:pPr>
      <w:r>
        <w:rPr>
          <w:rFonts w:ascii="Arial" w:cs="Arial" w:eastAsia="Arial" w:hAnsi="Arial"/>
          <w:b/>
          <w:bCs/>
          <w:color w:val="4A1D96"/>
          <w:sz w:val="28"/>
          <w:szCs w:val="28"/>
        </w:rPr>
        <w:t xml:space="preserve">8. Exercise of Options</w:t>
      </w:r>
    </w:p>
    <w:p>
      <w:pPr>
        <w:spacing w:after="200" w:line="276"/>
      </w:pPr>
      <w:r>
        <w:rPr>
          <w:rFonts w:ascii="Arial" w:cs="Arial" w:eastAsia="Arial" w:hAnsi="Arial"/>
          <w:b/>
          <w:bCs/>
          <w:color w:val="1A1A2E"/>
          <w:sz w:val="22"/>
          <w:szCs w:val="22"/>
        </w:rPr>
        <w:t xml:space="preserve">8.1 Method. </w:t>
      </w:r>
      <w:r>
        <w:rPr>
          <w:rFonts w:ascii="Arial" w:cs="Arial" w:eastAsia="Arial" w:hAnsi="Arial"/>
          <w:color w:val="1A1A2E"/>
          <w:sz w:val="22"/>
          <w:szCs w:val="22"/>
        </w:rPr>
        <w:t xml:space="preserve">Options may be exercised by delivering written notice to the Company specifying the number of shares being purchased, accompanied by payment of the exercise price.</w:t>
      </w:r>
    </w:p>
    <w:p>
      <w:pPr>
        <w:spacing w:after="200" w:line="276"/>
      </w:pPr>
      <w:r>
        <w:rPr>
          <w:rFonts w:ascii="Arial" w:cs="Arial" w:eastAsia="Arial" w:hAnsi="Arial"/>
          <w:b/>
          <w:bCs/>
          <w:color w:val="1A1A2E"/>
          <w:sz w:val="22"/>
          <w:szCs w:val="22"/>
        </w:rPr>
        <w:t xml:space="preserve">8.2 Payment. </w:t>
      </w:r>
      <w:r>
        <w:rPr>
          <w:rFonts w:ascii="Arial" w:cs="Arial" w:eastAsia="Arial" w:hAnsi="Arial"/>
          <w:color w:val="1A1A2E"/>
          <w:sz w:val="22"/>
          <w:szCs w:val="22"/>
        </w:rPr>
        <w:t xml:space="preserve">The exercise price may be paid by cash, check, wire transfer, or such other methods as the Administrator may approve (including cashless exercise if the Company's shares are publicly traded).</w:t>
      </w:r>
    </w:p>
    <w:p>
      <w:pPr>
        <w:spacing w:after="200" w:line="276"/>
      </w:pPr>
      <w:r>
        <w:rPr>
          <w:rFonts w:ascii="Arial" w:cs="Arial" w:eastAsia="Arial" w:hAnsi="Arial"/>
          <w:b/>
          <w:bCs/>
          <w:color w:val="1A1A2E"/>
          <w:sz w:val="22"/>
          <w:szCs w:val="22"/>
        </w:rPr>
        <w:t xml:space="preserve">8.3 Term. </w:t>
      </w:r>
      <w:r>
        <w:rPr>
          <w:rFonts w:ascii="Arial" w:cs="Arial" w:eastAsia="Arial" w:hAnsi="Arial"/>
          <w:color w:val="1A1A2E"/>
          <w:sz w:val="22"/>
          <w:szCs w:val="22"/>
        </w:rPr>
        <w:t xml:space="preserve">Each option shall expire no later than ten (10) years from the date of grant.</w:t>
      </w:r>
    </w:p>
    <w:p>
      <w:pPr>
        <w:spacing w:after="100"/>
      </w:pPr>
    </w:p>
    <w:p>
      <w:pPr>
        <w:pStyle w:val="Heading1"/>
        <w:spacing w:after="120" w:line="276"/>
      </w:pPr>
      <w:r>
        <w:rPr>
          <w:rFonts w:ascii="Arial" w:cs="Arial" w:eastAsia="Arial" w:hAnsi="Arial"/>
          <w:b/>
          <w:bCs/>
          <w:color w:val="4A1D96"/>
          <w:sz w:val="28"/>
          <w:szCs w:val="28"/>
        </w:rPr>
        <w:t xml:space="preserve">9. Termination of Service</w:t>
      </w:r>
    </w:p>
    <w:p>
      <w:pPr>
        <w:spacing w:after="200" w:line="276"/>
      </w:pPr>
      <w:r>
        <w:rPr>
          <w:rFonts w:ascii="Arial" w:cs="Arial" w:eastAsia="Arial" w:hAnsi="Arial"/>
          <w:b/>
          <w:bCs/>
          <w:color w:val="1A1A2E"/>
          <w:sz w:val="22"/>
          <w:szCs w:val="22"/>
        </w:rPr>
        <w:t xml:space="preserve">9.1 Voluntary Resignation or Termination Without Cause. </w:t>
      </w:r>
      <w:r>
        <w:rPr>
          <w:rFonts w:ascii="Arial" w:cs="Arial" w:eastAsia="Arial" w:hAnsi="Arial"/>
          <w:color w:val="1A1A2E"/>
          <w:sz w:val="22"/>
          <w:szCs w:val="22"/>
        </w:rPr>
        <w:t xml:space="preserve">If a participant's service terminates voluntarily or is terminated without cause, the participant may exercise vested options within ninety (90) days of termination. Unvested options are forfeited.</w:t>
      </w:r>
    </w:p>
    <w:p>
      <w:pPr>
        <w:spacing w:after="200" w:line="276"/>
      </w:pPr>
      <w:r>
        <w:rPr>
          <w:rFonts w:ascii="Arial" w:cs="Arial" w:eastAsia="Arial" w:hAnsi="Arial"/>
          <w:b/>
          <w:bCs/>
          <w:color w:val="1A1A2E"/>
          <w:sz w:val="22"/>
          <w:szCs w:val="22"/>
        </w:rPr>
        <w:t xml:space="preserve">9.2 Termination for Cause. </w:t>
      </w:r>
      <w:r>
        <w:rPr>
          <w:rFonts w:ascii="Arial" w:cs="Arial" w:eastAsia="Arial" w:hAnsi="Arial"/>
          <w:color w:val="1A1A2E"/>
          <w:sz w:val="22"/>
          <w:szCs w:val="22"/>
        </w:rPr>
        <w:t xml:space="preserve">If a participant's service is terminated for cause, all options (vested and unvested) are immediately forfeited.</w:t>
      </w:r>
    </w:p>
    <w:p>
      <w:pPr>
        <w:spacing w:after="200" w:line="276"/>
      </w:pPr>
      <w:r>
        <w:rPr>
          <w:rFonts w:ascii="Arial" w:cs="Arial" w:eastAsia="Arial" w:hAnsi="Arial"/>
          <w:b/>
          <w:bCs/>
          <w:color w:val="1A1A2E"/>
          <w:sz w:val="22"/>
          <w:szCs w:val="22"/>
        </w:rPr>
        <w:t xml:space="preserve">9.3 Death or Disability. </w:t>
      </w:r>
      <w:r>
        <w:rPr>
          <w:rFonts w:ascii="Arial" w:cs="Arial" w:eastAsia="Arial" w:hAnsi="Arial"/>
          <w:color w:val="1A1A2E"/>
          <w:sz w:val="22"/>
          <w:szCs w:val="22"/>
        </w:rPr>
        <w:t xml:space="preserve">If a participant dies or becomes disabled, vested options may be exercised by the participant (or the participant's estate) within twelve (12) months.</w:t>
      </w:r>
    </w:p>
    <w:p>
      <w:pPr>
        <w:spacing w:after="100"/>
      </w:pPr>
    </w:p>
    <w:p>
      <w:pPr>
        <w:pStyle w:val="Heading1"/>
        <w:spacing w:after="120" w:line="276"/>
      </w:pPr>
      <w:r>
        <w:rPr>
          <w:rFonts w:ascii="Arial" w:cs="Arial" w:eastAsia="Arial" w:hAnsi="Arial"/>
          <w:b/>
          <w:bCs/>
          <w:color w:val="4A1D96"/>
          <w:sz w:val="28"/>
          <w:szCs w:val="28"/>
        </w:rPr>
        <w:t xml:space="preserve">10. Restrictions on Transfer</w:t>
      </w:r>
    </w:p>
    <w:p>
      <w:pPr>
        <w:spacing w:after="200" w:line="276"/>
      </w:pPr>
      <w:r>
        <w:rPr>
          <w:rFonts w:ascii="Arial" w:cs="Arial" w:eastAsia="Arial" w:hAnsi="Arial"/>
          <w:color w:val="1A1A2E"/>
          <w:sz w:val="22"/>
          <w:szCs w:val="22"/>
        </w:rPr>
        <w:t xml:space="preserve">Options are not transferable except by will or the laws of descent and distribution. Shares acquired upon exercise of options may be subject to a right of first refusal in favor of the Company, as set forth in the Stock Option Agreement.</w:t>
      </w:r>
    </w:p>
    <w:p>
      <w:pPr>
        <w:spacing w:after="100"/>
      </w:pPr>
    </w:p>
    <w:p>
      <w:pPr>
        <w:pStyle w:val="Heading1"/>
        <w:spacing w:after="120" w:line="276"/>
      </w:pPr>
      <w:r>
        <w:rPr>
          <w:rFonts w:ascii="Arial" w:cs="Arial" w:eastAsia="Arial" w:hAnsi="Arial"/>
          <w:b/>
          <w:bCs/>
          <w:color w:val="4A1D96"/>
          <w:sz w:val="28"/>
          <w:szCs w:val="28"/>
        </w:rPr>
        <w:t xml:space="preserve">11. Tax Withholding</w:t>
      </w:r>
    </w:p>
    <w:p>
      <w:pPr>
        <w:spacing w:after="200" w:line="276"/>
      </w:pPr>
      <w:r>
        <w:rPr>
          <w:rFonts w:ascii="Arial" w:cs="Arial" w:eastAsia="Arial" w:hAnsi="Arial"/>
          <w:color w:val="1A1A2E"/>
          <w:sz w:val="22"/>
          <w:szCs w:val="22"/>
        </w:rPr>
        <w:t xml:space="preserve">The Company shall have the right to require the participant to pay, or make arrangements satisfactory to the Company for payment of, any federal, state, local, or foreign taxes required by law to be withheld in connection with the exercise of an option or the vesting of restricted stock.</w:t>
      </w:r>
    </w:p>
    <w:p>
      <w:pPr>
        <w:spacing w:after="100"/>
      </w:pPr>
    </w:p>
    <w:p>
      <w:pPr>
        <w:pStyle w:val="Heading1"/>
        <w:spacing w:after="120" w:line="276"/>
      </w:pPr>
      <w:r>
        <w:rPr>
          <w:rFonts w:ascii="Arial" w:cs="Arial" w:eastAsia="Arial" w:hAnsi="Arial"/>
          <w:b/>
          <w:bCs/>
          <w:color w:val="4A1D96"/>
          <w:sz w:val="28"/>
          <w:szCs w:val="28"/>
        </w:rPr>
        <w:t xml:space="preserve">12. Change of Control</w:t>
      </w:r>
    </w:p>
    <w:p>
      <w:pPr>
        <w:spacing w:after="200" w:line="276"/>
      </w:pPr>
      <w:r>
        <w:rPr>
          <w:rFonts w:ascii="Arial" w:cs="Arial" w:eastAsia="Arial" w:hAnsi="Arial"/>
          <w:b/>
          <w:bCs/>
          <w:color w:val="1A1A2E"/>
          <w:sz w:val="22"/>
          <w:szCs w:val="22"/>
        </w:rPr>
        <w:t xml:space="preserve">12.1 Definition. </w:t>
      </w:r>
      <w:r>
        <w:rPr>
          <w:rFonts w:ascii="Arial" w:cs="Arial" w:eastAsia="Arial" w:hAnsi="Arial"/>
          <w:color w:val="1A1A2E"/>
          <w:sz w:val="22"/>
          <w:szCs w:val="22"/>
        </w:rPr>
        <w:t xml:space="preserve">A "Change of Control" means: (a) any merger, consolidation, or acquisition in which the Company's stockholders prior to the transaction hold less than 50% of the voting power of the surviving entity; (b) the sale of all or substantially all of the Company's assets; or (c) the transfer of more than 50% of the outstanding shares of the Company.</w:t>
      </w:r>
    </w:p>
    <w:p>
      <w:pPr>
        <w:spacing w:after="200" w:line="276"/>
      </w:pPr>
      <w:r>
        <w:rPr>
          <w:rFonts w:ascii="Arial" w:cs="Arial" w:eastAsia="Arial" w:hAnsi="Arial"/>
          <w:b/>
          <w:bCs/>
          <w:color w:val="1A1A2E"/>
          <w:sz w:val="22"/>
          <w:szCs w:val="22"/>
        </w:rPr>
        <w:t xml:space="preserve">12.2 Treatment of Options. </w:t>
      </w:r>
      <w:r>
        <w:rPr>
          <w:rFonts w:ascii="Arial" w:cs="Arial" w:eastAsia="Arial" w:hAnsi="Arial"/>
          <w:color w:val="1A1A2E"/>
          <w:sz w:val="22"/>
          <w:szCs w:val="22"/>
        </w:rPr>
        <w:t xml:space="preserve">Upon a Change of Control, the Administrator may, in its sole discretion: (a) accelerate the vesting of all outstanding options; (b) provide that options will be assumed or substituted by the acquiring entity; or (c) cancel options in exchange for cash payment equal to the difference between the exercise price and the per-share consideration received by stockholders.</w:t>
      </w:r>
    </w:p>
    <w:p>
      <w:pPr>
        <w:spacing w:after="100"/>
      </w:pPr>
    </w:p>
    <w:p>
      <w:pPr>
        <w:pStyle w:val="Heading1"/>
        <w:spacing w:after="120" w:line="276"/>
      </w:pPr>
      <w:r>
        <w:rPr>
          <w:rFonts w:ascii="Arial" w:cs="Arial" w:eastAsia="Arial" w:hAnsi="Arial"/>
          <w:b/>
          <w:bCs/>
          <w:color w:val="4A1D96"/>
          <w:sz w:val="28"/>
          <w:szCs w:val="28"/>
        </w:rPr>
        <w:t xml:space="preserve">13. Amendment and Termination</w:t>
      </w:r>
    </w:p>
    <w:p>
      <w:pPr>
        <w:spacing w:after="200" w:line="276"/>
      </w:pPr>
      <w:r>
        <w:rPr>
          <w:rFonts w:ascii="Arial" w:cs="Arial" w:eastAsia="Arial" w:hAnsi="Arial"/>
          <w:b/>
          <w:bCs/>
          <w:color w:val="1A1A2E"/>
          <w:sz w:val="22"/>
          <w:szCs w:val="22"/>
        </w:rPr>
        <w:t xml:space="preserve">13.1 Amendment. </w:t>
      </w:r>
      <w:r>
        <w:rPr>
          <w:rFonts w:ascii="Arial" w:cs="Arial" w:eastAsia="Arial" w:hAnsi="Arial"/>
          <w:color w:val="1A1A2E"/>
          <w:sz w:val="22"/>
          <w:szCs w:val="22"/>
        </w:rPr>
        <w:t xml:space="preserve">The Board may amend or modify the Plan at any time, provided that no amendment shall impair the rights of any participant under an outstanding grant without the participant's consent.</w:t>
      </w:r>
    </w:p>
    <w:p>
      <w:pPr>
        <w:spacing w:after="200" w:line="276"/>
      </w:pPr>
      <w:r>
        <w:rPr>
          <w:rFonts w:ascii="Arial" w:cs="Arial" w:eastAsia="Arial" w:hAnsi="Arial"/>
          <w:b/>
          <w:bCs/>
          <w:color w:val="1A1A2E"/>
          <w:sz w:val="22"/>
          <w:szCs w:val="22"/>
        </w:rPr>
        <w:t xml:space="preserve">13.2 Termination. </w:t>
      </w:r>
      <w:r>
        <w:rPr>
          <w:rFonts w:ascii="Arial" w:cs="Arial" w:eastAsia="Arial" w:hAnsi="Arial"/>
          <w:color w:val="1A1A2E"/>
          <w:sz w:val="22"/>
          <w:szCs w:val="22"/>
        </w:rPr>
        <w:t xml:space="preserve">The Board may terminate the Plan at any time. Termination shall not affect options already granted.</w:t>
      </w:r>
    </w:p>
    <w:p>
      <w:pPr>
        <w:spacing w:after="200" w:line="276"/>
      </w:pPr>
      <w:r>
        <w:rPr>
          <w:rFonts w:ascii="Arial" w:cs="Arial" w:eastAsia="Arial" w:hAnsi="Arial"/>
          <w:b/>
          <w:bCs/>
          <w:color w:val="1A1A2E"/>
          <w:sz w:val="22"/>
          <w:szCs w:val="22"/>
        </w:rPr>
        <w:t xml:space="preserve">13.3 Term of Plan. </w:t>
      </w:r>
      <w:r>
        <w:rPr>
          <w:rFonts w:ascii="Arial" w:cs="Arial" w:eastAsia="Arial" w:hAnsi="Arial"/>
          <w:color w:val="1A1A2E"/>
          <w:sz w:val="22"/>
          <w:szCs w:val="22"/>
        </w:rPr>
        <w:t xml:space="preserve">This Plan shall terminate on the tenth anniversary of its adoption, unless earlier terminated by the Board.</w:t>
      </w:r>
    </w:p>
    <w:p>
      <w:pPr>
        <w:spacing w:after="100"/>
      </w:pPr>
    </w:p>
    <w:p>
      <w:pPr>
        <w:pStyle w:val="Heading1"/>
        <w:spacing w:after="120" w:line="276"/>
      </w:pPr>
      <w:r>
        <w:rPr>
          <w:rFonts w:ascii="Arial" w:cs="Arial" w:eastAsia="Arial" w:hAnsi="Arial"/>
          <w:b/>
          <w:bCs/>
          <w:color w:val="4A1D96"/>
          <w:sz w:val="28"/>
          <w:szCs w:val="28"/>
        </w:rPr>
        <w:t xml:space="preserve">14. Governing Law</w:t>
      </w:r>
    </w:p>
    <w:p>
      <w:pPr>
        <w:spacing w:after="200" w:line="276"/>
      </w:pPr>
      <w:r>
        <w:rPr>
          <w:rFonts w:ascii="Arial" w:cs="Arial" w:eastAsia="Arial" w:hAnsi="Arial"/>
          <w:color w:val="1A1A2E"/>
          <w:sz w:val="22"/>
          <w:szCs w:val="22"/>
        </w:rPr>
        <w:t xml:space="preserve">This Plan shall be governed by the laws of the State of Delaware, without regard to conflict of law provisions.</w:t>
      </w:r>
    </w:p>
    <w:p>
      <w:pPr>
        <w:spacing w:after="100"/>
      </w:pPr>
    </w:p>
    <w:p>
      <w:pPr>
        <w:pStyle w:val="Heading1"/>
        <w:spacing w:after="120" w:line="276"/>
      </w:pPr>
      <w:r>
        <w:rPr>
          <w:rFonts w:ascii="Arial" w:cs="Arial" w:eastAsia="Arial" w:hAnsi="Arial"/>
          <w:b/>
          <w:bCs/>
          <w:color w:val="4A1D96"/>
          <w:sz w:val="28"/>
          <w:szCs w:val="28"/>
        </w:rPr>
        <w:t xml:space="preserve">15. Adoption</w:t>
      </w:r>
    </w:p>
    <w:p>
      <w:pPr>
        <w:spacing w:after="200" w:line="276"/>
      </w:pPr>
      <w:r>
        <w:rPr>
          <w:rFonts w:ascii="Arial" w:cs="Arial" w:eastAsia="Arial" w:hAnsi="Arial"/>
          <w:color w:val="1A1A2E"/>
          <w:sz w:val="22"/>
          <w:szCs w:val="22"/>
        </w:rPr>
        <w:t xml:space="preserve">This Plan was adopted by the Board of Directors of Audacion AI Labs PBC on __________________, 2026, and approved by the sole stockholder on __________________, 2026.</w:t>
      </w:r>
    </w:p>
    <w:p>
      <w:pPr>
        <w:spacing w:after="100"/>
      </w:pPr>
    </w:p>
    <w:p>
      <w:pPr>
        <w:spacing w:after="100"/>
      </w:pPr>
    </w:p>
    <w:p>
      <w:pPr>
        <w:spacing w:after="200" w:line="276"/>
      </w:pPr>
      <w:r>
        <w:rPr>
          <w:rFonts w:ascii="Arial" w:cs="Arial" w:eastAsia="Arial" w:hAnsi="Arial"/>
          <w:color w:val="1A1A2E"/>
          <w:sz w:val="22"/>
          <w:szCs w:val="22"/>
        </w:rPr>
        <w:t xml:space="preserve">________________________________________</w:t>
      </w:r>
    </w:p>
    <w:p>
      <w:pPr>
        <w:spacing w:after="200" w:line="276"/>
      </w:pPr>
      <w:r>
        <w:rPr>
          <w:rFonts w:ascii="Arial" w:cs="Arial" w:eastAsia="Arial" w:hAnsi="Arial"/>
          <w:color w:val="555555"/>
          <w:sz w:val="20"/>
          <w:szCs w:val="20"/>
        </w:rPr>
        <w:t xml:space="preserve">Dee Williams, Sole Director and CEO</w:t>
      </w:r>
    </w:p>
    <w:p>
      <w:pPr>
        <w:spacing w:after="200" w:line="276"/>
      </w:pPr>
      <w:r>
        <w:rPr>
          <w:rFonts w:ascii="Arial" w:cs="Arial" w:eastAsia="Arial" w:hAnsi="Arial"/>
          <w:color w:val="1A1A2E"/>
          <w:sz w:val="20"/>
          <w:szCs w:val="20"/>
        </w:rPr>
        <w:t xml:space="preserve">Date: __________________</w:t>
      </w:r>
    </w:p>
    <w:p>
      <w:r>
        <w:br w:type="page"/>
      </w:r>
    </w:p>
    <w:p>
      <w:pPr>
        <w:spacing w:after="40" w:line="276"/>
        <w:jc w:val="center"/>
      </w:pPr>
      <w:r>
        <w:rPr>
          <w:rFonts w:ascii="Arial" w:cs="Arial" w:eastAsia="Arial" w:hAnsi="Arial"/>
          <w:b/>
          <w:bCs/>
          <w:color w:val="4A1D96"/>
          <w:sz w:val="36"/>
          <w:szCs w:val="36"/>
        </w:rPr>
        <w:t xml:space="preserve">AUDACION AI LABS PBC</w:t>
      </w:r>
    </w:p>
    <w:p>
      <w:pPr>
        <w:spacing w:after="40" w:line="276"/>
        <w:jc w:val="center"/>
      </w:pPr>
      <w:r>
        <w:rPr>
          <w:rFonts w:ascii="Arial" w:cs="Arial" w:eastAsia="Arial" w:hAnsi="Arial"/>
          <w:b/>
          <w:bCs/>
          <w:color w:val="1A1A2E"/>
          <w:sz w:val="32"/>
          <w:szCs w:val="32"/>
        </w:rPr>
        <w:t xml:space="preserve">STOCK OPTION AGREEMENT</w:t>
      </w:r>
    </w:p>
    <w:p>
      <w:pPr>
        <w:spacing w:after="200" w:line="276"/>
        <w:jc w:val="center"/>
      </w:pPr>
      <w:r>
        <w:rPr>
          <w:rFonts w:ascii="Arial" w:cs="Arial" w:eastAsia="Arial" w:hAnsi="Arial"/>
          <w:i/>
          <w:iCs/>
          <w:color w:val="555555"/>
          <w:sz w:val="22"/>
          <w:szCs w:val="22"/>
        </w:rPr>
        <w:t xml:space="preserve">Under the 2026 Equity Incentive Plan</w:t>
      </w:r>
    </w:p>
    <w:p>
      <w:pPr>
        <w:pBdr>
          <w:bottom w:val="single" w:color="4A1D96" w:sz="6" w:space="1"/>
        </w:pBdr>
        <w:spacing w:after="300" w:line="276"/>
      </w:pPr>
    </w:p>
    <w:p>
      <w:pPr>
        <w:spacing w:after="200" w:line="276"/>
      </w:pPr>
      <w:r>
        <w:rPr>
          <w:rFonts w:ascii="Arial" w:cs="Arial" w:eastAsia="Arial" w:hAnsi="Arial"/>
          <w:color w:val="1A1A2E"/>
          <w:sz w:val="22"/>
          <w:szCs w:val="22"/>
        </w:rPr>
        <w:t xml:space="preserve">This Stock Option Agreement (the "Agreement") is entered into as of __________________, 2026 (the "Grant Date"), by and between:</w:t>
      </w:r>
    </w:p>
    <w:p>
      <w:pPr>
        <w:spacing w:after="100"/>
      </w:pPr>
    </w:p>
    <w:p>
      <w:pPr>
        <w:spacing w:after="200" w:line="276"/>
      </w:pPr>
      <w:r>
        <w:rPr>
          <w:rFonts w:ascii="Arial" w:cs="Arial" w:eastAsia="Arial" w:hAnsi="Arial"/>
          <w:b/>
          <w:bCs/>
          <w:color w:val="1A1A2E"/>
          <w:sz w:val="22"/>
          <w:szCs w:val="22"/>
        </w:rPr>
        <w:t xml:space="preserve">Company: </w:t>
      </w:r>
      <w:r>
        <w:rPr>
          <w:rFonts w:ascii="Arial" w:cs="Arial" w:eastAsia="Arial" w:hAnsi="Arial"/>
          <w:color w:val="1A1A2E"/>
          <w:sz w:val="22"/>
          <w:szCs w:val="22"/>
        </w:rPr>
        <w:t xml:space="preserve">Audacion AI Labs PBC, a Delaware Public Benefit Corporation</w:t>
      </w:r>
    </w:p>
    <w:p>
      <w:pPr>
        <w:spacing w:after="200" w:line="276"/>
      </w:pPr>
      <w:r>
        <w:rPr>
          <w:rFonts w:ascii="Arial" w:cs="Arial" w:eastAsia="Arial" w:hAnsi="Arial"/>
          <w:b/>
          <w:bCs/>
          <w:color w:val="1A1A2E"/>
          <w:sz w:val="22"/>
          <w:szCs w:val="22"/>
        </w:rPr>
        <w:t xml:space="preserve">Participant: </w:t>
      </w:r>
      <w:r>
        <w:rPr>
          <w:rFonts w:ascii="Arial" w:cs="Arial" w:eastAsia="Arial" w:hAnsi="Arial"/>
          <w:color w:val="1A1A2E"/>
          <w:sz w:val="22"/>
          <w:szCs w:val="22"/>
        </w:rPr>
        <w:t xml:space="preserve">__________________________________________</w:t>
      </w:r>
    </w:p>
    <w:p>
      <w:pPr>
        <w:spacing w:after="200" w:line="276"/>
      </w:pPr>
      <w:r>
        <w:rPr>
          <w:rFonts w:ascii="Arial" w:cs="Arial" w:eastAsia="Arial" w:hAnsi="Arial"/>
          <w:b/>
          <w:bCs/>
          <w:color w:val="1A1A2E"/>
          <w:sz w:val="22"/>
          <w:szCs w:val="22"/>
        </w:rPr>
        <w:t xml:space="preserve">Role: </w:t>
      </w:r>
      <w:r>
        <w:rPr>
          <w:rFonts w:ascii="Arial" w:cs="Arial" w:eastAsia="Arial" w:hAnsi="Arial"/>
          <w:color w:val="1A1A2E"/>
          <w:sz w:val="22"/>
          <w:szCs w:val="22"/>
        </w:rPr>
        <w:t xml:space="preserve">__________________________________________</w:t>
      </w:r>
    </w:p>
    <w:p>
      <w:pPr>
        <w:spacing w:after="100"/>
      </w:pPr>
    </w:p>
    <w:p>
      <w:pPr>
        <w:spacing w:after="200" w:line="276"/>
      </w:pPr>
      <w:r>
        <w:rPr>
          <w:rFonts w:ascii="Arial" w:cs="Arial" w:eastAsia="Arial" w:hAnsi="Arial"/>
          <w:color w:val="1A1A2E"/>
          <w:sz w:val="22"/>
          <w:szCs w:val="22"/>
        </w:rPr>
        <w:t xml:space="preserve">This option is granted under and subject to the terms of the Audacion AI Labs PBC 2026 Equity Incentive Plan (the "Plan"). Capitalized terms not defined herein have the meanings given in the Plan.</w:t>
      </w:r>
    </w:p>
    <w:p>
      <w:pPr>
        <w:spacing w:after="100"/>
      </w:pPr>
    </w:p>
    <w:p>
      <w:pPr>
        <w:pStyle w:val="Heading1"/>
        <w:spacing w:after="120" w:line="276"/>
      </w:pPr>
      <w:r>
        <w:rPr>
          <w:rFonts w:ascii="Arial" w:cs="Arial" w:eastAsia="Arial" w:hAnsi="Arial"/>
          <w:b/>
          <w:bCs/>
          <w:color w:val="4A1D96"/>
          <w:sz w:val="28"/>
          <w:szCs w:val="28"/>
        </w:rPr>
        <w:t xml:space="preserve">Grant Summary</w:t>
      </w:r>
    </w:p>
    <w:p>
      <w:pPr>
        <w:spacing w:after="100"/>
      </w:pPr>
    </w:p>
    <w:p>
      <w:pPr>
        <w:spacing w:after="200" w:line="276"/>
      </w:pPr>
      <w:r>
        <w:rPr>
          <w:rFonts w:ascii="Arial" w:cs="Arial" w:eastAsia="Arial" w:hAnsi="Arial"/>
          <w:b/>
          <w:bCs/>
          <w:color w:val="1A1A2E"/>
          <w:sz w:val="22"/>
          <w:szCs w:val="22"/>
        </w:rPr>
        <w:t xml:space="preserve">Type of Option: </w:t>
      </w:r>
      <w:r>
        <w:rPr>
          <w:rFonts w:ascii="Arial" w:cs="Arial" w:eastAsia="Arial" w:hAnsi="Arial"/>
          <w:color w:val="1A1A2E"/>
          <w:sz w:val="22"/>
          <w:szCs w:val="22"/>
        </w:rPr>
        <w:t xml:space="preserve">[  ] Incentive Stock Option (ISO)   [  ] Non-Qualified Stock Option (NQSO)</w:t>
      </w:r>
    </w:p>
    <w:p>
      <w:pPr>
        <w:spacing w:after="200" w:line="276"/>
      </w:pPr>
      <w:r>
        <w:rPr>
          <w:rFonts w:ascii="Arial" w:cs="Arial" w:eastAsia="Arial" w:hAnsi="Arial"/>
          <w:b/>
          <w:bCs/>
          <w:color w:val="1A1A2E"/>
          <w:sz w:val="22"/>
          <w:szCs w:val="22"/>
        </w:rPr>
        <w:t xml:space="preserve">Number of Shares: </w:t>
      </w:r>
      <w:r>
        <w:rPr>
          <w:rFonts w:ascii="Arial" w:cs="Arial" w:eastAsia="Arial" w:hAnsi="Arial"/>
          <w:color w:val="1A1A2E"/>
          <w:sz w:val="22"/>
          <w:szCs w:val="22"/>
        </w:rPr>
        <w:t xml:space="preserve">__________________ shares of Common Stock</w:t>
      </w:r>
    </w:p>
    <w:p>
      <w:pPr>
        <w:spacing w:after="200" w:line="276"/>
      </w:pPr>
      <w:r>
        <w:rPr>
          <w:rFonts w:ascii="Arial" w:cs="Arial" w:eastAsia="Arial" w:hAnsi="Arial"/>
          <w:b/>
          <w:bCs/>
          <w:color w:val="1A1A2E"/>
          <w:sz w:val="22"/>
          <w:szCs w:val="22"/>
        </w:rPr>
        <w:t xml:space="preserve">Exercise Price per Share: </w:t>
      </w:r>
      <w:r>
        <w:rPr>
          <w:rFonts w:ascii="Arial" w:cs="Arial" w:eastAsia="Arial" w:hAnsi="Arial"/>
          <w:color w:val="1A1A2E"/>
          <w:sz w:val="22"/>
          <w:szCs w:val="22"/>
        </w:rPr>
        <w:t xml:space="preserve">$__________________ (Fair Market Value on Grant Date)</w:t>
      </w:r>
    </w:p>
    <w:p>
      <w:pPr>
        <w:spacing w:after="200" w:line="276"/>
      </w:pPr>
      <w:r>
        <w:rPr>
          <w:rFonts w:ascii="Arial" w:cs="Arial" w:eastAsia="Arial" w:hAnsi="Arial"/>
          <w:b/>
          <w:bCs/>
          <w:color w:val="1A1A2E"/>
          <w:sz w:val="22"/>
          <w:szCs w:val="22"/>
        </w:rPr>
        <w:t xml:space="preserve">Vesting Start Date: </w:t>
      </w:r>
      <w:r>
        <w:rPr>
          <w:rFonts w:ascii="Arial" w:cs="Arial" w:eastAsia="Arial" w:hAnsi="Arial"/>
          <w:color w:val="1A1A2E"/>
          <w:sz w:val="22"/>
          <w:szCs w:val="22"/>
        </w:rPr>
        <w:t xml:space="preserve">__________________</w:t>
      </w:r>
    </w:p>
    <w:p>
      <w:pPr>
        <w:spacing w:after="200" w:line="276"/>
      </w:pPr>
      <w:r>
        <w:rPr>
          <w:rFonts w:ascii="Arial" w:cs="Arial" w:eastAsia="Arial" w:hAnsi="Arial"/>
          <w:b/>
          <w:bCs/>
          <w:color w:val="1A1A2E"/>
          <w:sz w:val="22"/>
          <w:szCs w:val="22"/>
        </w:rPr>
        <w:t xml:space="preserve">Vesting Schedule: </w:t>
      </w:r>
      <w:r>
        <w:rPr>
          <w:rFonts w:ascii="Arial" w:cs="Arial" w:eastAsia="Arial" w:hAnsi="Arial"/>
          <w:color w:val="1A1A2E"/>
          <w:sz w:val="22"/>
          <w:szCs w:val="22"/>
        </w:rPr>
        <w:t xml:space="preserve">25% vests on the 1st anniversary of Vesting Start Date (Cliff). Remaining 75% vests monthly over the following 36 months (1/48th per month).</w:t>
      </w:r>
    </w:p>
    <w:p>
      <w:pPr>
        <w:spacing w:after="200" w:line="276"/>
      </w:pPr>
      <w:r>
        <w:rPr>
          <w:rFonts w:ascii="Arial" w:cs="Arial" w:eastAsia="Arial" w:hAnsi="Arial"/>
          <w:b/>
          <w:bCs/>
          <w:color w:val="1A1A2E"/>
          <w:sz w:val="22"/>
          <w:szCs w:val="22"/>
        </w:rPr>
        <w:t xml:space="preserve">Expiration Date: </w:t>
      </w:r>
      <w:r>
        <w:rPr>
          <w:rFonts w:ascii="Arial" w:cs="Arial" w:eastAsia="Arial" w:hAnsi="Arial"/>
          <w:color w:val="1A1A2E"/>
          <w:sz w:val="22"/>
          <w:szCs w:val="22"/>
        </w:rPr>
        <w:t xml:space="preserve">__________________ (10 years from Grant Date)</w:t>
      </w:r>
    </w:p>
    <w:p>
      <w:pPr>
        <w:spacing w:after="200" w:line="276"/>
      </w:pPr>
      <w:r>
        <w:rPr>
          <w:rFonts w:ascii="Arial" w:cs="Arial" w:eastAsia="Arial" w:hAnsi="Arial"/>
          <w:b/>
          <w:bCs/>
          <w:color w:val="1A1A2E"/>
          <w:sz w:val="22"/>
          <w:szCs w:val="22"/>
        </w:rPr>
        <w:t xml:space="preserve">Post-Termination Exercise Period: </w:t>
      </w:r>
      <w:r>
        <w:rPr>
          <w:rFonts w:ascii="Arial" w:cs="Arial" w:eastAsia="Arial" w:hAnsi="Arial"/>
          <w:color w:val="1A1A2E"/>
          <w:sz w:val="22"/>
          <w:szCs w:val="22"/>
        </w:rPr>
        <w:t xml:space="preserve">90 days (voluntary/without cause), 0 days (for cause), 12 months (death/disability)</w:t>
      </w:r>
    </w:p>
    <w:p>
      <w:pPr>
        <w:spacing w:after="100"/>
      </w:pPr>
    </w:p>
    <w:p>
      <w:pPr>
        <w:pStyle w:val="Heading1"/>
        <w:spacing w:after="120" w:line="276"/>
      </w:pPr>
      <w:r>
        <w:rPr>
          <w:rFonts w:ascii="Arial" w:cs="Arial" w:eastAsia="Arial" w:hAnsi="Arial"/>
          <w:b/>
          <w:bCs/>
          <w:color w:val="4A1D96"/>
          <w:sz w:val="28"/>
          <w:szCs w:val="28"/>
        </w:rPr>
        <w:t xml:space="preserve">Terms and Conditions</w:t>
      </w:r>
    </w:p>
    <w:p>
      <w:pPr>
        <w:spacing w:after="100"/>
      </w:pPr>
    </w:p>
    <w:p>
      <w:pPr>
        <w:spacing w:after="200" w:line="276"/>
      </w:pPr>
      <w:r>
        <w:rPr>
          <w:rFonts w:ascii="Arial" w:cs="Arial" w:eastAsia="Arial" w:hAnsi="Arial"/>
          <w:b/>
          <w:bCs/>
          <w:color w:val="1A1A2E"/>
          <w:sz w:val="22"/>
          <w:szCs w:val="22"/>
        </w:rPr>
        <w:t xml:space="preserve">1. Grant. </w:t>
      </w:r>
      <w:r>
        <w:rPr>
          <w:rFonts w:ascii="Arial" w:cs="Arial" w:eastAsia="Arial" w:hAnsi="Arial"/>
          <w:color w:val="1A1A2E"/>
          <w:sz w:val="22"/>
          <w:szCs w:val="22"/>
        </w:rPr>
        <w:t xml:space="preserve">The Company grants the Participant an option to purchase the number of shares of Common Stock specified above, at the exercise price specified above, subject to the terms of this Agreement and the Plan.</w:t>
      </w:r>
    </w:p>
    <w:p>
      <w:pPr>
        <w:spacing w:after="100"/>
      </w:pPr>
    </w:p>
    <w:p>
      <w:pPr>
        <w:spacing w:after="200" w:line="276"/>
      </w:pPr>
      <w:r>
        <w:rPr>
          <w:rFonts w:ascii="Arial" w:cs="Arial" w:eastAsia="Arial" w:hAnsi="Arial"/>
          <w:b/>
          <w:bCs/>
          <w:color w:val="1A1A2E"/>
          <w:sz w:val="22"/>
          <w:szCs w:val="22"/>
        </w:rPr>
        <w:t xml:space="preserve">2. Vesting. </w:t>
      </w:r>
      <w:r>
        <w:rPr>
          <w:rFonts w:ascii="Arial" w:cs="Arial" w:eastAsia="Arial" w:hAnsi="Arial"/>
          <w:color w:val="1A1A2E"/>
          <w:sz w:val="22"/>
          <w:szCs w:val="22"/>
        </w:rPr>
        <w:t xml:space="preserve">The option shall vest according to the schedule specified above. Vesting requires continued service to the Company. If the Participant's service terminates for any reason, all unvested shares are immediately forfeited.</w:t>
      </w:r>
    </w:p>
    <w:p>
      <w:pPr>
        <w:spacing w:after="100"/>
      </w:pPr>
    </w:p>
    <w:p>
      <w:pPr>
        <w:spacing w:after="200" w:line="276"/>
      </w:pPr>
      <w:r>
        <w:rPr>
          <w:rFonts w:ascii="Arial" w:cs="Arial" w:eastAsia="Arial" w:hAnsi="Arial"/>
          <w:b/>
          <w:bCs/>
          <w:color w:val="1A1A2E"/>
          <w:sz w:val="22"/>
          <w:szCs w:val="22"/>
        </w:rPr>
        <w:t xml:space="preserve">3. Exercise. </w:t>
      </w:r>
      <w:r>
        <w:rPr>
          <w:rFonts w:ascii="Arial" w:cs="Arial" w:eastAsia="Arial" w:hAnsi="Arial"/>
          <w:color w:val="1A1A2E"/>
          <w:sz w:val="22"/>
          <w:szCs w:val="22"/>
        </w:rPr>
        <w:t xml:space="preserve">The Participant may exercise vested options by delivering written notice to the Company and paying the aggregate exercise price. Payment may be made by cash, check, or wire transfer.</w:t>
      </w:r>
    </w:p>
    <w:p>
      <w:pPr>
        <w:spacing w:after="100"/>
      </w:pPr>
    </w:p>
    <w:p>
      <w:pPr>
        <w:spacing w:after="200" w:line="276"/>
      </w:pPr>
      <w:r>
        <w:rPr>
          <w:rFonts w:ascii="Arial" w:cs="Arial" w:eastAsia="Arial" w:hAnsi="Arial"/>
          <w:b/>
          <w:bCs/>
          <w:color w:val="1A1A2E"/>
          <w:sz w:val="22"/>
          <w:szCs w:val="22"/>
        </w:rPr>
        <w:t xml:space="preserve">4. Expiration. </w:t>
      </w:r>
      <w:r>
        <w:rPr>
          <w:rFonts w:ascii="Arial" w:cs="Arial" w:eastAsia="Arial" w:hAnsi="Arial"/>
          <w:color w:val="1A1A2E"/>
          <w:sz w:val="22"/>
          <w:szCs w:val="22"/>
        </w:rPr>
        <w:t xml:space="preserve">This option shall expire on the Expiration Date or earlier upon termination of service as specified above and in the Plan.</w:t>
      </w:r>
    </w:p>
    <w:p>
      <w:pPr>
        <w:spacing w:after="100"/>
      </w:pPr>
    </w:p>
    <w:p>
      <w:pPr>
        <w:spacing w:after="200" w:line="276"/>
      </w:pPr>
      <w:r>
        <w:rPr>
          <w:rFonts w:ascii="Arial" w:cs="Arial" w:eastAsia="Arial" w:hAnsi="Arial"/>
          <w:b/>
          <w:bCs/>
          <w:color w:val="1A1A2E"/>
          <w:sz w:val="22"/>
          <w:szCs w:val="22"/>
        </w:rPr>
        <w:t xml:space="preserve">5. Right of First Refusal. </w:t>
      </w:r>
      <w:r>
        <w:rPr>
          <w:rFonts w:ascii="Arial" w:cs="Arial" w:eastAsia="Arial" w:hAnsi="Arial"/>
          <w:color w:val="1A1A2E"/>
          <w:sz w:val="22"/>
          <w:szCs w:val="22"/>
        </w:rPr>
        <w:t xml:space="preserve">If the Participant wishes to sell, transfer, or otherwise dispose of any shares acquired upon exercise of this option, the Company shall have a right of first refusal to purchase such shares at the proposed transfer price. This right of first refusal terminates upon a public offering of the Company's shares.</w:t>
      </w:r>
    </w:p>
    <w:p>
      <w:pPr>
        <w:spacing w:after="100"/>
      </w:pPr>
    </w:p>
    <w:p>
      <w:pPr>
        <w:spacing w:after="200" w:line="276"/>
      </w:pPr>
      <w:r>
        <w:rPr>
          <w:rFonts w:ascii="Arial" w:cs="Arial" w:eastAsia="Arial" w:hAnsi="Arial"/>
          <w:b/>
          <w:bCs/>
          <w:color w:val="1A1A2E"/>
          <w:sz w:val="22"/>
          <w:szCs w:val="22"/>
        </w:rPr>
        <w:t xml:space="preserve">6. Lock-Up. </w:t>
      </w:r>
      <w:r>
        <w:rPr>
          <w:rFonts w:ascii="Arial" w:cs="Arial" w:eastAsia="Arial" w:hAnsi="Arial"/>
          <w:color w:val="1A1A2E"/>
          <w:sz w:val="22"/>
          <w:szCs w:val="22"/>
        </w:rPr>
        <w:t xml:space="preserve">The Participant agrees that, in connection with any public offering of the Company's securities, the Participant will not sell or transfer any shares for a period of up to 180 days following the offering, as requested by the Company or the managing underwriter.</w:t>
      </w:r>
    </w:p>
    <w:p>
      <w:pPr>
        <w:spacing w:after="100"/>
      </w:pPr>
    </w:p>
    <w:p>
      <w:pPr>
        <w:spacing w:after="200" w:line="276"/>
      </w:pPr>
      <w:r>
        <w:rPr>
          <w:rFonts w:ascii="Arial" w:cs="Arial" w:eastAsia="Arial" w:hAnsi="Arial"/>
          <w:b/>
          <w:bCs/>
          <w:color w:val="1A1A2E"/>
          <w:sz w:val="22"/>
          <w:szCs w:val="22"/>
        </w:rPr>
        <w:t xml:space="preserve">7. Tax Consequences. </w:t>
      </w:r>
      <w:r>
        <w:rPr>
          <w:rFonts w:ascii="Arial" w:cs="Arial" w:eastAsia="Arial" w:hAnsi="Arial"/>
          <w:color w:val="1A1A2E"/>
          <w:sz w:val="22"/>
          <w:szCs w:val="22"/>
        </w:rPr>
        <w:t xml:space="preserve">The Participant acknowledges that the grant and exercise of this option may have tax consequences and that the Participant is solely responsible for any tax liability arising from this option. The Company recommends that the Participant consult a tax advisor.</w:t>
      </w:r>
    </w:p>
    <w:p>
      <w:pPr>
        <w:spacing w:after="100"/>
      </w:pPr>
    </w:p>
    <w:p>
      <w:pPr>
        <w:spacing w:after="200" w:line="276"/>
      </w:pPr>
      <w:r>
        <w:rPr>
          <w:rFonts w:ascii="Arial" w:cs="Arial" w:eastAsia="Arial" w:hAnsi="Arial"/>
          <w:b/>
          <w:bCs/>
          <w:color w:val="1A1A2E"/>
          <w:sz w:val="22"/>
          <w:szCs w:val="22"/>
        </w:rPr>
        <w:t xml:space="preserve">8. No Employment Guarantee. </w:t>
      </w:r>
      <w:r>
        <w:rPr>
          <w:rFonts w:ascii="Arial" w:cs="Arial" w:eastAsia="Arial" w:hAnsi="Arial"/>
          <w:color w:val="1A1A2E"/>
          <w:sz w:val="22"/>
          <w:szCs w:val="22"/>
        </w:rPr>
        <w:t xml:space="preserve">This option does not guarantee continued employment or service with the Company. The Participant's relationship with the Company remains at-will unless otherwise specified in a separate written agreement.</w:t>
      </w:r>
    </w:p>
    <w:p>
      <w:pPr>
        <w:spacing w:after="100"/>
      </w:pPr>
    </w:p>
    <w:p>
      <w:pPr>
        <w:spacing w:after="200" w:line="276"/>
      </w:pPr>
      <w:r>
        <w:rPr>
          <w:rFonts w:ascii="Arial" w:cs="Arial" w:eastAsia="Arial" w:hAnsi="Arial"/>
          <w:b/>
          <w:bCs/>
          <w:color w:val="1A1A2E"/>
          <w:sz w:val="22"/>
          <w:szCs w:val="22"/>
        </w:rPr>
        <w:t xml:space="preserve">9. Confidentiality and IP. </w:t>
      </w:r>
      <w:r>
        <w:rPr>
          <w:rFonts w:ascii="Arial" w:cs="Arial" w:eastAsia="Arial" w:hAnsi="Arial"/>
          <w:color w:val="1A1A2E"/>
          <w:sz w:val="22"/>
          <w:szCs w:val="22"/>
        </w:rPr>
        <w:t xml:space="preserve">As a condition of this grant, the Participant must have executed (or concurrently execute) the Company's Non-Disclosure Agreement and Intellectual Property Assignment Agreement.</w:t>
      </w:r>
    </w:p>
    <w:p>
      <w:pPr>
        <w:spacing w:after="100"/>
      </w:pPr>
    </w:p>
    <w:p>
      <w:pPr>
        <w:spacing w:after="200" w:line="276"/>
      </w:pPr>
      <w:r>
        <w:rPr>
          <w:rFonts w:ascii="Arial" w:cs="Arial" w:eastAsia="Arial" w:hAnsi="Arial"/>
          <w:b/>
          <w:bCs/>
          <w:color w:val="1A1A2E"/>
          <w:sz w:val="22"/>
          <w:szCs w:val="22"/>
        </w:rPr>
        <w:t xml:space="preserve">10. Governing Law. </w:t>
      </w:r>
      <w:r>
        <w:rPr>
          <w:rFonts w:ascii="Arial" w:cs="Arial" w:eastAsia="Arial" w:hAnsi="Arial"/>
          <w:color w:val="1A1A2E"/>
          <w:sz w:val="22"/>
          <w:szCs w:val="22"/>
        </w:rPr>
        <w:t xml:space="preserve">This Agreement shall be governed by the laws of the State of Delaware.</w:t>
      </w:r>
    </w:p>
    <w:p>
      <w:pPr>
        <w:spacing w:after="100"/>
      </w:pPr>
    </w:p>
    <w:p>
      <w:pPr>
        <w:spacing w:after="200" w:line="276"/>
      </w:pPr>
      <w:r>
        <w:rPr>
          <w:rFonts w:ascii="Arial" w:cs="Arial" w:eastAsia="Arial" w:hAnsi="Arial"/>
          <w:b/>
          <w:bCs/>
          <w:color w:val="1A1A2E"/>
          <w:sz w:val="22"/>
          <w:szCs w:val="22"/>
        </w:rPr>
        <w:t xml:space="preserve">11. Entire Agreement. </w:t>
      </w:r>
      <w:r>
        <w:rPr>
          <w:rFonts w:ascii="Arial" w:cs="Arial" w:eastAsia="Arial" w:hAnsi="Arial"/>
          <w:color w:val="1A1A2E"/>
          <w:sz w:val="22"/>
          <w:szCs w:val="22"/>
        </w:rPr>
        <w:t xml:space="preserve">This Agreement and the Plan constitute the entire agreement regarding this option and supersede all prior understandings.</w:t>
      </w:r>
    </w:p>
    <w:p>
      <w:pPr>
        <w:spacing w:after="100"/>
      </w:pPr>
    </w:p>
    <w:p>
      <w:pPr>
        <w:pBdr>
          <w:bottom w:val="single" w:color="4A1D96" w:sz="6" w:space="1"/>
        </w:pBdr>
        <w:spacing w:after="200" w:line="276"/>
      </w:pPr>
    </w:p>
    <w:p>
      <w:pPr>
        <w:spacing w:after="100"/>
      </w:pPr>
    </w:p>
    <w:p>
      <w:pPr>
        <w:spacing w:after="200" w:line="276"/>
      </w:pPr>
      <w:r>
        <w:rPr>
          <w:rFonts w:ascii="Arial" w:cs="Arial" w:eastAsia="Arial" w:hAnsi="Arial"/>
          <w:b/>
          <w:bCs/>
          <w:color w:val="1A1A2E"/>
          <w:sz w:val="22"/>
          <w:szCs w:val="22"/>
        </w:rPr>
        <w:t xml:space="preserve">ACCEPTED AND AGREED:</w:t>
      </w:r>
    </w:p>
    <w:p>
      <w:pPr>
        <w:spacing w:after="100"/>
      </w:pPr>
    </w:p>
    <w:p>
      <w:pPr>
        <w:spacing w:after="100"/>
      </w:pPr>
    </w:p>
    <w:p>
      <w:pPr>
        <w:spacing w:after="200" w:line="276"/>
      </w:pPr>
      <w:r>
        <w:rPr>
          <w:rFonts w:ascii="Arial" w:cs="Arial" w:eastAsia="Arial" w:hAnsi="Arial"/>
          <w:b/>
          <w:bCs/>
          <w:color w:val="1A1A2E"/>
          <w:sz w:val="22"/>
          <w:szCs w:val="22"/>
        </w:rPr>
        <w:t xml:space="preserve">AUDACION AI LABS PBC</w:t>
      </w:r>
    </w:p>
    <w:p>
      <w:pPr>
        <w:spacing w:after="100"/>
      </w:pPr>
    </w:p>
    <w:p>
      <w:pPr>
        <w:spacing w:after="200" w:line="276"/>
      </w:pPr>
      <w:r>
        <w:rPr>
          <w:rFonts w:ascii="Arial" w:cs="Arial" w:eastAsia="Arial" w:hAnsi="Arial"/>
          <w:color w:val="1A1A2E"/>
          <w:sz w:val="22"/>
          <w:szCs w:val="22"/>
        </w:rPr>
        <w:t xml:space="preserve">________________________________________</w:t>
      </w:r>
    </w:p>
    <w:p>
      <w:pPr>
        <w:spacing w:after="200" w:line="276"/>
      </w:pPr>
      <w:r>
        <w:rPr>
          <w:rFonts w:ascii="Arial" w:cs="Arial" w:eastAsia="Arial" w:hAnsi="Arial"/>
          <w:color w:val="555555"/>
          <w:sz w:val="20"/>
          <w:szCs w:val="20"/>
        </w:rPr>
        <w:t xml:space="preserve">Dee Williams, CEO and Board Chair</w:t>
      </w:r>
    </w:p>
    <w:p>
      <w:pPr>
        <w:spacing w:after="200" w:line="276"/>
      </w:pPr>
      <w:r>
        <w:rPr>
          <w:rFonts w:ascii="Arial" w:cs="Arial" w:eastAsia="Arial" w:hAnsi="Arial"/>
          <w:color w:val="1A1A2E"/>
          <w:sz w:val="20"/>
          <w:szCs w:val="20"/>
        </w:rPr>
        <w:t xml:space="preserve">Date: __________________</w:t>
      </w:r>
    </w:p>
    <w:p>
      <w:pPr>
        <w:spacing w:after="100"/>
      </w:pPr>
    </w:p>
    <w:p>
      <w:pPr>
        <w:spacing w:after="100"/>
      </w:pPr>
    </w:p>
    <w:p>
      <w:pPr>
        <w:spacing w:after="200" w:line="276"/>
      </w:pPr>
      <w:r>
        <w:rPr>
          <w:rFonts w:ascii="Arial" w:cs="Arial" w:eastAsia="Arial" w:hAnsi="Arial"/>
          <w:b/>
          <w:bCs/>
          <w:color w:val="1A1A2E"/>
          <w:sz w:val="22"/>
          <w:szCs w:val="22"/>
        </w:rPr>
        <w:t xml:space="preserve">PARTICIPANT</w:t>
      </w:r>
    </w:p>
    <w:p>
      <w:pPr>
        <w:spacing w:after="100"/>
      </w:pPr>
    </w:p>
    <w:p>
      <w:pPr>
        <w:spacing w:after="200" w:line="276"/>
      </w:pPr>
      <w:r>
        <w:rPr>
          <w:rFonts w:ascii="Arial" w:cs="Arial" w:eastAsia="Arial" w:hAnsi="Arial"/>
          <w:color w:val="1A1A2E"/>
          <w:sz w:val="22"/>
          <w:szCs w:val="22"/>
        </w:rPr>
        <w:t xml:space="preserve">________________________________________</w:t>
      </w:r>
    </w:p>
    <w:p>
      <w:pPr>
        <w:spacing w:after="200" w:line="276"/>
      </w:pPr>
      <w:r>
        <w:rPr>
          <w:rFonts w:ascii="Arial" w:cs="Arial" w:eastAsia="Arial" w:hAnsi="Arial"/>
          <w:color w:val="1A1A2E"/>
          <w:sz w:val="20"/>
          <w:szCs w:val="20"/>
        </w:rPr>
        <w:t xml:space="preserve">Name: __________________</w:t>
      </w:r>
    </w:p>
    <w:p>
      <w:pPr>
        <w:spacing w:after="200" w:line="276"/>
      </w:pPr>
      <w:r>
        <w:rPr>
          <w:rFonts w:ascii="Arial" w:cs="Arial" w:eastAsia="Arial" w:hAnsi="Arial"/>
          <w:color w:val="1A1A2E"/>
          <w:sz w:val="20"/>
          <w:szCs w:val="20"/>
        </w:rPr>
        <w:t xml:space="preserve">Date: __________________</w:t>
      </w:r>
    </w:p>
    <w:p>
      <w:pPr>
        <w:spacing w:after="100"/>
      </w:pPr>
    </w:p>
    <w:p>
      <w:pPr>
        <w:spacing w:after="200" w:line="276"/>
      </w:pPr>
      <w:r>
        <w:rPr>
          <w:rFonts w:ascii="Arial" w:cs="Arial" w:eastAsia="Arial" w:hAnsi="Arial"/>
          <w:i/>
          <w:iCs/>
          <w:color w:val="555555"/>
          <w:sz w:val="22"/>
          <w:szCs w:val="22"/>
        </w:rPr>
        <w:t xml:space="preserve">This document should be reviewed by a licensed attorney and tax advisor before execution.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4A1D9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2026-05-26T16:47:42.908Z</dcterms:created>
  <dcterms:modified xsi:type="dcterms:W3CDTF">2026-05-26T16:47:42.923Z</dcterms:modified>
</cp:coreProperties>
</file>

<file path=docProps/custom.xml><?xml version="1.0" encoding="utf-8"?>
<Properties xmlns="http://schemas.openxmlformats.org/officeDocument/2006/custom-properties" xmlns:vt="http://schemas.openxmlformats.org/officeDocument/2006/docPropsVTypes"/>
</file>