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Arial" w:cs="Arial" w:eastAsia="Arial" w:hAnsi="Arial"/>
          <w:b/>
          <w:bCs/>
          <w:color w:val="4A1D96"/>
          <w:sz w:val="36"/>
          <w:szCs w:val="36"/>
        </w:rPr>
        <w:t xml:space="preserve">MUTUAL NON-DISCLOSURE AGREEMENT</w:t>
      </w:r>
    </w:p>
    <w:p>
      <w:pPr>
        <w:spacing w:after="200" w:line="276"/>
        <w:jc w:val="center"/>
      </w:pPr>
      <w:r>
        <w:rPr>
          <w:rFonts w:ascii="Arial" w:cs="Arial" w:eastAsia="Arial" w:hAnsi="Arial"/>
          <w:b/>
          <w:bCs/>
          <w:color w:val="1A1A2E"/>
          <w:sz w:val="28"/>
          <w:szCs w:val="28"/>
        </w:rPr>
        <w:t xml:space="preserve">Audacion AI Labs PBC</w:t>
      </w:r>
    </w:p>
    <w:p>
      <w:pPr>
        <w:pBdr>
          <w:bottom w:val="single" w:color="4A1D96" w:sz="6" w:space="1"/>
        </w:pBdr>
        <w:spacing w:after="300" w:line="276"/>
      </w:pPr>
    </w:p>
    <w:p>
      <w:pPr>
        <w:spacing w:after="200" w:line="276"/>
      </w:pPr>
      <w:r>
        <w:rPr>
          <w:rFonts w:ascii="Arial" w:cs="Arial" w:eastAsia="Arial" w:hAnsi="Arial"/>
          <w:i/>
          <w:iCs/>
          <w:color w:val="555555"/>
          <w:sz w:val="22"/>
          <w:szCs w:val="22"/>
        </w:rPr>
        <w:t xml:space="preserve">LEGAL DISCLAIMER: This NDA is a template. Have a licensed attorney review and customize it before use. Nothing in this document constitutes legal advice.</w:t>
      </w:r>
    </w:p>
    <w:p>
      <w:pPr>
        <w:spacing w:after="100"/>
      </w:pPr>
    </w:p>
    <w:p>
      <w:pPr>
        <w:spacing w:after="200" w:line="276"/>
      </w:pPr>
      <w:r>
        <w:rPr>
          <w:rFonts w:ascii="Arial" w:cs="Arial" w:eastAsia="Arial" w:hAnsi="Arial"/>
          <w:color w:val="1A1A2E"/>
          <w:sz w:val="22"/>
          <w:szCs w:val="22"/>
        </w:rPr>
        <w:t xml:space="preserve">This Mutual Non-Disclosure Agreement ("Agreement") is entered into as of __________________, 2026 (the "Effective Date"), by and between:</w:t>
      </w:r>
    </w:p>
    <w:p>
      <w:pPr>
        <w:spacing w:after="100"/>
      </w:pPr>
    </w:p>
    <w:p>
      <w:pPr>
        <w:spacing w:after="200" w:line="276"/>
      </w:pPr>
      <w:r>
        <w:rPr>
          <w:rFonts w:ascii="Arial" w:cs="Arial" w:eastAsia="Arial" w:hAnsi="Arial"/>
          <w:b/>
          <w:bCs/>
          <w:color w:val="1A1A2E"/>
          <w:sz w:val="22"/>
          <w:szCs w:val="22"/>
        </w:rPr>
        <w:t xml:space="preserve">Disclosing/Receiving Party 1: </w:t>
      </w:r>
      <w:r>
        <w:rPr>
          <w:rFonts w:ascii="Arial" w:cs="Arial" w:eastAsia="Arial" w:hAnsi="Arial"/>
          <w:color w:val="1A1A2E"/>
          <w:sz w:val="22"/>
          <w:szCs w:val="22"/>
        </w:rPr>
        <w:t xml:space="preserve">Audacion AI Labs PBC, a Delaware Public Benefit Corporation, with its principal office in Los Angeles, California ("Audacion" or "Company")</w:t>
      </w:r>
    </w:p>
    <w:p>
      <w:pPr>
        <w:spacing w:after="100"/>
      </w:pPr>
    </w:p>
    <w:p>
      <w:pPr>
        <w:spacing w:after="200" w:line="276"/>
      </w:pPr>
      <w:r>
        <w:rPr>
          <w:rFonts w:ascii="Arial" w:cs="Arial" w:eastAsia="Arial" w:hAnsi="Arial"/>
          <w:b/>
          <w:bCs/>
          <w:color w:val="1A1A2E"/>
          <w:sz w:val="22"/>
          <w:szCs w:val="22"/>
        </w:rPr>
        <w:t xml:space="preserve">Disclosing/Receiving Party 2: </w:t>
      </w:r>
      <w:r>
        <w:rPr>
          <w:rFonts w:ascii="Arial" w:cs="Arial" w:eastAsia="Arial" w:hAnsi="Arial"/>
          <w:color w:val="1A1A2E"/>
          <w:sz w:val="22"/>
          <w:szCs w:val="22"/>
        </w:rPr>
        <w:t xml:space="preserve">__________________________________________ ("Recipient")</w:t>
      </w:r>
    </w:p>
    <w:p>
      <w:pPr>
        <w:spacing w:after="200" w:line="276"/>
      </w:pPr>
      <w:r>
        <w:rPr>
          <w:rFonts w:ascii="Arial" w:cs="Arial" w:eastAsia="Arial" w:hAnsi="Arial"/>
          <w:color w:val="1A1A2E"/>
          <w:sz w:val="22"/>
          <w:szCs w:val="22"/>
        </w:rPr>
        <w:t xml:space="preserve">Address: __________________________________________</w:t>
      </w:r>
    </w:p>
    <w:p>
      <w:pPr>
        <w:spacing w:after="200" w:line="276"/>
      </w:pPr>
      <w:r>
        <w:rPr>
          <w:rFonts w:ascii="Arial" w:cs="Arial" w:eastAsia="Arial" w:hAnsi="Arial"/>
          <w:color w:val="1A1A2E"/>
          <w:sz w:val="22"/>
          <w:szCs w:val="22"/>
        </w:rPr>
        <w:t xml:space="preserve">Email: __________________________________________</w:t>
      </w:r>
    </w:p>
    <w:p>
      <w:pPr>
        <w:spacing w:after="100"/>
      </w:pPr>
    </w:p>
    <w:p>
      <w:pPr>
        <w:spacing w:after="200" w:line="276"/>
      </w:pPr>
      <w:r>
        <w:rPr>
          <w:rFonts w:ascii="Arial" w:cs="Arial" w:eastAsia="Arial" w:hAnsi="Arial"/>
          <w:color w:val="1A1A2E"/>
          <w:sz w:val="22"/>
          <w:szCs w:val="22"/>
        </w:rPr>
        <w:t xml:space="preserve">Each may be referred to individually as a "Party" and collectively as the "Parties."</w:t>
      </w:r>
    </w:p>
    <w:p>
      <w:pPr>
        <w:spacing w:after="100"/>
      </w:pPr>
    </w:p>
    <w:p>
      <w:pPr>
        <w:pStyle w:val="Heading1"/>
        <w:spacing w:after="120" w:line="276"/>
      </w:pPr>
      <w:r>
        <w:rPr>
          <w:rFonts w:ascii="Arial" w:cs="Arial" w:eastAsia="Arial" w:hAnsi="Arial"/>
          <w:b/>
          <w:bCs/>
          <w:color w:val="4A1D96"/>
          <w:sz w:val="28"/>
          <w:szCs w:val="28"/>
        </w:rPr>
        <w:t xml:space="preserve">1. Purpose</w:t>
      </w:r>
    </w:p>
    <w:p>
      <w:pPr>
        <w:spacing w:after="200" w:line="276"/>
      </w:pPr>
      <w:r>
        <w:rPr>
          <w:rFonts w:ascii="Arial" w:cs="Arial" w:eastAsia="Arial" w:hAnsi="Arial"/>
          <w:color w:val="1A1A2E"/>
          <w:sz w:val="22"/>
          <w:szCs w:val="22"/>
        </w:rPr>
        <w:t xml:space="preserve">The Parties wish to explore a potential business relationship related to __________________________________________ (the "Purpose"). In connection with the Purpose, each Party may disclose to the other certain confidential and proprietary information. The Parties desire to provide for the protection and preservation of the confidentiality of such information.</w:t>
      </w:r>
    </w:p>
    <w:p>
      <w:pPr>
        <w:spacing w:after="100"/>
      </w:pPr>
    </w:p>
    <w:p>
      <w:pPr>
        <w:pStyle w:val="Heading1"/>
        <w:spacing w:after="120" w:line="276"/>
      </w:pPr>
      <w:r>
        <w:rPr>
          <w:rFonts w:ascii="Arial" w:cs="Arial" w:eastAsia="Arial" w:hAnsi="Arial"/>
          <w:b/>
          <w:bCs/>
          <w:color w:val="4A1D96"/>
          <w:sz w:val="28"/>
          <w:szCs w:val="28"/>
        </w:rPr>
        <w:t xml:space="preserve">2. Definition of Confidential Information</w:t>
      </w:r>
    </w:p>
    <w:p>
      <w:pPr>
        <w:spacing w:after="200" w:line="276"/>
      </w:pPr>
      <w:r>
        <w:rPr>
          <w:rFonts w:ascii="Arial" w:cs="Arial" w:eastAsia="Arial" w:hAnsi="Arial"/>
          <w:color w:val="1A1A2E"/>
          <w:sz w:val="22"/>
          <w:szCs w:val="22"/>
        </w:rPr>
        <w:t xml:space="preserve">"Confidential Information" means any and all non-public information disclosed by either Party (the "Disclosing Party") to the other Party (the "Receiving Party"), whether orally, in writing, electronically, or by any other means, that is designated as confidential or that, given the nature of the information or the circumstances surrounding its disclosure, reasonably should be understood to be confidential. Confidential Information includes, but is not limited to:</w:t>
      </w:r>
    </w:p>
    <w:p>
      <w:pPr>
        <w:pStyle w:val="ListParagraph"/>
        <w:numPr>
          <w:ilvl w:val="0"/>
          <w:numId w:val="2"/>
        </w:numPr>
        <w:spacing w:after="100" w:line="276"/>
      </w:pPr>
      <w:r>
        <w:rPr>
          <w:rFonts w:ascii="Arial" w:cs="Arial" w:eastAsia="Arial" w:hAnsi="Arial"/>
          <w:color w:val="1A1A2E"/>
          <w:sz w:val="22"/>
          <w:szCs w:val="22"/>
        </w:rPr>
        <w:t xml:space="preserve">Research frameworks, methodologies, taxonomies, and classification systems (including but not limited to the PRISM Research Framework and the Citizen Observation Taxonomy)</w:t>
      </w:r>
    </w:p>
    <w:p>
      <w:pPr>
        <w:pStyle w:val="ListParagraph"/>
        <w:numPr>
          <w:ilvl w:val="0"/>
          <w:numId w:val="2"/>
        </w:numPr>
        <w:spacing w:after="100" w:line="276"/>
      </w:pPr>
      <w:r>
        <w:rPr>
          <w:rFonts w:ascii="Arial" w:cs="Arial" w:eastAsia="Arial" w:hAnsi="Arial"/>
          <w:color w:val="1A1A2E"/>
          <w:sz w:val="22"/>
          <w:szCs w:val="22"/>
        </w:rPr>
        <w:t xml:space="preserve">Research data, datasets, analyses, findings, and unpublished research</w:t>
      </w:r>
    </w:p>
    <w:p>
      <w:pPr>
        <w:pStyle w:val="ListParagraph"/>
        <w:numPr>
          <w:ilvl w:val="0"/>
          <w:numId w:val="2"/>
        </w:numPr>
        <w:spacing w:after="100" w:line="276"/>
      </w:pPr>
      <w:r>
        <w:rPr>
          <w:rFonts w:ascii="Arial" w:cs="Arial" w:eastAsia="Arial" w:hAnsi="Arial"/>
          <w:color w:val="1A1A2E"/>
          <w:sz w:val="22"/>
          <w:szCs w:val="22"/>
        </w:rPr>
        <w:t xml:space="preserve">Software, source code, algorithms, data architectures, and technical specifications</w:t>
      </w:r>
    </w:p>
    <w:p>
      <w:pPr>
        <w:pStyle w:val="ListParagraph"/>
        <w:numPr>
          <w:ilvl w:val="0"/>
          <w:numId w:val="2"/>
        </w:numPr>
        <w:spacing w:after="100" w:line="276"/>
      </w:pPr>
      <w:r>
        <w:rPr>
          <w:rFonts w:ascii="Arial" w:cs="Arial" w:eastAsia="Arial" w:hAnsi="Arial"/>
          <w:color w:val="1A1A2E"/>
          <w:sz w:val="22"/>
          <w:szCs w:val="22"/>
        </w:rPr>
        <w:t xml:space="preserve">Business plans, strategies, financial information, pricing, and revenue models</w:t>
      </w:r>
    </w:p>
    <w:p>
      <w:pPr>
        <w:pStyle w:val="ListParagraph"/>
        <w:numPr>
          <w:ilvl w:val="0"/>
          <w:numId w:val="2"/>
        </w:numPr>
        <w:spacing w:after="100" w:line="276"/>
      </w:pPr>
      <w:r>
        <w:rPr>
          <w:rFonts w:ascii="Arial" w:cs="Arial" w:eastAsia="Arial" w:hAnsi="Arial"/>
          <w:color w:val="1A1A2E"/>
          <w:sz w:val="22"/>
          <w:szCs w:val="22"/>
        </w:rPr>
        <w:t xml:space="preserve">Grant applications, funding proposals, and investor materials</w:t>
      </w:r>
    </w:p>
    <w:p>
      <w:pPr>
        <w:pStyle w:val="ListParagraph"/>
        <w:numPr>
          <w:ilvl w:val="0"/>
          <w:numId w:val="2"/>
        </w:numPr>
        <w:spacing w:after="100" w:line="276"/>
      </w:pPr>
      <w:r>
        <w:rPr>
          <w:rFonts w:ascii="Arial" w:cs="Arial" w:eastAsia="Arial" w:hAnsi="Arial"/>
          <w:color w:val="1A1A2E"/>
          <w:sz w:val="22"/>
          <w:szCs w:val="22"/>
        </w:rPr>
        <w:t xml:space="preserve">Customer and contributor lists, user data, and community metrics</w:t>
      </w:r>
    </w:p>
    <w:p>
      <w:pPr>
        <w:pStyle w:val="ListParagraph"/>
        <w:numPr>
          <w:ilvl w:val="0"/>
          <w:numId w:val="2"/>
        </w:numPr>
        <w:spacing w:after="100" w:line="276"/>
      </w:pPr>
      <w:r>
        <w:rPr>
          <w:rFonts w:ascii="Arial" w:cs="Arial" w:eastAsia="Arial" w:hAnsi="Arial"/>
          <w:color w:val="1A1A2E"/>
          <w:sz w:val="22"/>
          <w:szCs w:val="22"/>
        </w:rPr>
        <w:t xml:space="preserve">Trade secrets, know-how, processes, and proprietary methods</w:t>
      </w:r>
    </w:p>
    <w:p>
      <w:pPr>
        <w:pStyle w:val="ListParagraph"/>
        <w:numPr>
          <w:ilvl w:val="0"/>
          <w:numId w:val="2"/>
        </w:numPr>
        <w:spacing w:after="100" w:line="276"/>
      </w:pPr>
      <w:r>
        <w:rPr>
          <w:rFonts w:ascii="Arial" w:cs="Arial" w:eastAsia="Arial" w:hAnsi="Arial"/>
          <w:color w:val="1A1A2E"/>
          <w:sz w:val="22"/>
          <w:szCs w:val="22"/>
        </w:rPr>
        <w:t xml:space="preserve">Marketing strategies, product roadmaps, and launch plans</w:t>
      </w:r>
    </w:p>
    <w:p>
      <w:pPr>
        <w:pStyle w:val="ListParagraph"/>
        <w:numPr>
          <w:ilvl w:val="0"/>
          <w:numId w:val="2"/>
        </w:numPr>
        <w:spacing w:after="100" w:line="276"/>
      </w:pPr>
      <w:r>
        <w:rPr>
          <w:rFonts w:ascii="Arial" w:cs="Arial" w:eastAsia="Arial" w:hAnsi="Arial"/>
          <w:color w:val="1A1A2E"/>
          <w:sz w:val="22"/>
          <w:szCs w:val="22"/>
        </w:rPr>
        <w:t xml:space="preserve">Employee and contractor information</w:t>
      </w:r>
    </w:p>
    <w:p>
      <w:pPr>
        <w:pStyle w:val="ListParagraph"/>
        <w:numPr>
          <w:ilvl w:val="0"/>
          <w:numId w:val="2"/>
        </w:numPr>
        <w:spacing w:after="100" w:line="276"/>
      </w:pPr>
      <w:r>
        <w:rPr>
          <w:rFonts w:ascii="Arial" w:cs="Arial" w:eastAsia="Arial" w:hAnsi="Arial"/>
          <w:color w:val="1A1A2E"/>
          <w:sz w:val="22"/>
          <w:szCs w:val="22"/>
        </w:rPr>
        <w:t xml:space="preserve">Any information that is marked as "Confidential," "Proprietary," or with a similar designation</w:t>
      </w:r>
    </w:p>
    <w:p>
      <w:pPr>
        <w:pStyle w:val="ListParagraph"/>
        <w:numPr>
          <w:ilvl w:val="0"/>
          <w:numId w:val="2"/>
        </w:numPr>
        <w:spacing w:after="100" w:line="276"/>
      </w:pPr>
      <w:r>
        <w:rPr>
          <w:rFonts w:ascii="Arial" w:cs="Arial" w:eastAsia="Arial" w:hAnsi="Arial"/>
          <w:color w:val="1A1A2E"/>
          <w:sz w:val="22"/>
          <w:szCs w:val="22"/>
        </w:rPr>
        <w:t xml:space="preserve">Any information disclosed orally that is identified as confidential at the time of disclosure and confirmed in writing within fourteen (14) days</w:t>
      </w:r>
    </w:p>
    <w:p>
      <w:pPr>
        <w:spacing w:after="100"/>
      </w:pPr>
    </w:p>
    <w:p>
      <w:pPr>
        <w:pStyle w:val="Heading1"/>
        <w:spacing w:after="120" w:line="276"/>
      </w:pPr>
      <w:r>
        <w:rPr>
          <w:rFonts w:ascii="Arial" w:cs="Arial" w:eastAsia="Arial" w:hAnsi="Arial"/>
          <w:b/>
          <w:bCs/>
          <w:color w:val="4A1D96"/>
          <w:sz w:val="28"/>
          <w:szCs w:val="28"/>
        </w:rPr>
        <w:t xml:space="preserve">3. Exclusions from Confidential Information</w:t>
      </w:r>
    </w:p>
    <w:p>
      <w:pPr>
        <w:spacing w:after="200" w:line="276"/>
      </w:pPr>
      <w:r>
        <w:rPr>
          <w:rFonts w:ascii="Arial" w:cs="Arial" w:eastAsia="Arial" w:hAnsi="Arial"/>
          <w:color w:val="1A1A2E"/>
          <w:sz w:val="22"/>
          <w:szCs w:val="22"/>
        </w:rPr>
        <w:t xml:space="preserve">Confidential Information does not include information that:</w:t>
      </w:r>
    </w:p>
    <w:p>
      <w:pPr>
        <w:pStyle w:val="ListParagraph"/>
        <w:numPr>
          <w:ilvl w:val="0"/>
          <w:numId w:val="2"/>
        </w:numPr>
        <w:spacing w:after="100" w:line="276"/>
      </w:pPr>
      <w:r>
        <w:rPr>
          <w:rFonts w:ascii="Arial" w:cs="Arial" w:eastAsia="Arial" w:hAnsi="Arial"/>
          <w:color w:val="1A1A2E"/>
          <w:sz w:val="22"/>
          <w:szCs w:val="22"/>
        </w:rPr>
        <w:t xml:space="preserve">Was already known to the Receiving Party prior to disclosure, as documented by written records predating the disclosure</w:t>
      </w:r>
    </w:p>
    <w:p>
      <w:pPr>
        <w:pStyle w:val="ListParagraph"/>
        <w:numPr>
          <w:ilvl w:val="0"/>
          <w:numId w:val="2"/>
        </w:numPr>
        <w:spacing w:after="100" w:line="276"/>
      </w:pPr>
      <w:r>
        <w:rPr>
          <w:rFonts w:ascii="Arial" w:cs="Arial" w:eastAsia="Arial" w:hAnsi="Arial"/>
          <w:color w:val="1A1A2E"/>
          <w:sz w:val="22"/>
          <w:szCs w:val="22"/>
        </w:rPr>
        <w:t xml:space="preserve">Is or becomes publicly available through no fault of the Receiving Party</w:t>
      </w:r>
    </w:p>
    <w:p>
      <w:pPr>
        <w:pStyle w:val="ListParagraph"/>
        <w:numPr>
          <w:ilvl w:val="0"/>
          <w:numId w:val="2"/>
        </w:numPr>
        <w:spacing w:after="100" w:line="276"/>
      </w:pPr>
      <w:r>
        <w:rPr>
          <w:rFonts w:ascii="Arial" w:cs="Arial" w:eastAsia="Arial" w:hAnsi="Arial"/>
          <w:color w:val="1A1A2E"/>
          <w:sz w:val="22"/>
          <w:szCs w:val="22"/>
        </w:rPr>
        <w:t xml:space="preserve">Is lawfully obtained by the Receiving Party from a third party without breach of any confidentiality obligation</w:t>
      </w:r>
    </w:p>
    <w:p>
      <w:pPr>
        <w:pStyle w:val="ListParagraph"/>
        <w:numPr>
          <w:ilvl w:val="0"/>
          <w:numId w:val="2"/>
        </w:numPr>
        <w:spacing w:after="100" w:line="276"/>
      </w:pPr>
      <w:r>
        <w:rPr>
          <w:rFonts w:ascii="Arial" w:cs="Arial" w:eastAsia="Arial" w:hAnsi="Arial"/>
          <w:color w:val="1A1A2E"/>
          <w:sz w:val="22"/>
          <w:szCs w:val="22"/>
        </w:rPr>
        <w:t xml:space="preserve">Is independently developed by the Receiving Party without use of or reference to the Disclosing Party's Confidential Information, as documented by written records</w:t>
      </w:r>
    </w:p>
    <w:p>
      <w:pPr>
        <w:pStyle w:val="ListParagraph"/>
        <w:numPr>
          <w:ilvl w:val="0"/>
          <w:numId w:val="2"/>
        </w:numPr>
        <w:spacing w:after="100" w:line="276"/>
      </w:pPr>
      <w:r>
        <w:rPr>
          <w:rFonts w:ascii="Arial" w:cs="Arial" w:eastAsia="Arial" w:hAnsi="Arial"/>
          <w:color w:val="1A1A2E"/>
          <w:sz w:val="22"/>
          <w:szCs w:val="22"/>
        </w:rPr>
        <w:t xml:space="preserve">Is required to be disclosed by law, regulation, court order, or governmental authority, provided the Receiving Party gives the Disclosing Party prompt written notice (to the extent permitted by law) and cooperates with any effort by the Disclosing Party to obtain protective treatment</w:t>
      </w:r>
    </w:p>
    <w:p>
      <w:pPr>
        <w:spacing w:after="100"/>
      </w:pPr>
    </w:p>
    <w:p>
      <w:pPr>
        <w:pStyle w:val="Heading1"/>
        <w:spacing w:after="120" w:line="276"/>
      </w:pPr>
      <w:r>
        <w:rPr>
          <w:rFonts w:ascii="Arial" w:cs="Arial" w:eastAsia="Arial" w:hAnsi="Arial"/>
          <w:b/>
          <w:bCs/>
          <w:color w:val="4A1D96"/>
          <w:sz w:val="28"/>
          <w:szCs w:val="28"/>
        </w:rPr>
        <w:t xml:space="preserve">4. Obligations of the Receiving Party</w:t>
      </w:r>
    </w:p>
    <w:p>
      <w:pPr>
        <w:spacing w:after="200" w:line="276"/>
      </w:pPr>
      <w:r>
        <w:rPr>
          <w:rFonts w:ascii="Arial" w:cs="Arial" w:eastAsia="Arial" w:hAnsi="Arial"/>
          <w:color w:val="1A1A2E"/>
          <w:sz w:val="22"/>
          <w:szCs w:val="22"/>
        </w:rPr>
        <w:t xml:space="preserve">The Receiving Party agrees to:</w:t>
      </w:r>
    </w:p>
    <w:p>
      <w:pPr>
        <w:pStyle w:val="ListParagraph"/>
        <w:numPr>
          <w:ilvl w:val="0"/>
          <w:numId w:val="2"/>
        </w:numPr>
        <w:spacing w:after="100" w:line="276"/>
      </w:pPr>
      <w:r>
        <w:rPr>
          <w:rFonts w:ascii="Arial" w:cs="Arial" w:eastAsia="Arial" w:hAnsi="Arial"/>
          <w:color w:val="1A1A2E"/>
          <w:sz w:val="22"/>
          <w:szCs w:val="22"/>
        </w:rPr>
        <w:t xml:space="preserve">Hold the Disclosing Party's Confidential Information in strict confidence</w:t>
      </w:r>
    </w:p>
    <w:p>
      <w:pPr>
        <w:pStyle w:val="ListParagraph"/>
        <w:numPr>
          <w:ilvl w:val="0"/>
          <w:numId w:val="2"/>
        </w:numPr>
        <w:spacing w:after="100" w:line="276"/>
      </w:pPr>
      <w:r>
        <w:rPr>
          <w:rFonts w:ascii="Arial" w:cs="Arial" w:eastAsia="Arial" w:hAnsi="Arial"/>
          <w:color w:val="1A1A2E"/>
          <w:sz w:val="22"/>
          <w:szCs w:val="22"/>
        </w:rPr>
        <w:t xml:space="preserve">Not disclose Confidential Information to any third party without the prior written consent of the Disclosing Party, except to the Receiving Party's employees, contractors, advisors, or agents who (i) have a need to know for the Purpose, and (ii) are bound by confidentiality obligations at least as protective as those contained in this Agreement</w:t>
      </w:r>
    </w:p>
    <w:p>
      <w:pPr>
        <w:pStyle w:val="ListParagraph"/>
        <w:numPr>
          <w:ilvl w:val="0"/>
          <w:numId w:val="2"/>
        </w:numPr>
        <w:spacing w:after="100" w:line="276"/>
      </w:pPr>
      <w:r>
        <w:rPr>
          <w:rFonts w:ascii="Arial" w:cs="Arial" w:eastAsia="Arial" w:hAnsi="Arial"/>
          <w:color w:val="1A1A2E"/>
          <w:sz w:val="22"/>
          <w:szCs w:val="22"/>
        </w:rPr>
        <w:t xml:space="preserve">Use the Confidential Information solely for the Purpose and not for any other purpose</w:t>
      </w:r>
    </w:p>
    <w:p>
      <w:pPr>
        <w:pStyle w:val="ListParagraph"/>
        <w:numPr>
          <w:ilvl w:val="0"/>
          <w:numId w:val="2"/>
        </w:numPr>
        <w:spacing w:after="100" w:line="276"/>
      </w:pPr>
      <w:r>
        <w:rPr>
          <w:rFonts w:ascii="Arial" w:cs="Arial" w:eastAsia="Arial" w:hAnsi="Arial"/>
          <w:color w:val="1A1A2E"/>
          <w:sz w:val="22"/>
          <w:szCs w:val="22"/>
        </w:rPr>
        <w:t xml:space="preserve">Protect the Confidential Information using at least the same degree of care it uses to protect its own confidential information, but in no event less than reasonable care</w:t>
      </w:r>
    </w:p>
    <w:p>
      <w:pPr>
        <w:pStyle w:val="ListParagraph"/>
        <w:numPr>
          <w:ilvl w:val="0"/>
          <w:numId w:val="2"/>
        </w:numPr>
        <w:spacing w:after="100" w:line="276"/>
      </w:pPr>
      <w:r>
        <w:rPr>
          <w:rFonts w:ascii="Arial" w:cs="Arial" w:eastAsia="Arial" w:hAnsi="Arial"/>
          <w:color w:val="1A1A2E"/>
          <w:sz w:val="22"/>
          <w:szCs w:val="22"/>
        </w:rPr>
        <w:t xml:space="preserve">Promptly notify the Disclosing Party in writing if it becomes aware of any unauthorized use, disclosure, or loss of the Disclosing Party's Confidential Information</w:t>
      </w:r>
    </w:p>
    <w:p>
      <w:pPr>
        <w:pStyle w:val="ListParagraph"/>
        <w:numPr>
          <w:ilvl w:val="0"/>
          <w:numId w:val="2"/>
        </w:numPr>
        <w:spacing w:after="100" w:line="276"/>
      </w:pPr>
      <w:r>
        <w:rPr>
          <w:rFonts w:ascii="Arial" w:cs="Arial" w:eastAsia="Arial" w:hAnsi="Arial"/>
          <w:color w:val="1A1A2E"/>
          <w:sz w:val="22"/>
          <w:szCs w:val="22"/>
        </w:rPr>
        <w:t xml:space="preserve">Not reverse engineer, decompile, or disassemble any Confidential Information</w:t>
      </w:r>
    </w:p>
    <w:p>
      <w:pPr>
        <w:spacing w:after="100"/>
      </w:pPr>
    </w:p>
    <w:p>
      <w:pPr>
        <w:pStyle w:val="Heading1"/>
        <w:spacing w:after="120" w:line="276"/>
      </w:pPr>
      <w:r>
        <w:rPr>
          <w:rFonts w:ascii="Arial" w:cs="Arial" w:eastAsia="Arial" w:hAnsi="Arial"/>
          <w:b/>
          <w:bCs/>
          <w:color w:val="4A1D96"/>
          <w:sz w:val="28"/>
          <w:szCs w:val="28"/>
        </w:rPr>
        <w:t xml:space="preserve">5. Intellectual Property</w:t>
      </w:r>
    </w:p>
    <w:p>
      <w:pPr>
        <w:spacing w:after="200" w:line="276"/>
      </w:pPr>
      <w:r>
        <w:rPr>
          <w:rFonts w:ascii="Arial" w:cs="Arial" w:eastAsia="Arial" w:hAnsi="Arial"/>
          <w:color w:val="1A1A2E"/>
          <w:sz w:val="22"/>
          <w:szCs w:val="22"/>
        </w:rPr>
        <w:t xml:space="preserve">Nothing in this Agreement grants the Receiving Party any rights, title, or interest in the Disclosing Party's Confidential Information, intellectual property, trade secrets, or proprietary materials. All Confidential Information remains the exclusive property of the Disclosing Party. No license, express or implied, is granted to the Receiving Party under any patent, copyright, trademark, trade secret, or other intellectual property right of the Disclosing Party.</w:t>
      </w:r>
    </w:p>
    <w:p>
      <w:pPr>
        <w:spacing w:after="100"/>
      </w:pPr>
    </w:p>
    <w:p>
      <w:pPr>
        <w:pStyle w:val="Heading1"/>
        <w:spacing w:after="120" w:line="276"/>
      </w:pPr>
      <w:r>
        <w:rPr>
          <w:rFonts w:ascii="Arial" w:cs="Arial" w:eastAsia="Arial" w:hAnsi="Arial"/>
          <w:b/>
          <w:bCs/>
          <w:color w:val="4A1D96"/>
          <w:sz w:val="28"/>
          <w:szCs w:val="28"/>
        </w:rPr>
        <w:t xml:space="preserve">6. Return or Destruction of Materials</w:t>
      </w:r>
    </w:p>
    <w:p>
      <w:pPr>
        <w:spacing w:after="200" w:line="276"/>
      </w:pPr>
      <w:r>
        <w:rPr>
          <w:rFonts w:ascii="Arial" w:cs="Arial" w:eastAsia="Arial" w:hAnsi="Arial"/>
          <w:color w:val="1A1A2E"/>
          <w:sz w:val="22"/>
          <w:szCs w:val="22"/>
        </w:rPr>
        <w:t xml:space="preserve">Upon the Disclosing Party's written request, or upon termination or expiration of this Agreement, the Receiving Party shall promptly: (a) return all tangible materials containing Confidential Information; and (b) destroy all copies, extracts, and summaries of Confidential Information in the Receiving Party's possession or control (including electronic copies). The Receiving Party shall certify in writing that such return and destruction has been completed. Notwithstanding the foregoing, the Receiving Party may retain one archival copy of Confidential Information solely for legal compliance purposes, provided such copy remains subject to the confidentiality obligations of this Agreement.</w:t>
      </w:r>
    </w:p>
    <w:p>
      <w:pPr>
        <w:spacing w:after="100"/>
      </w:pPr>
    </w:p>
    <w:p>
      <w:pPr>
        <w:pStyle w:val="Heading1"/>
        <w:spacing w:after="120" w:line="276"/>
      </w:pPr>
      <w:r>
        <w:rPr>
          <w:rFonts w:ascii="Arial" w:cs="Arial" w:eastAsia="Arial" w:hAnsi="Arial"/>
          <w:b/>
          <w:bCs/>
          <w:color w:val="4A1D96"/>
          <w:sz w:val="28"/>
          <w:szCs w:val="28"/>
        </w:rPr>
        <w:t xml:space="preserve">7. Term and Termination</w:t>
      </w:r>
    </w:p>
    <w:p>
      <w:pPr>
        <w:spacing w:after="200" w:line="276"/>
      </w:pPr>
      <w:r>
        <w:rPr>
          <w:rFonts w:ascii="Arial" w:cs="Arial" w:eastAsia="Arial" w:hAnsi="Arial"/>
          <w:b/>
          <w:bCs/>
          <w:color w:val="1A1A2E"/>
          <w:sz w:val="22"/>
          <w:szCs w:val="22"/>
        </w:rPr>
        <w:t xml:space="preserve">7.1 Term. </w:t>
      </w:r>
      <w:r>
        <w:rPr>
          <w:rFonts w:ascii="Arial" w:cs="Arial" w:eastAsia="Arial" w:hAnsi="Arial"/>
          <w:color w:val="1A1A2E"/>
          <w:sz w:val="22"/>
          <w:szCs w:val="22"/>
        </w:rPr>
        <w:t xml:space="preserve">This Agreement shall remain in effect for a period of two (2) years from the Effective Date, unless earlier terminated by either Party upon thirty (30) days' written notice to the other Party.</w:t>
      </w:r>
    </w:p>
    <w:p>
      <w:pPr>
        <w:spacing w:after="200" w:line="276"/>
      </w:pPr>
      <w:r>
        <w:rPr>
          <w:rFonts w:ascii="Arial" w:cs="Arial" w:eastAsia="Arial" w:hAnsi="Arial"/>
          <w:b/>
          <w:bCs/>
          <w:color w:val="1A1A2E"/>
          <w:sz w:val="22"/>
          <w:szCs w:val="22"/>
        </w:rPr>
        <w:t xml:space="preserve">7.2 Survival. </w:t>
      </w:r>
      <w:r>
        <w:rPr>
          <w:rFonts w:ascii="Arial" w:cs="Arial" w:eastAsia="Arial" w:hAnsi="Arial"/>
          <w:color w:val="1A1A2E"/>
          <w:sz w:val="22"/>
          <w:szCs w:val="22"/>
        </w:rPr>
        <w:t xml:space="preserve">The confidentiality obligations of this Agreement shall survive termination or expiration for a period of five (5) years following the date of disclosure of the applicable Confidential Information. For trade secrets, the confidentiality obligations shall survive for as long as the information remains a trade secret under applicable law.</w:t>
      </w:r>
    </w:p>
    <w:p>
      <w:pPr>
        <w:spacing w:after="100"/>
      </w:pPr>
    </w:p>
    <w:p>
      <w:pPr>
        <w:pStyle w:val="Heading1"/>
        <w:spacing w:after="120" w:line="276"/>
      </w:pPr>
      <w:r>
        <w:rPr>
          <w:rFonts w:ascii="Arial" w:cs="Arial" w:eastAsia="Arial" w:hAnsi="Arial"/>
          <w:b/>
          <w:bCs/>
          <w:color w:val="4A1D96"/>
          <w:sz w:val="28"/>
          <w:szCs w:val="28"/>
        </w:rPr>
        <w:t xml:space="preserve">8. No Obligation</w:t>
      </w:r>
    </w:p>
    <w:p>
      <w:pPr>
        <w:spacing w:after="200" w:line="276"/>
      </w:pPr>
      <w:r>
        <w:rPr>
          <w:rFonts w:ascii="Arial" w:cs="Arial" w:eastAsia="Arial" w:hAnsi="Arial"/>
          <w:color w:val="1A1A2E"/>
          <w:sz w:val="22"/>
          <w:szCs w:val="22"/>
        </w:rPr>
        <w:t xml:space="preserve">Nothing in this Agreement obligates either Party to: (a) enter into any further agreement or business relationship; (b) disclose any particular information; or (c) purchase or sell any products or services. Either Party may terminate discussions related to the Purpose at any time for any reason.</w:t>
      </w:r>
    </w:p>
    <w:p>
      <w:pPr>
        <w:spacing w:after="100"/>
      </w:pPr>
    </w:p>
    <w:p>
      <w:pPr>
        <w:pStyle w:val="Heading1"/>
        <w:spacing w:after="120" w:line="276"/>
      </w:pPr>
      <w:r>
        <w:rPr>
          <w:rFonts w:ascii="Arial" w:cs="Arial" w:eastAsia="Arial" w:hAnsi="Arial"/>
          <w:b/>
          <w:bCs/>
          <w:color w:val="4A1D96"/>
          <w:sz w:val="28"/>
          <w:szCs w:val="28"/>
        </w:rPr>
        <w:t xml:space="preserve">9. Remedies</w:t>
      </w:r>
    </w:p>
    <w:p>
      <w:pPr>
        <w:spacing w:after="200" w:line="276"/>
      </w:pPr>
      <w:r>
        <w:rPr>
          <w:rFonts w:ascii="Arial" w:cs="Arial" w:eastAsia="Arial" w:hAnsi="Arial"/>
          <w:color w:val="1A1A2E"/>
          <w:sz w:val="22"/>
          <w:szCs w:val="22"/>
        </w:rPr>
        <w:t xml:space="preserve">The Parties acknowledge that a breach of this Agreement may cause irreparable harm to the Disclosing Party for which monetary damages may be an inadequate remedy. Accordingly, the Disclosing Party shall be entitled to seek equitable relief, including injunction and specific performance, in addition to any other remedies available at law or in equity, without the requirement of posting a bond.</w:t>
      </w:r>
    </w:p>
    <w:p>
      <w:pPr>
        <w:spacing w:after="100"/>
      </w:pPr>
    </w:p>
    <w:p>
      <w:pPr>
        <w:pStyle w:val="Heading1"/>
        <w:spacing w:after="120" w:line="276"/>
      </w:pPr>
      <w:r>
        <w:rPr>
          <w:rFonts w:ascii="Arial" w:cs="Arial" w:eastAsia="Arial" w:hAnsi="Arial"/>
          <w:b/>
          <w:bCs/>
          <w:color w:val="4A1D96"/>
          <w:sz w:val="28"/>
          <w:szCs w:val="28"/>
        </w:rPr>
        <w:t xml:space="preserve">10. General Provisions</w:t>
      </w:r>
    </w:p>
    <w:p>
      <w:pPr>
        <w:spacing w:after="200" w:line="276"/>
      </w:pPr>
      <w:r>
        <w:rPr>
          <w:rFonts w:ascii="Arial" w:cs="Arial" w:eastAsia="Arial" w:hAnsi="Arial"/>
          <w:b/>
          <w:bCs/>
          <w:color w:val="1A1A2E"/>
          <w:sz w:val="22"/>
          <w:szCs w:val="22"/>
        </w:rPr>
        <w:t xml:space="preserve">10.1 Governing Law. </w:t>
      </w:r>
      <w:r>
        <w:rPr>
          <w:rFonts w:ascii="Arial" w:cs="Arial" w:eastAsia="Arial" w:hAnsi="Arial"/>
          <w:color w:val="1A1A2E"/>
          <w:sz w:val="22"/>
          <w:szCs w:val="22"/>
        </w:rPr>
        <w:t xml:space="preserve">This Agreement shall be governed by the laws of the State of California, without regard to its conflict of law provisions.</w:t>
      </w:r>
    </w:p>
    <w:p>
      <w:pPr>
        <w:spacing w:after="200" w:line="276"/>
      </w:pPr>
      <w:r>
        <w:rPr>
          <w:rFonts w:ascii="Arial" w:cs="Arial" w:eastAsia="Arial" w:hAnsi="Arial"/>
          <w:b/>
          <w:bCs/>
          <w:color w:val="1A1A2E"/>
          <w:sz w:val="22"/>
          <w:szCs w:val="22"/>
        </w:rPr>
        <w:t xml:space="preserve">10.2 Jurisdiction. </w:t>
      </w:r>
      <w:r>
        <w:rPr>
          <w:rFonts w:ascii="Arial" w:cs="Arial" w:eastAsia="Arial" w:hAnsi="Arial"/>
          <w:color w:val="1A1A2E"/>
          <w:sz w:val="22"/>
          <w:szCs w:val="22"/>
        </w:rPr>
        <w:t xml:space="preserve">Any dispute arising under this Agreement shall be resolved exclusively in the state or federal courts located in Los Angeles County, California.</w:t>
      </w:r>
    </w:p>
    <w:p>
      <w:pPr>
        <w:spacing w:after="200" w:line="276"/>
      </w:pPr>
      <w:r>
        <w:rPr>
          <w:rFonts w:ascii="Arial" w:cs="Arial" w:eastAsia="Arial" w:hAnsi="Arial"/>
          <w:b/>
          <w:bCs/>
          <w:color w:val="1A1A2E"/>
          <w:sz w:val="22"/>
          <w:szCs w:val="22"/>
        </w:rPr>
        <w:t xml:space="preserve">10.3 Entire Agreement. </w:t>
      </w:r>
      <w:r>
        <w:rPr>
          <w:rFonts w:ascii="Arial" w:cs="Arial" w:eastAsia="Arial" w:hAnsi="Arial"/>
          <w:color w:val="1A1A2E"/>
          <w:sz w:val="22"/>
          <w:szCs w:val="22"/>
        </w:rPr>
        <w:t xml:space="preserve">This Agreement constitutes the entire agreement between the Parties with respect to the subject matter hereof and supersedes all prior negotiations, discussions, and agreements.</w:t>
      </w:r>
    </w:p>
    <w:p>
      <w:pPr>
        <w:spacing w:after="200" w:line="276"/>
      </w:pPr>
      <w:r>
        <w:rPr>
          <w:rFonts w:ascii="Arial" w:cs="Arial" w:eastAsia="Arial" w:hAnsi="Arial"/>
          <w:b/>
          <w:bCs/>
          <w:color w:val="1A1A2E"/>
          <w:sz w:val="22"/>
          <w:szCs w:val="22"/>
        </w:rPr>
        <w:t xml:space="preserve">10.4 Amendment. </w:t>
      </w:r>
      <w:r>
        <w:rPr>
          <w:rFonts w:ascii="Arial" w:cs="Arial" w:eastAsia="Arial" w:hAnsi="Arial"/>
          <w:color w:val="1A1A2E"/>
          <w:sz w:val="22"/>
          <w:szCs w:val="22"/>
        </w:rPr>
        <w:t xml:space="preserve">This Agreement may be amended only by a written instrument signed by both Parties.</w:t>
      </w:r>
    </w:p>
    <w:p>
      <w:pPr>
        <w:spacing w:after="200" w:line="276"/>
      </w:pPr>
      <w:r>
        <w:rPr>
          <w:rFonts w:ascii="Arial" w:cs="Arial" w:eastAsia="Arial" w:hAnsi="Arial"/>
          <w:b/>
          <w:bCs/>
          <w:color w:val="1A1A2E"/>
          <w:sz w:val="22"/>
          <w:szCs w:val="22"/>
        </w:rPr>
        <w:t xml:space="preserve">10.5 Severability. </w:t>
      </w:r>
      <w:r>
        <w:rPr>
          <w:rFonts w:ascii="Arial" w:cs="Arial" w:eastAsia="Arial" w:hAnsi="Arial"/>
          <w:color w:val="1A1A2E"/>
          <w:sz w:val="22"/>
          <w:szCs w:val="22"/>
        </w:rPr>
        <w:t xml:space="preserve">If any provision is held invalid or unenforceable, the remaining provisions shall remain in full force and effect.</w:t>
      </w:r>
    </w:p>
    <w:p>
      <w:pPr>
        <w:spacing w:after="200" w:line="276"/>
      </w:pPr>
      <w:r>
        <w:rPr>
          <w:rFonts w:ascii="Arial" w:cs="Arial" w:eastAsia="Arial" w:hAnsi="Arial"/>
          <w:b/>
          <w:bCs/>
          <w:color w:val="1A1A2E"/>
          <w:sz w:val="22"/>
          <w:szCs w:val="22"/>
        </w:rPr>
        <w:t xml:space="preserve">10.6 Assignment. </w:t>
      </w:r>
      <w:r>
        <w:rPr>
          <w:rFonts w:ascii="Arial" w:cs="Arial" w:eastAsia="Arial" w:hAnsi="Arial"/>
          <w:color w:val="1A1A2E"/>
          <w:sz w:val="22"/>
          <w:szCs w:val="22"/>
        </w:rPr>
        <w:t xml:space="preserve">Neither Party may assign this Agreement without the prior written consent of the other Party, except to an affiliate or in connection with a merger or sale of substantially all assets.</w:t>
      </w:r>
    </w:p>
    <w:p>
      <w:pPr>
        <w:spacing w:after="200" w:line="276"/>
      </w:pPr>
      <w:r>
        <w:rPr>
          <w:rFonts w:ascii="Arial" w:cs="Arial" w:eastAsia="Arial" w:hAnsi="Arial"/>
          <w:b/>
          <w:bCs/>
          <w:color w:val="1A1A2E"/>
          <w:sz w:val="22"/>
          <w:szCs w:val="22"/>
        </w:rPr>
        <w:t xml:space="preserve">10.7 Counterparts. </w:t>
      </w:r>
      <w:r>
        <w:rPr>
          <w:rFonts w:ascii="Arial" w:cs="Arial" w:eastAsia="Arial" w:hAnsi="Arial"/>
          <w:color w:val="1A1A2E"/>
          <w:sz w:val="22"/>
          <w:szCs w:val="22"/>
        </w:rPr>
        <w:t xml:space="preserve">This Agreement may be executed in counterparts, including by electronic signature, each of which shall be deemed an original.</w:t>
      </w:r>
    </w:p>
    <w:p>
      <w:pPr>
        <w:spacing w:after="100"/>
      </w:pPr>
    </w:p>
    <w:p>
      <w:pPr>
        <w:pBdr>
          <w:bottom w:val="single" w:color="4A1D96" w:sz="6" w:space="1"/>
        </w:pBdr>
        <w:spacing w:after="200" w:line="276"/>
      </w:pPr>
    </w:p>
    <w:p>
      <w:pPr>
        <w:spacing w:after="100"/>
      </w:pPr>
    </w:p>
    <w:p>
      <w:pPr>
        <w:spacing w:after="200" w:line="276"/>
      </w:pPr>
      <w:r>
        <w:rPr>
          <w:rFonts w:ascii="Arial" w:cs="Arial" w:eastAsia="Arial" w:hAnsi="Arial"/>
          <w:b/>
          <w:bCs/>
          <w:color w:val="1A1A2E"/>
          <w:sz w:val="22"/>
          <w:szCs w:val="22"/>
        </w:rPr>
        <w:t xml:space="preserve">IN WITNESS WHEREOF, the Parties have executed this Agreement as of the Effective Date.</w:t>
      </w:r>
    </w:p>
    <w:p>
      <w:pPr>
        <w:spacing w:after="100"/>
      </w:pPr>
    </w:p>
    <w:p>
      <w:pPr>
        <w:spacing w:after="100"/>
      </w:pPr>
    </w:p>
    <w:p>
      <w:pPr>
        <w:spacing w:after="200" w:line="276"/>
      </w:pPr>
      <w:r>
        <w:rPr>
          <w:rFonts w:ascii="Arial" w:cs="Arial" w:eastAsia="Arial" w:hAnsi="Arial"/>
          <w:b/>
          <w:bCs/>
          <w:color w:val="1A1A2E"/>
          <w:sz w:val="22"/>
          <w:szCs w:val="22"/>
        </w:rPr>
        <w:t xml:space="preserve">AUDACION AI LABS LLC</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555555"/>
          <w:sz w:val="20"/>
          <w:szCs w:val="20"/>
        </w:rPr>
        <w:t xml:space="preserve">Dee Williams, Founder, CEO, and Board Chair</w:t>
      </w:r>
    </w:p>
    <w:p>
      <w:pPr>
        <w:spacing w:after="200" w:line="276"/>
      </w:pPr>
      <w:r>
        <w:rPr>
          <w:rFonts w:ascii="Arial" w:cs="Arial" w:eastAsia="Arial" w:hAnsi="Arial"/>
          <w:color w:val="1A1A2E"/>
          <w:sz w:val="20"/>
          <w:szCs w:val="20"/>
        </w:rPr>
        <w:t xml:space="preserve">Date: __________________</w:t>
      </w:r>
    </w:p>
    <w:p>
      <w:pPr>
        <w:spacing w:after="100"/>
      </w:pPr>
    </w:p>
    <w:p>
      <w:pPr>
        <w:spacing w:after="100"/>
      </w:pPr>
    </w:p>
    <w:p>
      <w:pPr>
        <w:spacing w:after="200" w:line="276"/>
      </w:pPr>
      <w:r>
        <w:rPr>
          <w:rFonts w:ascii="Arial" w:cs="Arial" w:eastAsia="Arial" w:hAnsi="Arial"/>
          <w:b/>
          <w:bCs/>
          <w:color w:val="1A1A2E"/>
          <w:sz w:val="22"/>
          <w:szCs w:val="22"/>
        </w:rPr>
        <w:t xml:space="preserve">RECIPIENT</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1A1A2E"/>
          <w:sz w:val="20"/>
          <w:szCs w:val="20"/>
        </w:rPr>
        <w:t xml:space="preserve">Name: __________________</w:t>
      </w:r>
    </w:p>
    <w:p>
      <w:pPr>
        <w:spacing w:after="200" w:line="276"/>
      </w:pPr>
      <w:r>
        <w:rPr>
          <w:rFonts w:ascii="Arial" w:cs="Arial" w:eastAsia="Arial" w:hAnsi="Arial"/>
          <w:color w:val="1A1A2E"/>
          <w:sz w:val="20"/>
          <w:szCs w:val="20"/>
        </w:rPr>
        <w:t xml:space="preserve">Title: __________________</w:t>
      </w:r>
    </w:p>
    <w:p>
      <w:pPr>
        <w:spacing w:after="200" w:line="276"/>
      </w:pPr>
      <w:r>
        <w:rPr>
          <w:rFonts w:ascii="Arial" w:cs="Arial" w:eastAsia="Arial" w:hAnsi="Arial"/>
          <w:color w:val="1A1A2E"/>
          <w:sz w:val="20"/>
          <w:szCs w:val="20"/>
        </w:rPr>
        <w:t xml:space="preserve">Date: 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2026-05-26T16:18:10.761Z</dcterms:created>
  <dcterms:modified xsi:type="dcterms:W3CDTF">2026-05-26T16:18:10.763Z</dcterms:modified>
</cp:coreProperties>
</file>

<file path=docProps/custom.xml><?xml version="1.0" encoding="utf-8"?>
<Properties xmlns="http://schemas.openxmlformats.org/officeDocument/2006/custom-properties" xmlns:vt="http://schemas.openxmlformats.org/officeDocument/2006/docPropsVTypes"/>
</file>