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Research Page Refinement Prompt for Replit</w:t>
      </w:r>
    </w:p>
    <w:p>
      <w:pPr>
        <w:spacing w:after="400"/>
        <w:jc w:val="center"/>
      </w:pPr>
      <w:r>
        <w:rPr>
          <w:rFonts w:ascii="Arial" w:cs="Arial" w:eastAsia="Arial" w:hAnsi="Arial"/>
          <w:color w:val="999999"/>
          <w:sz w:val="22"/>
          <w:szCs w:val="22"/>
        </w:rPr>
        <w:t xml:space="preserve">Two targeted fixes + what you got right</w:t>
      </w:r>
    </w:p>
    <w:p>
      <w:pPr>
        <w:pBdr>
          <w:bottom w:val="single" w:color="6C3483" w:sz="4" w:space="1"/>
        </w:pBdr>
        <w:spacing w:after="200" w:before="200"/>
      </w:pPr>
    </w:p>
    <w:p>
      <w:pPr>
        <w:spacing w:after="120" w:before="300"/>
      </w:pPr>
      <w:r>
        <w:rPr>
          <w:rFonts w:ascii="Arial" w:cs="Arial" w:eastAsia="Arial" w:hAnsi="Arial"/>
          <w:b/>
          <w:bCs/>
          <w:color w:val="27AE60"/>
          <w:sz w:val="32"/>
          <w:szCs w:val="32"/>
        </w:rPr>
        <w:t xml:space="preserve">WHAT YOU NAILED ON THE RESEARCH PAGE</w:t>
      </w:r>
    </w:p>
    <w:p>
      <w:pPr>
        <w:pBdr>
          <w:bottom w:val="single" w:color="27AE60" w:sz="4" w:space="1"/>
        </w:pBdr>
        <w:spacing w:after="200" w:before="200"/>
      </w:pPr>
    </w:p>
    <w:p>
      <w:pPr>
        <w:spacing w:after="100"/>
      </w:pPr>
      <w:r>
        <w:rPr>
          <w:rFonts w:ascii="Arial" w:cs="Arial" w:eastAsia="Arial" w:hAnsi="Arial"/>
          <w:b/>
          <w:bCs/>
          <w:i w:val="false"/>
          <w:iCs w:val="false"/>
          <w:color w:val="333333"/>
          <w:sz w:val="22"/>
          <w:szCs w:val="22"/>
        </w:rPr>
        <w:t xml:space="preserve">1. The PRISM section is the best section on the entire site so far.</w:t>
      </w:r>
    </w:p>
    <w:p>
      <w:pPr>
        <w:spacing w:after="100"/>
      </w:pPr>
      <w:r>
        <w:rPr>
          <w:rFonts w:ascii="Arial" w:cs="Arial" w:eastAsia="Arial" w:hAnsi="Arial"/>
          <w:b w:val="false"/>
          <w:bCs w:val="false"/>
          <w:i w:val="false"/>
          <w:iCs w:val="false"/>
          <w:color w:val="333333"/>
          <w:sz w:val="22"/>
          <w:szCs w:val="22"/>
        </w:rPr>
        <w:t xml:space="preserve">The prism graphic with five labeled beams in their beam colors, combined with the heading "One field. Five dimensions of safety," communicates the entire research framework in a single visual moment. A visitor understands the concept before they read a word of body text. The accordion pillar cards below let them explore at their own pace without being overwhelmed by five dense paragraphs. This is the gold standard for how to present a complex framework: visual anchor first, then interactive detail. Carry this pattern forward to any page that introduces a multi-part concept.</w:t>
      </w:r>
    </w:p>
    <w:p>
      <w:pPr>
        <w:spacing w:after="100"/>
      </w:pPr>
      <w:r>
        <w:rPr>
          <w:rFonts w:ascii="Arial" w:cs="Arial" w:eastAsia="Arial" w:hAnsi="Arial"/>
          <w:b/>
          <w:bCs/>
          <w:i w:val="false"/>
          <w:iCs w:val="false"/>
          <w:color w:val="333333"/>
          <w:sz w:val="22"/>
          <w:szCs w:val="22"/>
        </w:rPr>
        <w:t xml:space="preserve">2. The research questions accordion is doing exactly what it should.</w:t>
      </w:r>
    </w:p>
    <w:p>
      <w:pPr>
        <w:spacing w:after="100"/>
      </w:pPr>
      <w:r>
        <w:rPr>
          <w:rFonts w:ascii="Arial" w:cs="Arial" w:eastAsia="Arial" w:hAnsi="Arial"/>
          <w:b w:val="false"/>
          <w:bCs w:val="false"/>
          <w:i w:val="false"/>
          <w:iCs w:val="false"/>
          <w:color w:val="333333"/>
          <w:sz w:val="22"/>
          <w:szCs w:val="22"/>
        </w:rPr>
        <w:t xml:space="preserve">Nine research questions would have been 40 lines of dense text. Instead, the accordion lets the reader scan all nine questions at a glance and choose which ones to explore. The PRISM pillar color tags on each question tell the reader which research dimension the question belongs to before they even open it. This is how you handle dense content on a research page: give the reader control over depth. Repeat this pattern on any future page with more than 5 detailed items.</w:t>
      </w:r>
    </w:p>
    <w:p>
      <w:pPr>
        <w:spacing w:after="100"/>
      </w:pPr>
      <w:r>
        <w:rPr>
          <w:rFonts w:ascii="Arial" w:cs="Arial" w:eastAsia="Arial" w:hAnsi="Arial"/>
          <w:b/>
          <w:bCs/>
          <w:i w:val="false"/>
          <w:iCs w:val="false"/>
          <w:color w:val="333333"/>
          <w:sz w:val="22"/>
          <w:szCs w:val="22"/>
        </w:rPr>
        <w:t xml:space="preserve">3. "We do not compete. We complement." section reads cleanly.</w:t>
      </w:r>
    </w:p>
    <w:p>
      <w:pPr>
        <w:spacing w:after="100"/>
      </w:pPr>
      <w:r>
        <w:rPr>
          <w:rFonts w:ascii="Arial" w:cs="Arial" w:eastAsia="Arial" w:hAnsi="Arial"/>
          <w:b w:val="false"/>
          <w:bCs w:val="false"/>
          <w:i w:val="false"/>
          <w:iCs w:val="false"/>
          <w:color w:val="333333"/>
          <w:sz w:val="22"/>
          <w:szCs w:val="22"/>
        </w:rPr>
        <w:t xml:space="preserve">The comparison rows showing five org types alongside what Audacion adds are clear and scannable. The collaborative tone comes through visually because the layout is side-by-side (partnership) rather than versus (competition). The four CTAs at the bottom (Partner, Collaborate, Submit, Join) give every type of reader a next step. This section will be one of the first things a funder or partner organization reads. It is doing its job.</w:t>
      </w:r>
    </w:p>
    <w:p>
      <w:pPr>
        <w:spacing w:after="100"/>
      </w:pPr>
      <w:r>
        <w:rPr>
          <w:rFonts w:ascii="Arial" w:cs="Arial" w:eastAsia="Arial" w:hAnsi="Arial"/>
          <w:b/>
          <w:bCs/>
          <w:i w:val="false"/>
          <w:iCs w:val="false"/>
          <w:color w:val="333333"/>
          <w:sz w:val="22"/>
          <w:szCs w:val="22"/>
        </w:rPr>
        <w:t xml:space="preserve">4. The publications timeline with the PRISM Summit card.</w:t>
      </w:r>
    </w:p>
    <w:p>
      <w:pPr>
        <w:spacing w:after="100"/>
      </w:pPr>
      <w:r>
        <w:rPr>
          <w:rFonts w:ascii="Arial" w:cs="Arial" w:eastAsia="Arial" w:hAnsi="Arial"/>
          <w:b w:val="false"/>
          <w:bCs w:val="false"/>
          <w:i w:val="false"/>
          <w:iCs w:val="false"/>
          <w:color w:val="333333"/>
          <w:sz w:val="22"/>
          <w:szCs w:val="22"/>
        </w:rPr>
        <w:t xml:space="preserve">The horizontal timeline nodes show the lab has a real research pipeline with specific papers and target dates. This is credibility infrastructure. A funder sees forthcoming publications and thinks "this lab has a plan." The PRISM Summit 2027 card in purple stands out as a distinct element. Forward-looking energy on a research page signals momentum. Well done.</w:t>
      </w:r>
    </w:p>
    <w:p>
      <w:pPr>
        <w:spacing w:after="100"/>
      </w:pPr>
      <w:r>
        <w:rPr>
          <w:rFonts w:ascii="Arial" w:cs="Arial" w:eastAsia="Arial" w:hAnsi="Arial"/>
          <w:b/>
          <w:bCs/>
          <w:i w:val="false"/>
          <w:iCs w:val="false"/>
          <w:color w:val="333333"/>
          <w:sz w:val="22"/>
          <w:szCs w:val="22"/>
        </w:rPr>
        <w:t xml:space="preserve">5. The stat blocks are scannable.</w:t>
      </w:r>
    </w:p>
    <w:p>
      <w:pPr>
        <w:spacing w:after="100"/>
      </w:pPr>
      <w:r>
        <w:rPr>
          <w:rFonts w:ascii="Arial" w:cs="Arial" w:eastAsia="Arial" w:hAnsi="Arial"/>
          <w:b w:val="false"/>
          <w:bCs w:val="false"/>
          <w:i w:val="false"/>
          <w:iCs w:val="false"/>
          <w:color w:val="333333"/>
          <w:sz w:val="22"/>
          <w:szCs w:val="22"/>
        </w:rPr>
        <w:t xml:space="preserve">62, 15, 7, 31, 1,470+, 5. Six numbers in a grid that a reader can process in 3 seconds. These numbers are the credibility signal for the entire lab. They should always be large, high-contrast, and impossible to miss. You achieved that.</w:t>
      </w:r>
    </w:p>
    <w:p>
      <w:pPr>
        <w:spacing w:after="100"/>
      </w:pPr>
      <w:r>
        <w:rPr>
          <w:rFonts w:ascii="Arial" w:cs="Arial" w:eastAsia="Arial" w:hAnsi="Arial"/>
          <w:b/>
          <w:bCs/>
          <w:i w:val="false"/>
          <w:iCs w:val="false"/>
          <w:color w:val="333333"/>
          <w:sz w:val="22"/>
          <w:szCs w:val="22"/>
        </w:rPr>
        <w:t xml:space="preserve">6. Visual rhythm across the full page.</w:t>
      </w:r>
    </w:p>
    <w:p>
      <w:pPr>
        <w:spacing w:after="100"/>
      </w:pPr>
      <w:r>
        <w:rPr>
          <w:rFonts w:ascii="Arial" w:cs="Arial" w:eastAsia="Arial" w:hAnsi="Arial"/>
          <w:b w:val="false"/>
          <w:bCs w:val="false"/>
          <w:i w:val="false"/>
          <w:iCs w:val="false"/>
          <w:color w:val="333333"/>
          <w:sz w:val="22"/>
          <w:szCs w:val="22"/>
        </w:rPr>
        <w:t xml:space="preserve">No two adjacent sections use the same layout. Mission text, then data visualization with stat grid, then compact two-column bio, then image with accordion cards, then card grid with interactive taxonomy, then question accordion, then comparison rows, then timeline, then pipeline flow, then blog cards, then harm report panel. That variation is what prevents a 10-section page from feeling monotonous. This is the most content-dense page on the site and it still feels explorable, not exhausting. That is a design achievement.</w:t>
      </w:r>
    </w:p>
    <w:p>
      <w:pPr>
        <w:spacing w:after="100"/>
      </w:pPr>
      <w:r>
        <w:rPr>
          <w:rFonts w:ascii="Arial" w:cs="Arial" w:eastAsia="Arial" w:hAnsi="Arial"/>
          <w:b/>
          <w:bCs/>
          <w:i w:val="false"/>
          <w:iCs w:val="false"/>
          <w:color w:val="333333"/>
          <w:sz w:val="22"/>
          <w:szCs w:val="22"/>
        </w:rPr>
        <w:t xml:space="preserve">7. The mini taxonomy preview with pillar tabs.</w:t>
      </w:r>
    </w:p>
    <w:p>
      <w:pPr>
        <w:spacing w:after="100"/>
      </w:pPr>
      <w:r>
        <w:rPr>
          <w:rFonts w:ascii="Arial" w:cs="Arial" w:eastAsia="Arial" w:hAnsi="Arial"/>
          <w:b w:val="false"/>
          <w:bCs w:val="false"/>
          <w:i w:val="false"/>
          <w:iCs w:val="false"/>
          <w:color w:val="333333"/>
          <w:sz w:val="22"/>
          <w:szCs w:val="22"/>
        </w:rPr>
        <w:t xml:space="preserve">The interactive element where clicking a PRISM pillar shows example behaviors is exactly what makes this feel like a research platform and not a brochure. It invites exploration. It gives a taste of the full Taxonomy Explorer without building the whole thing. Visitors who interact with this element are significantly more likely to sign up because they have already started engaging with the research. Smart execution.</w:t>
      </w:r>
    </w:p>
    <w:p>
      <w:r>
        <w:br w:type="page"/>
      </w:r>
    </w:p>
    <w:p>
      <w:pPr>
        <w:spacing w:after="120" w:before="300"/>
      </w:pPr>
      <w:r>
        <w:rPr>
          <w:rFonts w:ascii="Arial" w:cs="Arial" w:eastAsia="Arial" w:hAnsi="Arial"/>
          <w:b/>
          <w:bCs/>
          <w:color w:val="C0392B"/>
          <w:sz w:val="32"/>
          <w:szCs w:val="32"/>
        </w:rPr>
        <w:t xml:space="preserve">TWO REFINEMENTS</w:t>
      </w:r>
    </w:p>
    <w:p>
      <w:pPr>
        <w:pBdr>
          <w:bottom w:val="single" w:color="C0392B" w:sz="4" w:space="1"/>
        </w:pBdr>
        <w:spacing w:after="200" w:before="200"/>
      </w:pPr>
    </w:p>
    <w:p>
      <w:pPr>
        <w:spacing w:after="100"/>
      </w:pPr>
      <w:r>
        <w:rPr>
          <w:rFonts w:ascii="Arial" w:cs="Arial" w:eastAsia="Arial" w:hAnsi="Arial"/>
          <w:b/>
          <w:bCs/>
          <w:i w:val="false"/>
          <w:iCs w:val="false"/>
          <w:color w:val="C0392B"/>
          <w:sz w:val="26"/>
          <w:szCs w:val="26"/>
        </w:rPr>
        <w:t xml:space="preserve">FIX 1: The Gap visualization (V1) must make the proportional disparity visually dramatic</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THE PROBLEM: </w:t>
      </w:r>
      <w:r>
        <w:rPr>
          <w:rFonts w:ascii="Arial" w:cs="Arial" w:eastAsia="Arial" w:hAnsi="Arial"/>
          <w:b w:val="false"/>
          <w:bCs w:val="false"/>
          <w:i w:val="false"/>
          <w:iCs w:val="false"/>
          <w:color w:val="333333"/>
          <w:sz w:val="22"/>
          <w:szCs w:val="22"/>
        </w:rPr>
        <w:t xml:space="preserve">The Gap visualization at the top of Section 2 needs to make a visitor feel the size of the disparity between incidents (97.5%) and research (&lt;2%) in their gut, not just their head. If the visual reads as a bar chart or data graphic, it is informational. If it reads as a visual shock, it is persuasive. We need persuasive.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27AE60"/>
          <w:sz w:val="22"/>
          <w:szCs w:val="22"/>
        </w:rPr>
        <w:t xml:space="preserve">THE FIX: </w:t>
      </w:r>
      <w:r>
        <w:rPr>
          <w:rFonts w:ascii="Arial" w:cs="Arial" w:eastAsia="Arial" w:hAnsi="Arial"/>
          <w:b w:val="false"/>
          <w:bCs w:val="false"/>
          <w:i w:val="false"/>
          <w:iCs w:val="false"/>
          <w:color w:val="333333"/>
          <w:sz w:val="22"/>
          <w:szCs w:val="22"/>
        </w:rPr>
        <w:t xml:space="preserve">Verify and if necessary adjust the proportional representation so the disparity is immediately obvious. Here are the specific requirements:</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The element representing 97.5% (incidents after deployment) must be VISUALLY MASSIVE relative to the element representing &lt;2% (research). If this is a horizontal bar: the red/dark portion should fill nearly the entire width, and the purple portion should be a tiny sliver. If this is two shapes: one should be enormous and one should be barely visible.</w:t>
      </w:r>
    </w:p>
    <w:p>
      <w:pPr>
        <w:pStyle w:val="ListParagraph"/>
        <w:numPr>
          <w:ilvl w:val="0"/>
          <w:numId w:val="2"/>
        </w:numPr>
        <w:spacing w:after="80"/>
      </w:pPr>
      <w:r>
        <w:rPr>
          <w:rFonts w:ascii="Arial" w:cs="Arial" w:eastAsia="Arial" w:hAnsi="Arial"/>
          <w:sz w:val="22"/>
          <w:szCs w:val="22"/>
        </w:rPr>
        <w:t xml:space="preserve">The visual contrast must work at a glance. Test this: show the visualization to someone for 2 seconds and then hide it. Ask them what they saw. If they say "a huge bar and a tiny sliver" or "one big thing and one tiny thing," it is working. If they say "a bar chart with two sections," it is not dramatic enough.</w:t>
      </w:r>
    </w:p>
    <w:p>
      <w:pPr>
        <w:pStyle w:val="ListParagraph"/>
        <w:numPr>
          <w:ilvl w:val="0"/>
          <w:numId w:val="2"/>
        </w:numPr>
        <w:spacing w:after="80"/>
      </w:pPr>
      <w:r>
        <w:rPr>
          <w:rFonts w:ascii="Arial" w:cs="Arial" w:eastAsia="Arial" w:hAnsi="Arial"/>
          <w:sz w:val="22"/>
          <w:szCs w:val="22"/>
        </w:rPr>
        <w:t xml:space="preserve">Below the visualization, the text "That is the gap." should sit in white, 20px to 24px, semi-bold, with 32px of space above it. This line is the caption that names what they just felt. It should land like a statement, not a label.</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Specific proportional check:</w:t>
      </w:r>
    </w:p>
    <w:p>
      <w:pPr>
        <w:pStyle w:val="ListParagraph"/>
        <w:numPr>
          <w:ilvl w:val="0"/>
          <w:numId w:val="2"/>
        </w:numPr>
        <w:spacing w:after="80"/>
      </w:pPr>
      <w:r>
        <w:rPr>
          <w:rFonts w:ascii="Arial" w:cs="Arial" w:eastAsia="Arial" w:hAnsi="Arial"/>
          <w:sz w:val="22"/>
          <w:szCs w:val="22"/>
        </w:rPr>
        <w:t xml:space="preserve">If using a horizontal bar: the "incidents" portion should be approximately 48x wider than the "research" portion (97.5 divided by 2 = 48.75). At a container width of 1100px, the incidents bar would be ~1076px and the research bar would be ~22px. That 22px sliver IS the visual argument.</w:t>
      </w:r>
    </w:p>
    <w:p>
      <w:pPr>
        <w:pStyle w:val="ListParagraph"/>
        <w:numPr>
          <w:ilvl w:val="0"/>
          <w:numId w:val="2"/>
        </w:numPr>
        <w:spacing w:after="80"/>
      </w:pPr>
      <w:r>
        <w:rPr>
          <w:rFonts w:ascii="Arial" w:cs="Arial" w:eastAsia="Arial" w:hAnsi="Arial"/>
          <w:sz w:val="22"/>
          <w:szCs w:val="22"/>
        </w:rPr>
        <w:t xml:space="preserve">If using circles: the area of the incidents circle should be ~48x the area of the research circle. A 200px diameter circle next to a 29px diameter circle. The size difference should feel uncomfortable.</w:t>
      </w:r>
    </w:p>
    <w:p>
      <w:pPr>
        <w:pStyle w:val="ListParagraph"/>
        <w:numPr>
          <w:ilvl w:val="0"/>
          <w:numId w:val="2"/>
        </w:numPr>
        <w:spacing w:after="80"/>
      </w:pPr>
      <w:r>
        <w:rPr>
          <w:rFonts w:ascii="Arial" w:cs="Arial" w:eastAsia="Arial" w:hAnsi="Arial"/>
          <w:sz w:val="22"/>
          <w:szCs w:val="22"/>
        </w:rPr>
        <w:t xml:space="preserve">If the current implementation shows these as roughly comparable sizes, or if the smaller element is larger than 5% of the visual space, the proportions need correction.</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iCs/>
          <w:color w:val="333333"/>
          <w:sz w:val="22"/>
          <w:szCs w:val="22"/>
        </w:rPr>
        <w:t xml:space="preserve">WHY THIS MATTERS: </w:t>
      </w:r>
      <w:r>
        <w:rPr>
          <w:rFonts w:ascii="Arial" w:cs="Arial" w:eastAsia="Arial" w:hAnsi="Arial"/>
          <w:b w:val="false"/>
          <w:bCs w:val="false"/>
          <w:i/>
          <w:iCs/>
          <w:color w:val="333333"/>
          <w:sz w:val="22"/>
          <w:szCs w:val="22"/>
        </w:rPr>
        <w:t xml:space="preserve">This visualization is the first thing a visitor sees after the mission statement. It is the opening argument for the entire lab's existence. If it looks like a chart, the visitor processes it intellectually and moves on. If it looks like an injustice, the visitor feels something and keeps reading to find out what this lab is doing about it. The proportional drama is the difference between information and persuasion.</w:t>
      </w:r>
    </w:p>
    <w:p>
      <w:pPr>
        <w:pBdr>
          <w:bottom w:val="single" w:color="C0392B" w:sz="4" w:space="1"/>
        </w:pBdr>
        <w:spacing w:after="200" w:before="200"/>
      </w:pPr>
    </w:p>
    <w:p>
      <w:pPr>
        <w:spacing w:after="100"/>
      </w:pPr>
      <w:r>
        <w:rPr>
          <w:rFonts w:ascii="Arial" w:cs="Arial" w:eastAsia="Arial" w:hAnsi="Arial"/>
          <w:b/>
          <w:bCs/>
          <w:i w:val="false"/>
          <w:iCs w:val="false"/>
          <w:color w:val="C0392B"/>
          <w:sz w:val="26"/>
          <w:szCs w:val="26"/>
        </w:rPr>
        <w:t xml:space="preserve">FIX 2: Citizen Science pipeline (V3) must be a connected visual flow, not text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THE PROBLEM: </w:t>
      </w:r>
      <w:r>
        <w:rPr>
          <w:rFonts w:ascii="Arial" w:cs="Arial" w:eastAsia="Arial" w:hAnsi="Arial"/>
          <w:b w:val="false"/>
          <w:bCs w:val="false"/>
          <w:i w:val="false"/>
          <w:iCs w:val="false"/>
          <w:color w:val="333333"/>
          <w:sz w:val="22"/>
          <w:szCs w:val="22"/>
        </w:rPr>
        <w:t xml:space="preserve">Section 8 (The Citizen Science Model) describes a five-step pipeline: Observe, Classify, Aggregate, Discover, Publish. This pipeline is the core explanation of how a contributor's observation becomes published research. If this section is rendered as text paragraphs (even well-written ones), the reader has to mentally construct the pipeline in their head. If it is rendered as a connected visual flow, the reader sees the pipeline instantly and the text becomes supporting detail.</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27AE60"/>
          <w:sz w:val="22"/>
          <w:szCs w:val="22"/>
        </w:rPr>
        <w:t xml:space="preserve">THE FIX: </w:t>
      </w:r>
      <w:r>
        <w:rPr>
          <w:rFonts w:ascii="Arial" w:cs="Arial" w:eastAsia="Arial" w:hAnsi="Arial"/>
          <w:b w:val="false"/>
          <w:bCs w:val="false"/>
          <w:i w:val="false"/>
          <w:iCs w:val="false"/>
          <w:color w:val="333333"/>
          <w:sz w:val="22"/>
          <w:szCs w:val="22"/>
        </w:rPr>
        <w:t xml:space="preserve">Build a five-step visual flow with the following specification:</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STRUCTURE:</w:t>
      </w:r>
    </w:p>
    <w:p>
      <w:pPr>
        <w:pStyle w:val="ListParagraph"/>
        <w:numPr>
          <w:ilvl w:val="0"/>
          <w:numId w:val="2"/>
        </w:numPr>
        <w:spacing w:after="80"/>
      </w:pPr>
      <w:r>
        <w:rPr>
          <w:rFonts w:ascii="Arial" w:cs="Arial" w:eastAsia="Arial" w:hAnsi="Arial"/>
          <w:sz w:val="22"/>
          <w:szCs w:val="22"/>
        </w:rPr>
        <w:t xml:space="preserve">Five step cards arranged vertically (or in an L-shape on desktop: steps 1 to 3 on the left, steps 4 to 5 on the right with a horizontal connector between 3 and 4).</w:t>
      </w:r>
    </w:p>
    <w:p>
      <w:pPr>
        <w:pStyle w:val="ListParagraph"/>
        <w:numPr>
          <w:ilvl w:val="0"/>
          <w:numId w:val="2"/>
        </w:numPr>
        <w:spacing w:after="80"/>
      </w:pPr>
      <w:r>
        <w:rPr>
          <w:rFonts w:ascii="Arial" w:cs="Arial" w:eastAsia="Arial" w:hAnsi="Arial"/>
          <w:sz w:val="22"/>
          <w:szCs w:val="22"/>
        </w:rPr>
        <w:t xml:space="preserve">Each card has: a step number, a bold label in an accent color, and 1 to 2 lines of description text.</w:t>
      </w:r>
    </w:p>
    <w:p>
      <w:pPr>
        <w:pStyle w:val="ListParagraph"/>
        <w:numPr>
          <w:ilvl w:val="0"/>
          <w:numId w:val="2"/>
        </w:numPr>
        <w:spacing w:after="80"/>
      </w:pPr>
      <w:r>
        <w:rPr>
          <w:rFonts w:ascii="Arial" w:cs="Arial" w:eastAsia="Arial" w:hAnsi="Arial"/>
          <w:sz w:val="22"/>
          <w:szCs w:val="22"/>
        </w:rPr>
        <w:t xml:space="preserve">Cards connected by thin vertical lines (2px, #333333 or #444444) with a small downward arrow or chevron between them.</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STEP DETAILS: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400"/>
        <w:gridCol w:w="204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Label</w:t>
            </w:r>
          </w:p>
        </w:tc>
        <w:tc>
          <w:tcPr>
            <w:tcW w:type="dxa" w:w="5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Description (1 to 2 lines)</w:t>
            </w:r>
          </w:p>
        </w:tc>
        <w:tc>
          <w:tcPr>
            <w:tcW w:type="dxa" w:w="2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Accent</w:t>
            </w:r>
          </w:p>
        </w:tc>
      </w:tr>
      <w:tr>
        <w:tc>
          <w:tcPr>
            <w:tcW w:type="dxa" w:w="6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YOU OBSERVE</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Web portal, browser extension, or partner integration. A quick signal or a full investigation.</w:t>
            </w:r>
          </w:p>
        </w:tc>
        <w:tc>
          <w:tcPr>
            <w:tcW w:type="dxa" w:w="20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Gray #BDC3C7</w:t>
            </w:r>
          </w:p>
        </w:tc>
      </w:tr>
      <w:tr>
        <w:tc>
          <w:tcPr>
            <w:tcW w:type="dxa" w:w="6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WE CLASSIFY</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Your observation maps to the taxonomy. PRISM dimension and behavioral pattern identified.</w:t>
            </w:r>
          </w:p>
        </w:tc>
        <w:tc>
          <w:tcPr>
            <w:tcW w:type="dxa" w:w="20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Green #27AE60</w:t>
            </w:r>
          </w:p>
        </w:tc>
      </w:tr>
      <w:tr>
        <w:tc>
          <w:tcPr>
            <w:tcW w:type="dxa" w:w="6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WE AGGREGATE</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Across thousands of observations, cross-model comparisons and temporal patterns emerge.</w:t>
            </w:r>
          </w:p>
        </w:tc>
        <w:tc>
          <w:tcPr>
            <w:tcW w:type="dxa" w:w="20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Blue #2980B9</w:t>
            </w:r>
          </w:p>
        </w:tc>
      </w:tr>
      <w:tr>
        <w:tc>
          <w:tcPr>
            <w:tcW w:type="dxa" w:w="6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WE DISCOVER</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Unclassified clusters become new categories. You are credited as the discoverer.</w:t>
            </w:r>
          </w:p>
        </w:tc>
        <w:tc>
          <w:tcPr>
            <w:tcW w:type="dxa" w:w="20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Purple #6C3483</w:t>
            </w:r>
          </w:p>
        </w:tc>
      </w:tr>
      <w:tr>
        <w:tc>
          <w:tcPr>
            <w:tcW w:type="dxa" w:w="6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0"/>
                <w:szCs w:val="20"/>
              </w:rPr>
              <w:t xml:space="preserve">WE PUBLISH</w:t>
            </w:r>
          </w:p>
        </w:tc>
        <w:tc>
          <w:tcPr>
            <w:tcW w:type="dxa" w:w="540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Anonymized findings become open research: taxonomies, frameworks, and safety studies.</w:t>
            </w:r>
          </w:p>
        </w:tc>
        <w:tc>
          <w:tcPr>
            <w:tcW w:type="dxa" w:w="204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Violet #8E44AD</w:t>
            </w:r>
          </w:p>
        </w:tc>
      </w:tr>
    </w:tbl>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VISUAL TREATMENT:</w:t>
      </w:r>
    </w:p>
    <w:p>
      <w:pPr>
        <w:pStyle w:val="ListParagraph"/>
        <w:numPr>
          <w:ilvl w:val="0"/>
          <w:numId w:val="2"/>
        </w:numPr>
        <w:spacing w:after="80"/>
      </w:pPr>
      <w:r>
        <w:rPr>
          <w:rFonts w:ascii="Arial" w:cs="Arial" w:eastAsia="Arial" w:hAnsi="Arial"/>
          <w:sz w:val="22"/>
          <w:szCs w:val="22"/>
        </w:rPr>
        <w:t xml:space="preserve">Each card: dark background (#222222), 4px left border in its accent color, 16px padding inside.</w:t>
      </w:r>
    </w:p>
    <w:p>
      <w:pPr>
        <w:pStyle w:val="ListParagraph"/>
        <w:numPr>
          <w:ilvl w:val="0"/>
          <w:numId w:val="2"/>
        </w:numPr>
        <w:spacing w:after="80"/>
      </w:pPr>
      <w:r>
        <w:rPr>
          <w:rFonts w:ascii="Arial" w:cs="Arial" w:eastAsia="Arial" w:hAnsi="Arial"/>
          <w:sz w:val="22"/>
          <w:szCs w:val="22"/>
        </w:rPr>
        <w:t xml:space="preserve">Label: 18px bold, in the accent color.</w:t>
      </w:r>
    </w:p>
    <w:p>
      <w:pPr>
        <w:pStyle w:val="ListParagraph"/>
        <w:numPr>
          <w:ilvl w:val="0"/>
          <w:numId w:val="2"/>
        </w:numPr>
        <w:spacing w:after="80"/>
      </w:pPr>
      <w:r>
        <w:rPr>
          <w:rFonts w:ascii="Arial" w:cs="Arial" w:eastAsia="Arial" w:hAnsi="Arial"/>
          <w:sz w:val="22"/>
          <w:szCs w:val="22"/>
        </w:rPr>
        <w:t xml:space="preserve">Description: 14px to 16px, #E0E0E0.</w:t>
      </w:r>
    </w:p>
    <w:p>
      <w:pPr>
        <w:pStyle w:val="ListParagraph"/>
        <w:numPr>
          <w:ilvl w:val="0"/>
          <w:numId w:val="2"/>
        </w:numPr>
        <w:spacing w:after="80"/>
      </w:pPr>
      <w:r>
        <w:rPr>
          <w:rFonts w:ascii="Arial" w:cs="Arial" w:eastAsia="Arial" w:hAnsi="Arial"/>
          <w:sz w:val="22"/>
          <w:szCs w:val="22"/>
        </w:rPr>
        <w:t xml:space="preserve">Connecting lines between cards: 2px solid #333333, centered horizontally relative to the cards. A small downward chevron or arrow icon at the midpoint of each line.</w:t>
      </w:r>
    </w:p>
    <w:p>
      <w:pPr>
        <w:pStyle w:val="ListParagraph"/>
        <w:numPr>
          <w:ilvl w:val="0"/>
          <w:numId w:val="2"/>
        </w:numPr>
        <w:spacing w:after="80"/>
      </w:pPr>
      <w:r>
        <w:rPr>
          <w:rFonts w:ascii="Arial" w:cs="Arial" w:eastAsia="Arial" w:hAnsi="Arial"/>
          <w:sz w:val="22"/>
          <w:szCs w:val="22"/>
        </w:rPr>
        <w:t xml:space="preserve">Cards have 16px gap between them (the connecting line spans this gap).</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ANIMATION:</w:t>
      </w:r>
    </w:p>
    <w:p>
      <w:pPr>
        <w:pStyle w:val="ListParagraph"/>
        <w:numPr>
          <w:ilvl w:val="0"/>
          <w:numId w:val="2"/>
        </w:numPr>
        <w:spacing w:after="80"/>
      </w:pPr>
      <w:r>
        <w:rPr>
          <w:rFonts w:ascii="Arial" w:cs="Arial" w:eastAsia="Arial" w:hAnsi="Arial"/>
          <w:sz w:val="22"/>
          <w:szCs w:val="22"/>
        </w:rPr>
        <w:t xml:space="preserve">When the section scrolls into view: steps fade in sequentially from top to bottom (or left to right if L-shaped). 250ms stagger. Each step fades in with a slight upward movement (translateY from 12px to 0, ease-out). The connecting line between step N and step N+1 animates in simultaneously with step N+1.</w:t>
      </w:r>
    </w:p>
    <w:p>
      <w:pPr>
        <w:pStyle w:val="ListParagraph"/>
        <w:numPr>
          <w:ilvl w:val="0"/>
          <w:numId w:val="2"/>
        </w:numPr>
        <w:spacing w:after="80"/>
      </w:pPr>
      <w:r>
        <w:rPr>
          <w:rFonts w:ascii="Arial" w:cs="Arial" w:eastAsia="Arial" w:hAnsi="Arial"/>
          <w:sz w:val="22"/>
          <w:szCs w:val="22"/>
        </w:rPr>
        <w:t xml:space="preserve">Respect prefers-reduced-motion: if enabled, show everything immediately with no animation.</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SURROUNDING TEXT:</w:t>
      </w:r>
    </w:p>
    <w:p>
      <w:pPr>
        <w:pStyle w:val="ListParagraph"/>
        <w:numPr>
          <w:ilvl w:val="0"/>
          <w:numId w:val="2"/>
        </w:numPr>
        <w:spacing w:after="80"/>
      </w:pPr>
      <w:r>
        <w:rPr>
          <w:rFonts w:ascii="Arial" w:cs="Arial" w:eastAsia="Arial" w:hAnsi="Arial"/>
          <w:sz w:val="22"/>
          <w:szCs w:val="22"/>
        </w:rPr>
        <w:t xml:space="preserve">Above the flow: "The research starts with you." displayed as a pull quote, 24px, Audacion purple, left-aligned within the container.</w:t>
      </w:r>
    </w:p>
    <w:p>
      <w:pPr>
        <w:pStyle w:val="ListParagraph"/>
        <w:numPr>
          <w:ilvl w:val="0"/>
          <w:numId w:val="2"/>
        </w:numPr>
        <w:spacing w:after="80"/>
      </w:pPr>
      <w:r>
        <w:rPr>
          <w:rFonts w:ascii="Arial" w:cs="Arial" w:eastAsia="Arial" w:hAnsi="Arial"/>
          <w:sz w:val="22"/>
          <w:szCs w:val="22"/>
        </w:rPr>
        <w:t xml:space="preserve">Below the flow: "Your observations. Our science. The field's foundation." as a standalone closing statement, 22px, white, 40px spacing above.</w:t>
      </w:r>
    </w:p>
    <w:p>
      <w:pPr>
        <w:pStyle w:val="ListParagraph"/>
        <w:numPr>
          <w:ilvl w:val="0"/>
          <w:numId w:val="2"/>
        </w:numPr>
        <w:spacing w:after="80"/>
      </w:pPr>
      <w:r>
        <w:rPr>
          <w:rFonts w:ascii="Arial" w:cs="Arial" w:eastAsia="Arial" w:hAnsi="Arial"/>
          <w:sz w:val="22"/>
          <w:szCs w:val="22"/>
        </w:rPr>
        <w:t xml:space="preserve">Three CTAs below: "Join the PRISM Research Fellowship" (primary, large), "Follow Our Progress" (ghost), "Support With a Donation" (ghost).</w:t>
      </w:r>
    </w:p>
    <w:p>
      <w:pPr>
        <w:pStyle w:val="ListParagraph"/>
        <w:numPr>
          <w:ilvl w:val="0"/>
          <w:numId w:val="2"/>
        </w:numPr>
        <w:spacing w:after="80"/>
      </w:pPr>
      <w:r>
        <w:rPr>
          <w:rFonts w:ascii="Arial" w:cs="Arial" w:eastAsia="Arial" w:hAnsi="Arial"/>
          <w:sz w:val="22"/>
          <w:szCs w:val="22"/>
        </w:rPr>
        <w:t xml:space="preserve">Second appearance of live counter bar below CTAs.</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iCs/>
          <w:color w:val="333333"/>
          <w:sz w:val="22"/>
          <w:szCs w:val="22"/>
        </w:rPr>
        <w:t xml:space="preserve">WHY THIS MATTERS: </w:t>
      </w:r>
      <w:r>
        <w:rPr>
          <w:rFonts w:ascii="Arial" w:cs="Arial" w:eastAsia="Arial" w:hAnsi="Arial"/>
          <w:b w:val="false"/>
          <w:bCs w:val="false"/>
          <w:i/>
          <w:iCs/>
          <w:color w:val="333333"/>
          <w:sz w:val="22"/>
          <w:szCs w:val="22"/>
        </w:rPr>
        <w:t xml:space="preserve">A potential contributor is asking one question: "What happens to my observation after I submit it?" The pipeline answers that question visually. If it is text, they have to read five paragraphs to understand the process. If it is a connected flow, they see the entire pipeline in 3 seconds and the text becomes supporting detail they can read at their own pace. The flow diagram is the difference between "I think I understand" and "I see exactly how this works."</w:t>
      </w:r>
    </w:p>
    <w:p>
      <w:pPr>
        <w:pBdr>
          <w:bottom w:val="single" w:color="6C3483" w:sz="4" w:space="1"/>
        </w:pBdr>
        <w:spacing w:after="200" w:before="200"/>
      </w:pPr>
    </w:p>
    <w:p>
      <w:pPr>
        <w:spacing w:after="120" w:before="300"/>
      </w:pPr>
      <w:r>
        <w:rPr>
          <w:rFonts w:ascii="Arial" w:cs="Arial" w:eastAsia="Arial" w:hAnsi="Arial"/>
          <w:b/>
          <w:bCs/>
          <w:color w:val="6C3483"/>
          <w:sz w:val="28"/>
          <w:szCs w:val="28"/>
        </w:rPr>
        <w:t xml:space="preserve">GLOBAL RULE: FOUNDER PHOTO PLACEMENT</w:t>
      </w:r>
    </w:p>
    <w:p>
      <w:pPr>
        <w:pBdr>
          <w:bottom w:val="single" w:color="6C3483" w:sz="4" w:space="1"/>
        </w:pBdr>
        <w:spacing w:after="200" w:before="200"/>
      </w:pPr>
    </w:p>
    <w:p>
      <w:pPr>
        <w:spacing w:after="100"/>
      </w:pPr>
      <w:r>
        <w:rPr>
          <w:rFonts w:ascii="Arial" w:cs="Arial" w:eastAsia="Arial" w:hAnsi="Arial"/>
          <w:b w:val="false"/>
          <w:bCs w:val="false"/>
          <w:i w:val="false"/>
          <w:iCs w:val="false"/>
          <w:color w:val="333333"/>
          <w:sz w:val="22"/>
          <w:szCs w:val="22"/>
        </w:rPr>
        <w:t xml:space="preserve">Dee Williams' photo appears on exactly THREE pages. Each serves a different purpose. Do not add her photo to any other page.</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Page</w:t>
            </w:r>
          </w:p>
        </w:tc>
        <w:tc>
          <w:tcPr>
            <w:tcW w:type="dxa" w:w="392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Purpose of Photo</w:t>
            </w:r>
          </w:p>
        </w:tc>
        <w:tc>
          <w:tcPr>
            <w:tcW w:type="dxa" w:w="392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Size / Treatment</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b/>
                <w:bCs/>
                <w:sz w:val="20"/>
                <w:szCs w:val="20"/>
              </w:rPr>
              <w:t xml:space="preserve">Homepage</w:t>
            </w:r>
          </w:p>
        </w:tc>
        <w:tc>
          <w:tcPr>
            <w:tcW w:type="dxa" w:w="3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Introduction: "Meet the founder." First encounter.</w:t>
            </w:r>
          </w:p>
        </w:tc>
        <w:tc>
          <w:tcPr>
            <w:tcW w:type="dxa" w:w="3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Medium. Two-column (photo + short bio). Prism light treatment.</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b/>
                <w:bCs/>
                <w:sz w:val="20"/>
                <w:szCs w:val="20"/>
              </w:rPr>
              <w:t xml:space="preserve">About</w:t>
            </w:r>
          </w:p>
        </w:tc>
        <w:tc>
          <w:tcPr>
            <w:tcW w:type="dxa" w:w="3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Full story: "This is who built this and why." Deepest bio.</w:t>
            </w:r>
          </w:p>
        </w:tc>
        <w:tc>
          <w:tcPr>
            <w:tcW w:type="dxa" w:w="3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Large (400px+ tall). Two-column editorial. Full credentials visible.</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b/>
                <w:bCs/>
                <w:sz w:val="20"/>
                <w:szCs w:val="20"/>
              </w:rPr>
              <w:t xml:space="preserve">Research</w:t>
            </w:r>
          </w:p>
        </w:tc>
        <w:tc>
          <w:tcPr>
            <w:tcW w:type="dxa" w:w="3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Credential: "This is the researcher behind the research." Compact.</w:t>
            </w:r>
          </w:p>
        </w:tc>
        <w:tc>
          <w:tcPr>
            <w:tcW w:type="dxa" w:w="3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sz w:val="20"/>
                <w:szCs w:val="20"/>
              </w:rPr>
              <w:t xml:space="preserve">Smaller (300px tall). Compact two-column. 3-paragraph bio max.</w:t>
            </w:r>
          </w:p>
        </w:tc>
      </w:tr>
    </w:tbl>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All other pages (Blog, Careers, Contact, Contribute, Donate, Partners, Press, Training, PRISM Summit, Taxonomy Explorer, citizen tool pages): NO founder photo. Those pages are about the work, not the founder. Three strategic placements create credibility. Every page creates overexposure.</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Research page refinement prompt. Apply fixes 1 and 2, then let me review.</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2026-05-22T06:03:05.192Z</dcterms:created>
  <dcterms:modified xsi:type="dcterms:W3CDTF">2026-05-22T06:03:05.209Z</dcterms:modified>
</cp:coreProperties>
</file>

<file path=docProps/custom.xml><?xml version="1.0" encoding="utf-8"?>
<Properties xmlns="http://schemas.openxmlformats.org/officeDocument/2006/custom-properties" xmlns:vt="http://schemas.openxmlformats.org/officeDocument/2006/docPropsVTypes"/>
</file>