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1B2A4A"/>
          <w:sz w:val="40"/>
          <w:szCs w:val="40"/>
        </w:rPr>
        <w:t xml:space="preserve">AUDACION AI LABS PBC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2E5090"/>
          <w:sz w:val="28"/>
          <w:szCs w:val="28"/>
        </w:rPr>
        <w:t xml:space="preserve">Master Role Roster: Public Benefit Corporation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Version 3 | May 19, 2026 | The operating company. All employees except nonprofit staff.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PBC HEADCOUNT: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47 people across 45 role line items (counting 3 Research Analysts). 35 Year 1. 8 Year 2. 2 Consultant/Fractional. 3 Part-Time.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DEPARTMENTS: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11 departments: Leadership, Research, Technology, Partnerships &amp; Sales, Policy &amp; External Relations, Events, Community &amp; Content, Creative, Learning &amp; Training, Operations &amp; Administration, Development &amp; Fundraising.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SALES ROLES: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5 roles carry Base + Commission compensation (#20 through #24). All other roles are straight salary, part-time salary, or hourly consultant.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PBC REVENUE STREAMS: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19 revenue streams under the PBC. 3 grant streams + 16 earned revenue streams.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000"/>
        <w:gridCol w:w="380"/>
        <w:gridCol w:w="720"/>
        <w:gridCol w:w="540"/>
        <w:gridCol w:w="1400"/>
        <w:gridCol w:w="1100"/>
        <w:gridCol w:w="1060"/>
        <w:gridCol w:w="1400"/>
      </w:tblGrid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Ct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Type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Phase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Salary Range (LA)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Comp Type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Hourly Equiv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Source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LEADERSHIP (3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Founder and CEO (Dee Williams)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Now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$200K to $300K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$96 to $144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Chief Science Officer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$250K to $350K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$120 to $168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Gap Analysis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Chief of Staff to CEO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$150K to $200K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$72 to $96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Gap Analysis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RESEARCH (14 Roles / 16 Headcount)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Director of Research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$220K to $300K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$106 to $144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Pillar Lead: Post-Deployment Behavior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$170K to $230K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$82 to $111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Pillar Lead: Runtime Research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$170K to $230K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$82 to $111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Pillar Lead: Interaction Dynamics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$170K to $230K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$82 to $111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Pillar Lead: Substrate Governance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$170K to $230K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$82 to $111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9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Pillar Lead: Multi-Agent Safety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$170K to $230K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$82 to $111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Research Analyst (x3)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$95K to $135K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$46 to $65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11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Research Program Manager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$120K to $160K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$58 to $77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Gap Analysis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12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Research Editor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$85K to $120K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$41 to $58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13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Behavioral Health Adviser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Part-Time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$80K to $120K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 (PT)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$38 to $58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Floating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14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Data Scientist / ML Engineer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$160K to $220K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$77 to $106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Gap Analysis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15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IRB / Research Ethics Officer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Consultant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$150 to $250/hr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Hourly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$30K to $50K/yr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Gap Analysis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 (4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16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Lead Engineer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$200K to $275K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$96 to $132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17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Data Engineer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$155K to $210K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$75 to $101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18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IT / Systems Administrator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Part-Time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$90K to $130K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 (PT)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$43 to $63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Gap Analysis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19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DevSecOps / Security Engineer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$160K to $220K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$77 to $106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Gap Analysis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PARTNERSHIPS AND SALES (5 Roles / All Base + Commission)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20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Head of Strategic Partnerships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$150K to $200K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404040"/>
                <w:sz w:val="15"/>
                <w:szCs w:val="15"/>
              </w:rPr>
              <w:t xml:space="preserve">Base + Commission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$72 to $96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21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Corporate Partnerships Rep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$100K to $140K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404040"/>
                <w:sz w:val="15"/>
                <w:szCs w:val="15"/>
              </w:rPr>
              <w:t xml:space="preserve">Base + Commission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$48 to $67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22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Evaluations &amp; Assessments Sales Rep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$85K to $120K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404040"/>
                <w:sz w:val="15"/>
                <w:szCs w:val="15"/>
              </w:rPr>
              <w:t xml:space="preserve">Base + Commission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$41 to $58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23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Training &amp; Certification Sales Rep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$85K to $120K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404040"/>
                <w:sz w:val="15"/>
                <w:szCs w:val="15"/>
              </w:rPr>
              <w:t xml:space="preserve">Base + Commission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$41 to $58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24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Events &amp; Sponsorship Sales Rep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$85K to $120K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404040"/>
                <w:sz w:val="15"/>
                <w:szCs w:val="15"/>
              </w:rPr>
              <w:t xml:space="preserve">Base + Commission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$41 to $58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POLICY AND EXTERNAL RELATIONS (2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25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Head of AI Policy / Government Relations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$150K to $200K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$72 to $96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Gap Analysis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26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Head of Academic Relations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$140K to $180K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$67 to $87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Gap Analysis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EVENTS (2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27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Events Director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$110K to $150K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$53 to $72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28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Events Coordinator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$65K to $90K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$31 to $43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COMMUNITY AND CONTENT (5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29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Community Director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$130K to $175K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$63 to $84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30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Content and Communications Lead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$110K to $150K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$53 to $72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31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Fellowship Growth Manager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$95K to $135K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$46 to $65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32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PR and Media Relations Manager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$115K to $155K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$55 to $75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33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Multimedia / Video Producer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$90K to $130K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$43 to $63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Gap Analysis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CREATIVE (2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34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Creative Director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$140K to $185K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$67 to $89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35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Graphic Designer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$75K to $110K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$36 to $53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LEARNING AND TRAINING (1 Role)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36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Trainer / Curriculum Director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$110K to $150K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$53 to $72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Floating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OPERATIONS AND ADMINISTRATION (8 Roles)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37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Operations Manager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$110K to $150K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$53 to $72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38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Finance Manager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$125K to $170K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$60 to $82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39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Bookkeeper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Part-Time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$52K to $72K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 (PT)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$25 to $35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Gap Analysis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40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Office Administrator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$55K to $75K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$26 to $36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41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HR Manager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$110K to $150K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$53 to $72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42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Internal Talent Recruiter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$95K to $135K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$46 to $65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43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Executive Assistant to CEO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$75K to $110K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$36 to $53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44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Fractional Legal Counsel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Consultant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$150 to $300/hr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Hourly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$36K to $72K/yr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Gap Analysis</w:t>
            </w:r>
          </w:p>
        </w:tc>
      </w:tr>
      <w:tr>
        <w:tc>
          <w:tcPr>
            <w:tcW w:type="dxa" w:w="10080"/>
            <w:gridSpan w:val="9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090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DEVELOPMENT AND FUNDRAISING (1 Role)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45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 Writer / Development Officer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$95K to $140K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$46 to $67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Original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PBC Revenue Streams (19)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600"/>
        <w:gridCol w:w="1200"/>
        <w:gridCol w:w="900"/>
        <w:gridCol w:w="3900"/>
      </w:tblGrid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Revenue Stream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Frequency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Type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Notes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SBIR/STTR Grants (NSF, DOE, DARPA)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Per cycle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For-profit eligible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State Innovation Grants (CalOSBA)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Rolling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For-profit eligible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Corporate Sponsored Research Grants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Direct to PBC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Evaluations, Audits, and Assessments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PRISM framework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5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Corporate Research Partnerships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Annual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Access to findings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6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Digital Products / Lead Magnets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7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Online Community / Paid Membership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Monthly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8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Golf Tournaments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 per year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Championship series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9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Round Tables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Monthly (12/yr)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10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Think Tanks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5 per year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Final at conference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11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Annual Industry Report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Annual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12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Hackathon / Challenge Event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 to 2/yr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Post-deployment focus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13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Certification Program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14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PRISM Summit (in-person)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Annual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300 attendees Year 1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15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Virtual Conferences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 to 2/yr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16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Telethons / Webathons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 to 2/yr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17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Retreats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 to 2/yr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With training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18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Learning Academy (paid classes)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Free portal + paid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19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Merchandise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Earned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PRISM branded</w:t>
            </w:r>
          </w:p>
        </w:tc>
      </w:tr>
    </w:tbl>
    <w:p>
      <w:r>
        <w:br w:type="pag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PRISM RESEARCH INSTITUTE 501(c)(3)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2E5090"/>
          <w:sz w:val="28"/>
          <w:szCs w:val="28"/>
        </w:rPr>
        <w:t xml:space="preserve">Master Role Roster: Nonprofit Entity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The funding vehicle. Minimal staff. Receives grants and donations requiring 501(c)(3) status.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NONPROFIT HEADCOUNT: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3 roles. 2 Year 1. 1 Year 2.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NONPROFIT PAYROLL RANGE: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$135K to $195K Year 1. $245K to $345K with Association Director.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NOTE: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Dee Williams is employed by the PBC. The nonprofit contracts with the PBC for her time as Principal Investigator on grant-funded research.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000"/>
        <w:gridCol w:w="380"/>
        <w:gridCol w:w="720"/>
        <w:gridCol w:w="540"/>
        <w:gridCol w:w="1400"/>
        <w:gridCol w:w="1100"/>
        <w:gridCol w:w="1060"/>
        <w:gridCol w:w="1400"/>
      </w:tblGrid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Ct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Type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Phase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Salary Range (LA)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Comp Type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Hourly Equiv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Source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 Manager / Administrator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$90K to $130K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$43 to $63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Entity Structure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Nonprofit Bookkeeper / Payroll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Part-Time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$45K to $65K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 (PT)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$22 to $31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Dee Requirement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Association Director</w:t>
            </w:r>
          </w:p>
        </w:tc>
        <w:tc>
          <w:tcPr>
            <w:tcW w:type="dxa" w:w="3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72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Full-Time</w:t>
            </w:r>
          </w:p>
        </w:tc>
        <w:tc>
          <w:tcPr>
            <w:tcW w:type="dxa" w:w="5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Yr 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$110K to $150K</w:t>
            </w:r>
          </w:p>
        </w:tc>
        <w:tc>
          <w:tcPr>
            <w:tcW w:type="dxa" w:w="11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Salary</w:t>
            </w:r>
          </w:p>
        </w:tc>
        <w:tc>
          <w:tcPr>
            <w:tcW w:type="dxa" w:w="106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5"/>
                <w:szCs w:val="15"/>
              </w:rPr>
              <w:t xml:space="preserve">$53 to $72</w:t>
            </w:r>
          </w:p>
        </w:tc>
        <w:tc>
          <w:tcPr>
            <w:tcW w:type="dxa" w:w="14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4"/>
                <w:szCs w:val="14"/>
              </w:rPr>
              <w:t xml:space="preserve">Revenue Model</w:t>
            </w:r>
          </w:p>
        </w:tc>
      </w:tr>
    </w:tbl>
    <w:p>
      <w:pPr>
        <w:spacing w:before="300"/>
      </w:pPr>
    </w:p>
    <w:p>
      <w:pPr>
        <w:pStyle w:val="Heading2"/>
      </w:pPr>
      <w:r>
        <w:t xml:space="preserve">Nonprofit Revenue Streams (4)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600"/>
        <w:gridCol w:w="1200"/>
        <w:gridCol w:w="900"/>
        <w:gridCol w:w="3900"/>
      </w:tblGrid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Revenue Stream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Frequency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Type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Notes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Foundation Grants (501c3 required)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Per cycle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Open Phil, SFF, Sloan, etc.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Federal Grants (nonprofit required)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Per cycle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Grants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Select programs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Individual Donations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Ongoing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Donations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Tax-deductible</w:t>
            </w:r>
          </w:p>
        </w:tc>
      </w:tr>
      <w:tr>
        <w:tc>
          <w:tcPr>
            <w:tcW w:type="dxa" w:w="48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</w:t>
            </w:r>
          </w:p>
        </w:tc>
        <w:tc>
          <w:tcPr>
            <w:tcW w:type="dxa" w:w="36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Association Dues (Year 2+)</w:t>
            </w:r>
          </w:p>
        </w:tc>
        <w:tc>
          <w:tcPr>
            <w:tcW w:type="dxa" w:w="12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Annual</w:t>
            </w:r>
          </w:p>
        </w:tc>
        <w:tc>
          <w:tcPr>
            <w:tcW w:type="dxa" w:w="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Dues</w:t>
            </w:r>
          </w:p>
        </w:tc>
        <w:tc>
          <w:tcPr>
            <w:tcW w:type="dxa" w:w="39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04040"/>
                <w:sz w:val="15"/>
                <w:szCs w:val="15"/>
              </w:rPr>
              <w:t xml:space="preserve">When association launches</w:t>
            </w:r>
          </w:p>
        </w:tc>
      </w:tr>
    </w:tbl>
    <w:p>
      <w:r>
        <w:br w:type="pag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COMBINED SUMMARY: BOTH ENTITIES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404040"/>
          <w:sz w:val="22"/>
          <w:szCs w:val="22"/>
        </w:rPr>
        <w:t xml:space="preserve">Two separate entities. Two separate budgets. Two separate payrolls. Connected by research contracts.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040"/>
        <w:gridCol w:w="3040"/>
      </w:tblGrid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/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PBC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Nonprofit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Total Headcount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47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Line Items (Roles)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45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Year 1 Hires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35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Year 2 Hires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8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Consultants / Fractional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2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Part-Time Roles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Sales Roles (Base + Commission)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5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Payroll Range (salaries only)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$6.1M to $8.5M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$135K to $195K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Fully Loaded (25% benefits)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$7.6M to $10.6M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$169K to $244K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04040"/>
                <w:sz w:val="16"/>
                <w:szCs w:val="16"/>
              </w:rPr>
              <w:t xml:space="preserve">Revenue Streams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19</w:t>
            </w:r>
          </w:p>
        </w:tc>
        <w:tc>
          <w:tcPr>
            <w:tcW w:type="dxa" w:w="304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EBF1F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04040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4000"/>
            <w:gridSpan w:val="1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COMBINED HEADCOUNT</w:t>
            </w:r>
          </w:p>
        </w:tc>
        <w:tc>
          <w:tcPr>
            <w:tcW w:type="dxa" w:w="6080"/>
            <w:gridSpan w:val="2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1B2A4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50</w:t>
            </w:r>
          </w:p>
        </w:tc>
      </w:tr>
    </w:tbl>
    <w:p>
      <w:pPr>
        <w:spacing w:before="300"/>
      </w:pPr>
    </w:p>
    <w:p>
      <w:pPr>
        <w:pStyle w:val="Heading3"/>
      </w:pPr>
      <w:r>
        <w:t xml:space="preserve">Version History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v1 (May 18, 2026):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Initial roster created. 42 PBC line items.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v2 (May 18, 2026):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Committed to repo. Missing 3 sales reps. Numbering inconsistent with budget spreadsheet.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v3 (May 19, 2026):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Complete rebuild. Added 3 missing sales reps (#22, #23, #24). Created new Policy &amp; External Relations department for Head of AI Policy (#25) and Head of Academic Relations (#26). Fixed all duplicate numbering. Added Comp Type column. All sales roles marked Base + Commission. Sequential numbering #1 through #45 with no gaps or duplicates. 11 departments.</w:t>
      </w:r>
    </w:p>
    <w:p>
      <w:pPr>
        <w:spacing w:before="200"/>
      </w:pPr>
    </w:p>
    <w:p>
      <w:pPr>
        <w:pBdr>
          <w:top w:val="single" w:color="1B2A4A" w:sz="4" w:space="8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Audacion AI Labs | Founded 2026 by Dee Williams | Los Angeles, California</w:t>
      </w:r>
    </w:p>
    <w:p>
      <w:pPr>
        <w:jc w:val="center"/>
      </w:pPr>
      <w:r>
        <w:rPr>
          <w:rFonts w:ascii="Arial" w:cs="Arial" w:eastAsia="Arial" w:hAnsi="Arial"/>
          <w:i/>
          <w:iCs/>
          <w:color w:val="1B2A4A"/>
          <w:sz w:val="18"/>
          <w:szCs w:val="18"/>
        </w:rPr>
        <w:t xml:space="preserve">"To make AI safe enough to trust and good enough to matter."</w:t>
      </w:r>
    </w:p>
    <w:sectPr>
      <w:headerReference w:type="default" r:id="rId7"/>
      <w:footerReference w:type="default" r:id="rId8"/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999999"/>
        <w:sz w:val="14"/>
        <w:szCs w:val="14"/>
      </w:rPr>
      <w:t xml:space="preserve">Audacion AI Labs | Founded 2026 by Dee Williams | Los Angeles, California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6" w:space="4"/>
      </w:pBdr>
      <w:spacing w:after="0"/>
      <w:jc w:val="right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AUDACION AI LABS</w:t>
    </w:r>
    <w:r>
      <w:rPr>
        <w:rFonts w:ascii="Arial" w:cs="Arial" w:eastAsia="Arial" w:hAnsi="Arial"/>
        <w:color w:val="808080"/>
        <w:sz w:val="14"/>
        <w:szCs w:val="14"/>
      </w:rPr>
      <w:t xml:space="preserve">  |  Master Role Roster v3  |  May 19,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509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472C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2026-05-19T17:18:55.415Z</dcterms:created>
  <dcterms:modified xsi:type="dcterms:W3CDTF">2026-05-19T17:18:55.415Z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