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100"/>
      </w:pPr>
      <w:r>
        <w:rPr>
          <w:rFonts w:ascii="Arial" w:cs="Arial" w:eastAsia="Arial" w:hAnsi="Arial"/>
          <w:b/>
          <w:bCs/>
          <w:sz w:val="26"/>
          <w:szCs w:val="26"/>
        </w:rPr>
        <w:t xml:space="preserve">Research Psychologist</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Consultant</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$150 to $250/hour</w:t>
      </w:r>
    </w:p>
    <w:p>
      <w:pPr>
        <w:spacing w:after="40"/>
      </w:pPr>
      <w:r>
        <w:rPr>
          <w:rFonts w:ascii="Arial" w:cs="Arial" w:eastAsia="Arial" w:hAnsi="Arial"/>
          <w:b/>
          <w:bCs/>
          <w:sz w:val="22"/>
          <w:szCs w:val="22"/>
        </w:rPr>
        <w:t xml:space="preserve">Phase: </w:t>
      </w:r>
      <w:r>
        <w:rPr>
          <w:rFonts w:ascii="Arial" w:cs="Arial" w:eastAsia="Arial" w:hAnsi="Arial"/>
          <w:sz w:val="22"/>
          <w:szCs w:val="22"/>
        </w:rPr>
        <w:t xml:space="preserve">Year 1 (activated based on Pillar Lead hires)</w:t>
      </w:r>
    </w:p>
    <w:p>
      <w:pPr>
        <w:spacing w:after="40"/>
      </w:pPr>
      <w:r>
        <w:rPr>
          <w:rFonts w:ascii="Arial" w:cs="Arial" w:eastAsia="Arial" w:hAnsi="Arial"/>
          <w:b/>
          <w:bCs/>
          <w:sz w:val="22"/>
          <w:szCs w:val="22"/>
        </w:rPr>
        <w:t xml:space="preserve">Note: </w:t>
      </w:r>
      <w:r>
        <w:rPr>
          <w:rFonts w:ascii="Arial" w:cs="Arial" w:eastAsia="Arial" w:hAnsi="Arial"/>
          <w:i/>
          <w:iCs/>
          <w:sz w:val="22"/>
          <w:szCs w:val="22"/>
        </w:rPr>
        <w:t xml:space="preserve">This consultant role activates based on the psychological expertise gaps the Pillar and Dimension Leads bring. Scope may expand or contract accordingly.</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Our research is organized across five PRISM pillars and three EMERGE dimensions, powered by a citizen science model targeting one million contributors. We study how AI behaves after deployment, how humans change around AI, and what becomes possible when human-AI collaboration goes right.</w:t>
      </w:r>
    </w:p>
    <w:p>
      <w:pPr>
        <w:spacing w:after="1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The lab's research touches human psychological processes at nearly every point. Trust degradation. Oversight decline. Cognitive bias in observation. Collaborative dynamics. Resonance. The Pillar Leads and Dimension Leads design and run the studies. Your job is to make sure the psychological methodology is sound.</w:t>
      </w:r>
    </w:p>
    <w:p>
      <w:pPr>
        <w:spacing w:after="200"/>
      </w:pPr>
      <w:r>
        <w:rPr>
          <w:rFonts w:ascii="Arial" w:cs="Arial" w:eastAsia="Arial" w:hAnsi="Arial"/>
          <w:sz w:val="22"/>
          <w:szCs w:val="22"/>
        </w:rPr>
        <w:t xml:space="preserve">When the Interaction Dynamics team designs a study on how humans change their behavior around AI over time, you ensure the measurement instrument actually captures what they think it captures. When the EMERGE Collaboration and Resonance team tries to measure collaborative quality, you bring the methodological rigor that turns a subjective experience into publishable data. When citizen science contributors report observations, you help the team understand the cognitive biases that shape what people notice and how they describe it.</w:t>
      </w:r>
    </w:p>
    <w:p>
      <w:pPr>
        <w:spacing w:after="200"/>
      </w:pPr>
      <w:r>
        <w:rPr>
          <w:rFonts w:ascii="Arial" w:cs="Arial" w:eastAsia="Arial" w:hAnsi="Arial"/>
          <w:sz w:val="22"/>
          <w:szCs w:val="22"/>
        </w:rPr>
        <w:t xml:space="preserve">This is a consultant role. Your scope expands or contracts based on the psychological expertise the Pillar and Dimension Leads bring. If the Interaction Dynamics Lead has a psychology PhD, your scope narrows to cross-pillar methodology review. If they do not, your scope expands to direct consultation on study design.</w:t>
      </w:r>
    </w:p>
    <w:p>
      <w:pPr>
        <w:spacing w:after="100"/>
      </w:pPr>
      <w:r>
        <w:rPr>
          <w:rFonts w:ascii="Arial" w:cs="Arial" w:eastAsia="Arial" w:hAnsi="Arial"/>
          <w:b/>
          <w:bCs/>
          <w:sz w:val="24"/>
          <w:szCs w:val="24"/>
        </w:rPr>
        <w:t xml:space="preserve">Key Responsibilities</w:t>
      </w:r>
    </w:p>
    <w:p>
      <w:pPr>
        <w:pStyle w:val="ListParagraph"/>
        <w:numPr>
          <w:ilvl w:val="0"/>
          <w:numId w:val="1"/>
        </w:numPr>
        <w:spacing w:after="80"/>
      </w:pPr>
      <w:r>
        <w:rPr>
          <w:rFonts w:ascii="Arial" w:cs="Arial" w:eastAsia="Arial" w:hAnsi="Arial"/>
          <w:sz w:val="22"/>
          <w:szCs w:val="22"/>
        </w:rPr>
        <w:t xml:space="preserve">Review study designs across PRISM pillars and EMERGE dimensions for psychological methodological soundness.</w:t>
      </w:r>
    </w:p>
    <w:p>
      <w:pPr>
        <w:pStyle w:val="ListParagraph"/>
        <w:numPr>
          <w:ilvl w:val="0"/>
          <w:numId w:val="1"/>
        </w:numPr>
        <w:spacing w:after="80"/>
      </w:pPr>
      <w:r>
        <w:rPr>
          <w:rFonts w:ascii="Arial" w:cs="Arial" w:eastAsia="Arial" w:hAnsi="Arial"/>
          <w:sz w:val="22"/>
          <w:szCs w:val="22"/>
        </w:rPr>
        <w:t xml:space="preserve">Advise on measurement instrument design for human behavioral variables (trust, attention, cognitive load, collaborative quality).</w:t>
      </w:r>
    </w:p>
    <w:p>
      <w:pPr>
        <w:pStyle w:val="ListParagraph"/>
        <w:numPr>
          <w:ilvl w:val="0"/>
          <w:numId w:val="1"/>
        </w:numPr>
        <w:spacing w:after="80"/>
      </w:pPr>
      <w:r>
        <w:rPr>
          <w:rFonts w:ascii="Arial" w:cs="Arial" w:eastAsia="Arial" w:hAnsi="Arial"/>
          <w:sz w:val="22"/>
          <w:szCs w:val="22"/>
        </w:rPr>
        <w:t xml:space="preserve">Identify cognitive biases that affect how citizen science contributors observe and report AI behavior.</w:t>
      </w:r>
    </w:p>
    <w:p>
      <w:pPr>
        <w:pStyle w:val="ListParagraph"/>
        <w:numPr>
          <w:ilvl w:val="0"/>
          <w:numId w:val="1"/>
        </w:numPr>
        <w:spacing w:after="80"/>
      </w:pPr>
      <w:r>
        <w:rPr>
          <w:rFonts w:ascii="Arial" w:cs="Arial" w:eastAsia="Arial" w:hAnsi="Arial"/>
          <w:sz w:val="22"/>
          <w:szCs w:val="22"/>
        </w:rPr>
        <w:t xml:space="preserve">Ensure human behavioral research meets the methodological standards that peer-reviewed journals require.</w:t>
      </w:r>
    </w:p>
    <w:p>
      <w:pPr>
        <w:pStyle w:val="ListParagraph"/>
        <w:numPr>
          <w:ilvl w:val="0"/>
          <w:numId w:val="1"/>
        </w:numPr>
        <w:spacing w:after="80"/>
      </w:pPr>
      <w:r>
        <w:rPr>
          <w:rFonts w:ascii="Arial" w:cs="Arial" w:eastAsia="Arial" w:hAnsi="Arial"/>
          <w:sz w:val="22"/>
          <w:szCs w:val="22"/>
        </w:rPr>
        <w:t xml:space="preserve">Advise on the psychological dimensions of the EMERGE framework, particularly Resonance Events and Experiential Indicators.</w:t>
      </w:r>
    </w:p>
    <w:p>
      <w:pPr>
        <w:pStyle w:val="ListParagraph"/>
        <w:numPr>
          <w:ilvl w:val="0"/>
          <w:numId w:val="1"/>
        </w:numPr>
        <w:spacing w:after="80"/>
      </w:pPr>
      <w:r>
        <w:rPr>
          <w:rFonts w:ascii="Arial" w:cs="Arial" w:eastAsia="Arial" w:hAnsi="Arial"/>
          <w:sz w:val="22"/>
          <w:szCs w:val="22"/>
        </w:rPr>
        <w:t xml:space="preserve">Consult on the design of contributor wellbeing monitoring at scale.</w:t>
      </w:r>
    </w:p>
    <w:p>
      <w:pPr>
        <w:spacing w:after="100"/>
      </w:pPr>
    </w:p>
    <w:p>
      <w:pPr>
        <w:spacing w:after="1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PhD in psychology (cognitive, social, organizational, or experimental).</w:t>
      </w:r>
    </w:p>
    <w:p>
      <w:pPr>
        <w:pStyle w:val="ListParagraph"/>
        <w:numPr>
          <w:ilvl w:val="0"/>
          <w:numId w:val="1"/>
        </w:numPr>
        <w:spacing w:after="80"/>
      </w:pPr>
      <w:r>
        <w:rPr>
          <w:rFonts w:ascii="Arial" w:cs="Arial" w:eastAsia="Arial" w:hAnsi="Arial"/>
          <w:sz w:val="22"/>
          <w:szCs w:val="22"/>
        </w:rPr>
        <w:t xml:space="preserve">Strong methodological training in behavioral measurement and research design.</w:t>
      </w:r>
    </w:p>
    <w:p>
      <w:pPr>
        <w:pStyle w:val="ListParagraph"/>
        <w:numPr>
          <w:ilvl w:val="0"/>
          <w:numId w:val="1"/>
        </w:numPr>
        <w:spacing w:after="80"/>
      </w:pPr>
      <w:r>
        <w:rPr>
          <w:rFonts w:ascii="Arial" w:cs="Arial" w:eastAsia="Arial" w:hAnsi="Arial"/>
          <w:sz w:val="22"/>
          <w:szCs w:val="22"/>
        </w:rPr>
        <w:t xml:space="preserve">Publication record in a relevant field.</w:t>
      </w:r>
    </w:p>
    <w:p>
      <w:pPr>
        <w:pStyle w:val="ListParagraph"/>
        <w:numPr>
          <w:ilvl w:val="0"/>
          <w:numId w:val="1"/>
        </w:numPr>
        <w:spacing w:after="80"/>
      </w:pPr>
      <w:r>
        <w:rPr>
          <w:rFonts w:ascii="Arial" w:cs="Arial" w:eastAsia="Arial" w:hAnsi="Arial"/>
          <w:sz w:val="22"/>
          <w:szCs w:val="22"/>
        </w:rPr>
        <w:t xml:space="preserve">Experience consulting on research methodology for interdisciplinary teams.</w:t>
      </w:r>
    </w:p>
    <w:p>
      <w:pPr>
        <w:pStyle w:val="ListParagraph"/>
        <w:numPr>
          <w:ilvl w:val="0"/>
          <w:numId w:val="1"/>
        </w:numPr>
        <w:spacing w:after="80"/>
      </w:pPr>
      <w:r>
        <w:rPr>
          <w:rFonts w:ascii="Arial" w:cs="Arial" w:eastAsia="Arial" w:hAnsi="Arial"/>
          <w:sz w:val="22"/>
          <w:szCs w:val="22"/>
        </w:rPr>
        <w:t xml:space="preserve">Current engagement with AI systems.</w:t>
      </w:r>
    </w:p>
    <w:p>
      <w:pPr>
        <w:spacing w:after="100"/>
      </w:pPr>
    </w:p>
    <w:p>
      <w:pPr>
        <w:spacing w:after="1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Experience with human-computer interaction research.</w:t>
      </w:r>
    </w:p>
    <w:p>
      <w:pPr>
        <w:pStyle w:val="ListParagraph"/>
        <w:numPr>
          <w:ilvl w:val="0"/>
          <w:numId w:val="1"/>
        </w:numPr>
        <w:spacing w:after="80"/>
      </w:pPr>
      <w:r>
        <w:rPr>
          <w:rFonts w:ascii="Arial" w:cs="Arial" w:eastAsia="Arial" w:hAnsi="Arial"/>
          <w:sz w:val="22"/>
          <w:szCs w:val="22"/>
        </w:rPr>
        <w:t xml:space="preserve">Background in cognitive bias, decision science, or judgment under uncertainty.</w:t>
      </w:r>
    </w:p>
    <w:p>
      <w:pPr>
        <w:pStyle w:val="ListParagraph"/>
        <w:numPr>
          <w:ilvl w:val="0"/>
          <w:numId w:val="1"/>
        </w:numPr>
        <w:spacing w:after="80"/>
      </w:pPr>
      <w:r>
        <w:rPr>
          <w:rFonts w:ascii="Arial" w:cs="Arial" w:eastAsia="Arial" w:hAnsi="Arial"/>
          <w:sz w:val="22"/>
          <w:szCs w:val="22"/>
        </w:rPr>
        <w:t xml:space="preserve">Familiarity with citizen science or community-based participatory research.</w:t>
      </w:r>
    </w:p>
    <w:p>
      <w:pPr>
        <w:pStyle w:val="ListParagraph"/>
        <w:numPr>
          <w:ilvl w:val="0"/>
          <w:numId w:val="1"/>
        </w:numPr>
        <w:spacing w:after="80"/>
      </w:pPr>
      <w:r>
        <w:rPr>
          <w:rFonts w:ascii="Arial" w:cs="Arial" w:eastAsia="Arial" w:hAnsi="Arial"/>
          <w:sz w:val="22"/>
          <w:szCs w:val="22"/>
        </w:rPr>
        <w:t xml:space="preserve">Experience with both qualitative and quantitative psychological measurement.</w:t>
      </w:r>
    </w:p>
    <w:p>
      <w:pPr>
        <w:spacing w:after="100"/>
      </w:pPr>
    </w:p>
    <w:p>
      <w:pPr>
        <w:spacing w:after="100"/>
      </w:pPr>
      <w:r>
        <w:rPr>
          <w:rFonts w:ascii="Arial" w:cs="Arial" w:eastAsia="Arial" w:hAnsi="Arial"/>
          <w:b/>
          <w:bCs/>
          <w:sz w:val="24"/>
          <w:szCs w:val="24"/>
        </w:rPr>
        <w:t xml:space="preserve">Compensation</w:t>
      </w:r>
    </w:p>
    <w:p>
      <w:pPr>
        <w:spacing w:after="200"/>
      </w:pPr>
      <w:r>
        <w:rPr>
          <w:rFonts w:ascii="Arial" w:cs="Arial" w:eastAsia="Arial" w:hAnsi="Arial"/>
          <w:sz w:val="22"/>
          <w:szCs w:val="22"/>
        </w:rPr>
        <w:t xml:space="preserve">$150 to $250/hour. Health, dental, vision, 401(k), PTO, professional development, conference travel.</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and cover letter to careers@audacionailabs.com. Subject: "Research Psychologist Application."</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2026-05-30T11:09:41.557Z</dcterms:created>
  <dcterms:modified xsi:type="dcterms:W3CDTF">2026-05-30T11:09:41.557Z</dcterms:modified>
</cp:coreProperties>
</file>

<file path=docProps/custom.xml><?xml version="1.0" encoding="utf-8"?>
<Properties xmlns="http://schemas.openxmlformats.org/officeDocument/2006/custom-properties" xmlns:vt="http://schemas.openxmlformats.org/officeDocument/2006/docPropsVTypes"/>
</file>