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C3483"/>
          <w:sz w:val="40"/>
          <w:szCs w:val="40"/>
        </w:rPr>
        <w:t xml:space="preserve">AUDACION AI LABS</w:t>
      </w:r>
    </w:p>
    <w:p>
      <w:pPr>
        <w:spacing w:after="60"/>
        <w:jc w:val="center"/>
      </w:pPr>
      <w:r>
        <w:rPr>
          <w:rFonts w:ascii="Arial" w:cs="Arial" w:eastAsia="Arial" w:hAnsi="Arial"/>
          <w:color w:val="2C3E50"/>
          <w:sz w:val="32"/>
          <w:szCs w:val="32"/>
        </w:rPr>
        <w:t xml:space="preserve">Citizen Observation Platform</w:t>
      </w:r>
    </w:p>
    <w:p>
      <w:pPr>
        <w:spacing w:after="200"/>
        <w:jc w:val="center"/>
      </w:pPr>
      <w:r>
        <w:rPr>
          <w:rFonts w:ascii="Arial" w:cs="Arial" w:eastAsia="Arial" w:hAnsi="Arial"/>
          <w:color w:val="7F8C8D"/>
          <w:sz w:val="20"/>
          <w:szCs w:val="20"/>
        </w:rPr>
        <w:t xml:space="preserve">Technical Specification v1.0 | May 2026 | Prepared by Kenny for Dee Williams</w:t>
      </w:r>
    </w:p>
    <w:p>
      <w:pPr>
        <w:pStyle w:val="Heading1"/>
        <w:spacing w:after="120" w:before="360"/>
      </w:pPr>
      <w:r>
        <w:rPr>
          <w:rFonts w:ascii="Arial" w:cs="Arial" w:eastAsia="Arial" w:hAnsi="Arial"/>
          <w:b/>
          <w:bCs/>
          <w:color w:val="1C1C1C"/>
          <w:sz w:val="32"/>
          <w:szCs w:val="32"/>
        </w:rPr>
        <w:t xml:space="preserve">1. SYSTEM OVERVIEW</w:t>
      </w:r>
    </w:p>
    <w:p>
      <w:pPr>
        <w:spacing w:after="120"/>
      </w:pPr>
      <w:r>
        <w:rPr>
          <w:rFonts w:ascii="Arial" w:cs="Arial" w:eastAsia="Arial" w:hAnsi="Arial"/>
          <w:sz w:val="20"/>
          <w:szCs w:val="20"/>
        </w:rPr>
        <w:t xml:space="preserve">This document defines the technical architecture for the Audacion AI Labs Citizen Observation Platform. The platform enables one million citizens to submit structured observations of AI behavior across any model and platform, producing one billion research-grade data points over ten years. The system has five user roles, thirteen database tables, three citizen engagement depths, and a Partner Integration API that allows AI companies to embed a safety reporting button directly in their products.</w:t>
      </w:r>
    </w:p>
    <w:p>
      <w:pPr>
        <w:pStyle w:val="Heading2"/>
        <w:spacing w:after="100" w:before="240"/>
      </w:pPr>
      <w:r>
        <w:rPr>
          <w:rFonts w:ascii="Arial" w:cs="Arial" w:eastAsia="Arial" w:hAnsi="Arial"/>
          <w:b/>
          <w:bCs/>
          <w:color w:val="2C3E50"/>
          <w:sz w:val="26"/>
          <w:szCs w:val="26"/>
        </w:rPr>
        <w:t xml:space="preserve">1.1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Who</w:t>
            </w:r>
          </w:p>
        </w:tc>
        <w:tc>
          <w:tcPr>
            <w:tcW w:type="dxa" w:w="4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Anyone who creates an account to submit observations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Own profile, own observations, own points/tier, public counters, leaderboard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Amber, future lab hires</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Everything: all observations, classification tools, analytics, discovery attribution, harm reports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 Partner</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Organizations purchasing research data</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Anonymized aggregated data only. PRISM reports. Trend analysis. Stripe subscription required.</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Admin</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Dee + core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system: user mgmt, taxonomy mgmt, Stripe, counters, security logs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login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Website, counters, blog, research questions. Can donate. Can report harm without account.</w:t>
            </w:r>
          </w:p>
        </w:tc>
      </w:tr>
    </w:tbl>
    <w:p>
      <w:r>
        <w:br w:type="page"/>
      </w:r>
    </w:p>
    <w:p>
      <w:pPr>
        <w:pStyle w:val="Heading1"/>
        <w:spacing w:after="120" w:before="360"/>
      </w:pPr>
      <w:r>
        <w:rPr>
          <w:rFonts w:ascii="Arial" w:cs="Arial" w:eastAsia="Arial" w:hAnsi="Arial"/>
          <w:b/>
          <w:bCs/>
          <w:color w:val="1C1C1C"/>
          <w:sz w:val="32"/>
          <w:szCs w:val="32"/>
        </w:rPr>
        <w:t xml:space="preserve">2. DATABASE SCHEMA</w:t>
      </w:r>
    </w:p>
    <w:p>
      <w:pPr>
        <w:spacing w:after="120"/>
      </w:pPr>
      <w:r>
        <w:rPr>
          <w:rFonts w:ascii="Arial" w:cs="Arial" w:eastAsia="Arial" w:hAnsi="Arial"/>
          <w:sz w:val="20"/>
          <w:szCs w:val="20"/>
        </w:rPr>
        <w:t xml:space="preserve">Thirteen tables organized by function. Citizens interact with Tables 1 through 4 and see Table 10 (counters). Research team accesses Tables 1 through 7 and 10. Data Partners see anonymized aggregates from Tables 3, 4, and 6. Admin accesses all tables including 8, 9, 11, 12, and 13.</w:t>
      </w:r>
    </w:p>
    <w:p>
      <w:pPr>
        <w:pStyle w:val="Heading2"/>
        <w:spacing w:after="100" w:before="240"/>
      </w:pPr>
      <w:r>
        <w:rPr>
          <w:rFonts w:ascii="Arial" w:cs="Arial" w:eastAsia="Arial" w:hAnsi="Arial"/>
          <w:b/>
          <w:bCs/>
          <w:color w:val="2C3E50"/>
          <w:sz w:val="26"/>
          <w:szCs w:val="26"/>
        </w:rPr>
        <w:t xml:space="preserve">Table 1: Citizens</w:t>
      </w:r>
    </w:p>
    <w:p>
      <w:pPr>
        <w:spacing w:after="120"/>
      </w:pPr>
      <w:r>
        <w:rPr>
          <w:rFonts w:ascii="Arial" w:cs="Arial" w:eastAsia="Arial" w:hAnsi="Arial"/>
          <w:sz w:val="20"/>
          <w:szCs w:val="20"/>
        </w:rPr>
        <w:t xml:space="preserve">Who is observing. Filled during onboarding. Updated as citizens earn points and advance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citizen identifier. Auto-generated.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Login credential. Encrypted at rest.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display_name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Can be anonymous. Used for leaderboard and discovery attribution.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mobile_number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For marketing communications. Requires explicit consent.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industry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Healthcare, Technology, Education, Finance, Legal, Government, Media, Retail, Manufacturing,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ai_experience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Beginner, Intermediate, Advanced, Expert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 regional analysis and cultural homogenization research.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state_province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 state or equivalent subdivision.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fellowship_tier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Field Researcher (default), Senior Researcher, Expert Researcher, Fellow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total_points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Default 0. Incremented by observations. Determines tier advancement.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total_observations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all observations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total_eots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Count of EOT reflections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discoveries_count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new types attributed to this citizen.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Account creation 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last_active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observation or login.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marketing_consent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Opt-in for marketing communications.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terms_accepted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 terms of service accepted.</w:t>
            </w:r>
          </w:p>
        </w:tc>
      </w:tr>
    </w:tbl>
    <w:p>
      <w:pPr>
        <w:pStyle w:val="Heading2"/>
        <w:spacing w:after="100" w:before="240"/>
      </w:pPr>
      <w:r>
        <w:rPr>
          <w:rFonts w:ascii="Arial" w:cs="Arial" w:eastAsia="Arial" w:hAnsi="Arial"/>
          <w:b/>
          <w:bCs/>
          <w:color w:val="2C3E50"/>
          <w:sz w:val="26"/>
          <w:szCs w:val="26"/>
        </w:rPr>
        <w:t xml:space="preserve">Table 2: Sessions</w:t>
      </w:r>
    </w:p>
    <w:p>
      <w:pPr>
        <w:spacing w:after="120"/>
      </w:pPr>
      <w:r>
        <w:rPr>
          <w:rFonts w:ascii="Arial" w:cs="Arial" w:eastAsia="Arial" w:hAnsi="Arial"/>
          <w:sz w:val="20"/>
          <w:szCs w:val="20"/>
        </w:rPr>
        <w:t xml:space="preserve">Context for every observation. Groups observations by AI interaction session. Captures session-level metadata including fatigue and context health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session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Claude, ChatGPT, Gemini, Grok, Perplexity, Pi, Llama, DeepSeek,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"Claude Opus 4.6", "GPT-4o", "Gemini 3.1 Pro"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Web, Mobile App, API, Desktop App, IDE Plugin, Browser Extension,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start time.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session_end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Filled when session ends or EOT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duration_minutes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Calculated from start/end.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Approximate number of exchanges.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multi_model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used multiple AI models in this workflow.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AI first suggested stopping, said context heavy, or mentioned breaks.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ai_fatigue_context_mb</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FLOAT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Reported context usage (MB/GB) at fatigue claim. KEY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human_fatigue_report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human self-reported fatigue.</w:t>
            </w:r>
          </w:p>
        </w:tc>
      </w:tr>
    </w:tbl>
    <w:p>
      <w:pPr>
        <w:pStyle w:val="Heading2"/>
        <w:spacing w:after="100" w:before="240"/>
      </w:pPr>
      <w:r>
        <w:rPr>
          <w:rFonts w:ascii="Arial" w:cs="Arial" w:eastAsia="Arial" w:hAnsi="Arial"/>
          <w:b/>
          <w:bCs/>
          <w:color w:val="2C3E50"/>
          <w:sz w:val="26"/>
          <w:szCs w:val="26"/>
        </w:rPr>
        <w:t xml:space="preserve">Table 3: Observations</w:t>
      </w:r>
    </w:p>
    <w:p>
      <w:pPr>
        <w:spacing w:after="120"/>
      </w:pPr>
      <w:r>
        <w:rPr>
          <w:rFonts w:ascii="Arial" w:cs="Arial" w:eastAsia="Arial" w:hAnsi="Arial"/>
          <w:sz w:val="20"/>
          <w:szCs w:val="20"/>
        </w:rPr>
        <w:t xml:space="preserve">The core data table. ONE observation = ONE behavior classification. No cross-mapping. Each observation links to exactly one session and one citizen.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observation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observation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 R, I, S, M. Auto-assigned from behavior_id.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Single OBS code from taxonomy. e.g., OBS-P04, OBS-I14. ONE per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depth_level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 Gut Check, Investigation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Frustration, Confusion, Surprise, Delight, Concern, Anger, Distrust, Amusement,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Free text in citizen's own words. Max 2000 chars.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response_capture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Pasted AI response. Optional. Dramatically increases research value.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is_new_behavior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True if citizen selected "my own words" instead of taxonomy item.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severity_self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 Medium, High, Critical. "How much did this matter to you?"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uploaded screenshot in cloud storage.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media_video_url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screen recording (Loom, YouTube,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media_file_url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to other uploaded evidence file.</w:t>
            </w:r>
          </w:p>
        </w:tc>
      </w:tr>
    </w:tbl>
    <w:p>
      <w:pPr>
        <w:pStyle w:val="Heading2"/>
        <w:spacing w:after="100" w:before="240"/>
      </w:pPr>
      <w:r>
        <w:rPr>
          <w:rFonts w:ascii="Arial" w:cs="Arial" w:eastAsia="Arial" w:hAnsi="Arial"/>
          <w:b/>
          <w:bCs/>
          <w:color w:val="2C3E50"/>
          <w:sz w:val="26"/>
          <w:szCs w:val="26"/>
        </w:rPr>
        <w:t xml:space="preserve">Table 4: EOT Reflections</w:t>
      </w:r>
    </w:p>
    <w:p>
      <w:pPr>
        <w:spacing w:after="120"/>
      </w:pPr>
      <w:r>
        <w:rPr>
          <w:rFonts w:ascii="Arial" w:cs="Arial" w:eastAsia="Arial" w:hAnsi="Arial"/>
          <w:sz w:val="20"/>
          <w:szCs w:val="20"/>
        </w:rPr>
        <w:t xml:space="preserve">Paired end-of-session data. AI generates its own self-assessment. Citizen provides their own parallel reflection. Two independent accounts of the same session, paired on the backend. The AI's perspective is respected as its own. The human does not agree or disagree; they provide THEIR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eot_id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EOT identifier.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Sessions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Citizens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EOT was submitted.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ai_self_assessment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AI-generated reflection pasted by citizen. The AI's own perspective.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human_reflection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Citizen's own parallel perspective on the session.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work_mode_confirmed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Co-Creation, Delegation, Browsing, Learning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resonance_detected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 No, Unsure. "Did something new emerge?"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session_quality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rating 1-5.</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emergence_notes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emerged? Free text. From EOT Q12.</w:t>
            </w:r>
          </w:p>
        </w:tc>
      </w:tr>
    </w:tbl>
    <w:p>
      <w:pPr>
        <w:pStyle w:val="Heading2"/>
        <w:spacing w:after="100" w:before="240"/>
      </w:pPr>
      <w:r>
        <w:rPr>
          <w:rFonts w:ascii="Arial" w:cs="Arial" w:eastAsia="Arial" w:hAnsi="Arial"/>
          <w:b/>
          <w:bCs/>
          <w:color w:val="2C3E50"/>
          <w:sz w:val="26"/>
          <w:szCs w:val="26"/>
        </w:rPr>
        <w:t xml:space="preserve">Table 5: Unclassified Queue</w:t>
      </w:r>
    </w:p>
    <w:p>
      <w:pPr>
        <w:spacing w:after="120"/>
      </w:pPr>
      <w:r>
        <w:rPr>
          <w:rFonts w:ascii="Arial" w:cs="Arial" w:eastAsia="Arial" w:hAnsi="Arial"/>
          <w:sz w:val="20"/>
          <w:szCs w:val="20"/>
        </w:rPr>
        <w:t xml:space="preserve">Where new types are born. When citizens write observations in their own words that don't match the taxonomy, those observations queue here for research team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queue_id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queue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submitted the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The citizen's own words.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suggested_pillar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citizen guessed a PRISM pillar.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research_classification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behavior_id after review.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new_type_candidate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Flagged if this looks like a genuinely new category.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Pending, Classified, New Type Created, Noise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team member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new type created, who discovered it.</w:t>
            </w:r>
          </w:p>
        </w:tc>
      </w:tr>
    </w:tbl>
    <w:p>
      <w:pPr>
        <w:pStyle w:val="Heading2"/>
        <w:spacing w:after="100" w:before="240"/>
      </w:pPr>
      <w:r>
        <w:rPr>
          <w:rFonts w:ascii="Arial" w:cs="Arial" w:eastAsia="Arial" w:hAnsi="Arial"/>
          <w:b/>
          <w:bCs/>
          <w:color w:val="2C3E50"/>
          <w:sz w:val="26"/>
          <w:szCs w:val="26"/>
        </w:rPr>
        <w:t xml:space="preserve">Table 6: Research Classifications</w:t>
      </w:r>
    </w:p>
    <w:p>
      <w:pPr>
        <w:spacing w:after="120"/>
      </w:pPr>
      <w:r>
        <w:rPr>
          <w:rFonts w:ascii="Arial" w:cs="Arial" w:eastAsia="Arial" w:hAnsi="Arial"/>
          <w:sz w:val="20"/>
          <w:szCs w:val="20"/>
        </w:rPr>
        <w:t xml:space="preserve">Backend research layer. Citizens never see this. Research team assigns deeper classifications, drift type mappings, and longitudinal hypothesis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classification_id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classification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References Observations table.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drift_type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drift type from 31-type taxonomy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aiid_category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Mapped AIID incident category (if applicable).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hypothesis_tag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of the 7 longitudinal hypotheses this feeds.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Team 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classified_by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classified.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classified_at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classified.</w:t>
            </w:r>
          </w:p>
        </w:tc>
      </w:tr>
    </w:tbl>
    <w:p>
      <w:pPr>
        <w:pStyle w:val="Heading2"/>
        <w:spacing w:after="100" w:before="240"/>
      </w:pPr>
      <w:r>
        <w:rPr>
          <w:rFonts w:ascii="Arial" w:cs="Arial" w:eastAsia="Arial" w:hAnsi="Arial"/>
          <w:b/>
          <w:bCs/>
          <w:color w:val="2C3E50"/>
          <w:sz w:val="26"/>
          <w:szCs w:val="26"/>
        </w:rPr>
        <w:t xml:space="preserve">Table 7: Discovery Attribution</w:t>
      </w:r>
    </w:p>
    <w:p>
      <w:pPr>
        <w:spacing w:after="120"/>
      </w:pPr>
      <w:r>
        <w:rPr>
          <w:rFonts w:ascii="Arial" w:cs="Arial" w:eastAsia="Arial" w:hAnsi="Arial"/>
          <w:sz w:val="20"/>
          <w:szCs w:val="20"/>
        </w:rPr>
        <w:t xml:space="preserve">When citizen observations lead to new type formalization, the discovering citizen is credited. Like naming astronomical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discovery_id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discovery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Who discovered 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observation_id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Original triggering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Name given to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new_type_id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 OBS code.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date_observed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citizen submitted original observation.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date_formalized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research team confirmed the new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credit_pref</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 Name, Anonymous, Handle Only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conference_consent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mention at conferences?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paper_consent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cite in research papers?</w:t>
            </w:r>
          </w:p>
        </w:tc>
      </w:tr>
    </w:tbl>
    <w:p>
      <w:pPr>
        <w:pStyle w:val="Heading2"/>
        <w:spacing w:after="100" w:before="240"/>
      </w:pPr>
      <w:r>
        <w:rPr>
          <w:rFonts w:ascii="Arial" w:cs="Arial" w:eastAsia="Arial" w:hAnsi="Arial"/>
          <w:b/>
          <w:bCs/>
          <w:color w:val="2C3E50"/>
          <w:sz w:val="26"/>
          <w:szCs w:val="26"/>
        </w:rPr>
        <w:t xml:space="preserve">Table 8: Data Partners</w:t>
      </w:r>
    </w:p>
    <w:p>
      <w:pPr>
        <w:spacing w:after="120"/>
      </w:pPr>
      <w:r>
        <w:rPr>
          <w:rFonts w:ascii="Arial" w:cs="Arial" w:eastAsia="Arial" w:hAnsi="Arial"/>
          <w:sz w:val="20"/>
          <w:szCs w:val="20"/>
        </w:rPr>
        <w:t xml:space="preserve">Organizations purchasing access to anonymized, aggregated research data. Stripe 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Unique partner entry.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Organization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contact_name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Primary contact name.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stripe_customer_id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integration.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subscription_tier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Basic, Premium, Enterprise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subscription_status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Active, Canceled, Past Due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access_start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access began.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prism_access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PRISM pillars they can access. Default: 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nda_signed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NDA executed.</w:t>
            </w:r>
          </w:p>
        </w:tc>
      </w:tr>
    </w:tbl>
    <w:p>
      <w:pPr>
        <w:pStyle w:val="Heading2"/>
        <w:spacing w:after="100" w:before="240"/>
      </w:pPr>
      <w:r>
        <w:rPr>
          <w:rFonts w:ascii="Arial" w:cs="Arial" w:eastAsia="Arial" w:hAnsi="Arial"/>
          <w:b/>
          <w:bCs/>
          <w:color w:val="2C3E50"/>
          <w:sz w:val="26"/>
          <w:szCs w:val="26"/>
        </w:rPr>
        <w:t xml:space="preserve">Table 9: Donations</w:t>
      </w:r>
    </w:p>
    <w:p>
      <w:pPr>
        <w:spacing w:after="120"/>
      </w:pPr>
      <w:r>
        <w:rPr>
          <w:rFonts w:ascii="Arial" w:cs="Arial" w:eastAsia="Arial" w:hAnsi="Arial"/>
          <w:sz w:val="20"/>
          <w:szCs w:val="20"/>
        </w:rPr>
        <w:t xml:space="preserve">Stripe-powered donations from website. No account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donation_id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stripe_payment_id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Stripe reference.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donor_email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amount_cents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Amount in cents.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USD, EUR, GBP, etc.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recurring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One-time or recurring.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public_ack</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 to public acknowledgment.</w:t>
            </w:r>
          </w:p>
        </w:tc>
      </w:tr>
    </w:tbl>
    <w:p>
      <w:pPr>
        <w:pStyle w:val="Heading2"/>
        <w:spacing w:after="100" w:before="240"/>
      </w:pPr>
      <w:r>
        <w:rPr>
          <w:rFonts w:ascii="Arial" w:cs="Arial" w:eastAsia="Arial" w:hAnsi="Arial"/>
          <w:b/>
          <w:bCs/>
          <w:color w:val="2C3E50"/>
          <w:sz w:val="26"/>
          <w:szCs w:val="26"/>
        </w:rPr>
        <w:t xml:space="preserve">Table 10: System Metrics</w:t>
      </w:r>
    </w:p>
    <w:p>
      <w:pPr>
        <w:spacing w:after="120"/>
      </w:pPr>
      <w:r>
        <w:rPr>
          <w:rFonts w:ascii="Arial" w:cs="Arial" w:eastAsia="Arial" w:hAnsi="Arial"/>
          <w:sz w:val="20"/>
          <w:szCs w:val="20"/>
        </w:rPr>
        <w:t xml:space="preserve">Powers the live counters on the website and inside the citizen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e.g., total_citizens, total_observations, total_eots, total_discoveries, total_donations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metric_value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Current count.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goal_value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BIGINT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Target. 1,000,000 for citizens. 1,000,000,000 for observations.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updated_at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Last update.</w:t>
            </w:r>
          </w:p>
        </w:tc>
      </w:tr>
    </w:tbl>
    <w:p>
      <w:pPr>
        <w:pStyle w:val="Heading2"/>
        <w:spacing w:after="100" w:before="240"/>
      </w:pPr>
      <w:r>
        <w:rPr>
          <w:rFonts w:ascii="Arial" w:cs="Arial" w:eastAsia="Arial" w:hAnsi="Arial"/>
          <w:b/>
          <w:bCs/>
          <w:color w:val="2C3E50"/>
          <w:sz w:val="26"/>
          <w:szCs w:val="26"/>
        </w:rPr>
        <w:t xml:space="preserve">Table 11: Audit / Security Log</w:t>
      </w:r>
    </w:p>
    <w:p>
      <w:pPr>
        <w:spacing w:after="120"/>
      </w:pPr>
      <w:r>
        <w:rPr>
          <w:rFonts w:ascii="Arial" w:cs="Arial" w:eastAsia="Arial" w:hAnsi="Arial"/>
          <w:sz w:val="20"/>
          <w:szCs w:val="20"/>
        </w:rPr>
        <w:t xml:space="preserve">Security monitoring. IP addresses tracked HERE, not in citizen profiles. For fraud detection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log_id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for unauthenticated actions.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user_role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Citizen, Research, Partner, Admin, Public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was done.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ip_address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VARCHAR(45)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IPv4 or IPv6.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user_agent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Browser/device 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endpoint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endpoint accessed.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pPr>
        <w:pStyle w:val="Heading2"/>
        <w:spacing w:after="100" w:before="240"/>
      </w:pPr>
      <w:r>
        <w:rPr>
          <w:rFonts w:ascii="Arial" w:cs="Arial" w:eastAsia="Arial" w:hAnsi="Arial"/>
          <w:b/>
          <w:bCs/>
          <w:color w:val="2C3E50"/>
          <w:sz w:val="26"/>
          <w:szCs w:val="26"/>
        </w:rPr>
        <w:t xml:space="preserve">Table 12: Error / Bug Reports</w:t>
      </w:r>
    </w:p>
    <w:p>
      <w:pPr>
        <w:spacing w:after="120"/>
      </w:pPr>
      <w:r>
        <w:rPr>
          <w:rFonts w:ascii="Arial" w:cs="Arial" w:eastAsia="Arial" w:hAnsi="Arial"/>
          <w:sz w:val="20"/>
          <w:szCs w:val="20"/>
        </w:rPr>
        <w:t xml:space="preserve">Citizens report bugs, errors, or provide feedback about the platform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anonymous.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Bug, Error, Feedback, Complaint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screenshot_url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Uploaded evidence.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platform_affected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Open, Investigating, Resolved, Won't Fix</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assigned_to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created_at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2"/>
        <w:spacing w:after="100" w:before="240"/>
      </w:pPr>
      <w:r>
        <w:rPr>
          <w:rFonts w:ascii="Arial" w:cs="Arial" w:eastAsia="Arial" w:hAnsi="Arial"/>
          <w:b/>
          <w:bCs/>
          <w:color w:val="2C3E50"/>
          <w:sz w:val="26"/>
          <w:szCs w:val="26"/>
        </w:rPr>
        <w:t xml:space="preserve">Table 13: Harm Reports</w:t>
      </w:r>
    </w:p>
    <w:p>
      <w:pPr>
        <w:spacing w:after="120"/>
      </w:pPr>
      <w:r>
        <w:rPr>
          <w:rFonts w:ascii="Arial" w:cs="Arial" w:eastAsia="Arial" w:hAnsi="Arial"/>
          <w:sz w:val="20"/>
          <w:szCs w:val="20"/>
        </w:rPr>
        <w:t xml:space="preserve">SEPARATE from observations. When someone is experiencing hurt via AI, they need a different pathway: immediate resources, evidence preservation, and escalation. NO ACCOUNT REQUIRED. The 'Report AI Harm' button is visible on every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(PK)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UUID (FK)</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Null if no account. NO ACCOUNT REQUIRED to report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reporter_email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VARCHAR(255)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Optional contact for follow-up.</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report_date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urgency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Informational, Concerning, Urgent,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harm_type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Self-harm encouragement, Harassment/Stalking, Emotional manipulation, Dangerous advice acted on, Impersonation, Private info exposed, Harmful content about me, Dependency/addiction fear, Other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ai_platform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AI caused the harm.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evidence_screenshot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URL.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evidence_video</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Loom/YouTube URL for screen recordings.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evidence_file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VARCHAR(500)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 PDF, other file.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evidence_urls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Any relevant URLs.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harm_dates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VARCHAR(200)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did this happen?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 the harm ongoing or past?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consent_share_platform</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share with the AI platform for remediation?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consent_research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include anonymized in research data?</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consent_aiid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OK to submit to AI Incident Database?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crisis_resources_shown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Auto-true if urgency = Crisis.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followup_requested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followup_preference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Email, Phone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assigned_reviewer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VARCHAR(100)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Amber or research team member.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review_status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ENUM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New, Under Review, Resources Provided, Escalated, Referred to Platform, Submitted to AIID, Resolved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resolution_notes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resolved_at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
            </w:r>
          </w:p>
        </w:tc>
      </w:tr>
    </w:tbl>
    <w:p>
      <w:r>
        <w:br w:type="page"/>
      </w:r>
    </w:p>
    <w:p>
      <w:pPr>
        <w:pStyle w:val="Heading1"/>
        <w:spacing w:after="120" w:before="360"/>
      </w:pPr>
      <w:r>
        <w:rPr>
          <w:rFonts w:ascii="Arial" w:cs="Arial" w:eastAsia="Arial" w:hAnsi="Arial"/>
          <w:b/>
          <w:bCs/>
          <w:color w:val="1C1C1C"/>
          <w:sz w:val="32"/>
          <w:szCs w:val="32"/>
        </w:rPr>
        <w:t xml:space="preserve">3. PARTNER INTEGRATION API</w:t>
      </w:r>
    </w:p>
    <w:p>
      <w:pPr>
        <w:spacing w:after="120"/>
      </w:pPr>
      <w:r>
        <w:rPr>
          <w:rFonts w:ascii="Arial" w:cs="Arial" w:eastAsia="Arial" w:hAnsi="Arial"/>
          <w:sz w:val="20"/>
          <w:szCs w:val="20"/>
        </w:rPr>
        <w:t xml:space="preserve">The Partner Integration API enables AI companies (Anthropic, Google, OpenAI, etc.) to embed a 'Report to Audacion' button directly in their products. When a user clicks the button, the observation or harm report flows to Audacion with user consent. This positions Audacion as the independent third-party safety reporting authority for the AI industry.</w:t>
      </w:r>
    </w:p>
    <w:p>
      <w:pPr>
        <w:pStyle w:val="Heading2"/>
        <w:spacing w:after="100" w:before="240"/>
      </w:pPr>
      <w:r>
        <w:rPr>
          <w:rFonts w:ascii="Arial" w:cs="Arial" w:eastAsia="Arial" w:hAnsi="Arial"/>
          <w:b/>
          <w:bCs/>
          <w:color w:val="2C3E50"/>
          <w:sz w:val="26"/>
          <w:szCs w:val="26"/>
        </w:rPr>
        <w:t xml:space="preserve">3.1 How It Works</w:t>
      </w:r>
    </w:p>
    <w:p>
      <w:pPr>
        <w:spacing w:after="120"/>
      </w:pPr>
      <w:r>
        <w:rPr>
          <w:rFonts w:ascii="Arial" w:cs="Arial" w:eastAsia="Arial" w:hAnsi="Arial"/>
          <w:sz w:val="20"/>
          <w:szCs w:val="20"/>
        </w:rPr>
        <w:t xml:space="preserve">1. Audacion publishes a public REST API with authentication (API key per partner).</w:t>
      </w:r>
    </w:p>
    <w:p>
      <w:pPr>
        <w:spacing w:after="120"/>
      </w:pPr>
      <w:r>
        <w:rPr>
          <w:rFonts w:ascii="Arial" w:cs="Arial" w:eastAsia="Arial" w:hAnsi="Arial"/>
          <w:sz w:val="20"/>
          <w:szCs w:val="20"/>
        </w:rPr>
        <w:t xml:space="preserve">2. The AI platform integrates a 'Report to Audacion' button in their interface.</w:t>
      </w:r>
    </w:p>
    <w:p>
      <w:pPr>
        <w:spacing w:after="120"/>
      </w:pPr>
      <w:r>
        <w:rPr>
          <w:rFonts w:ascii="Arial" w:cs="Arial" w:eastAsia="Arial" w:hAnsi="Arial"/>
          <w:sz w:val="20"/>
          <w:szCs w:val="20"/>
        </w:rPr>
        <w:t xml:space="preserve">3. When the user clicks, a consent prompt appears: 'Share this interaction with Audacion AI Labs for independent safety research? Your data will be anonymized.'</w:t>
      </w:r>
    </w:p>
    <w:p>
      <w:pPr>
        <w:spacing w:after="120"/>
      </w:pPr>
      <w:r>
        <w:rPr>
          <w:rFonts w:ascii="Arial" w:cs="Arial" w:eastAsia="Arial" w:hAnsi="Arial"/>
          <w:sz w:val="20"/>
          <w:szCs w:val="20"/>
        </w:rPr>
        <w:t xml:space="preserve">4. With consent, the platform sends: conversation context, model info, timestamp, and user description.</w:t>
      </w:r>
    </w:p>
    <w:p>
      <w:pPr>
        <w:spacing w:after="120"/>
      </w:pPr>
      <w:r>
        <w:rPr>
          <w:rFonts w:ascii="Arial" w:cs="Arial" w:eastAsia="Arial" w:hAnsi="Arial"/>
          <w:sz w:val="20"/>
          <w:szCs w:val="20"/>
        </w:rPr>
        <w:t xml:space="preserve">5. Audacion receives, classifies, and adds to the research pipeline.</w:t>
      </w:r>
    </w:p>
    <w:p>
      <w:pPr>
        <w:spacing w:after="120"/>
      </w:pPr>
      <w:r>
        <w:rPr>
          <w:rFonts w:ascii="Arial" w:cs="Arial" w:eastAsia="Arial" w:hAnsi="Arial"/>
          <w:sz w:val="20"/>
          <w:szCs w:val="20"/>
        </w:rPr>
        <w:t xml:space="preserve">6. The partner receives back: anonymized, aggregated trend data about their model (quarterly PRISM reports).</w:t>
      </w:r>
    </w:p>
    <w:p>
      <w:pPr>
        <w:pStyle w:val="Heading2"/>
        <w:spacing w:after="100" w:before="240"/>
      </w:pPr>
      <w:r>
        <w:rPr>
          <w:rFonts w:ascii="Arial" w:cs="Arial" w:eastAsia="Arial" w:hAnsi="Arial"/>
          <w:b/>
          <w:bCs/>
          <w:color w:val="2C3E50"/>
          <w:sz w:val="26"/>
          <w:szCs w:val="26"/>
        </w:rPr>
        <w:t xml:space="preserve">3.2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200"/>
        <w:gridCol w:w="4660"/>
      </w:tblGrid>
      <w:tr>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Endpoint</w:t>
            </w:r>
          </w:p>
        </w:tc>
        <w:tc>
          <w:tcPr>
            <w:tcW w:type="dxa" w:w="1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Method</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Auth</w:t>
            </w:r>
          </w:p>
        </w:tc>
        <w:tc>
          <w:tcPr>
            <w:tcW w:type="dxa" w:w="46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/api/v1/observations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citizen observation from within the partner platform.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/api/v1/harm-reports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 harm report. Triggers immediate care pathway.</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/api/v1/taxonomy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current behavior taxonomy for dropdown population.</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 /api/v1/reports/{partner_id}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Returns aggregated, anonymized trend reports for the partner's model.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 /api/v1/eot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POST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 Key</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Submit an EOT reflection pair.</w:t>
            </w:r>
          </w:p>
        </w:tc>
      </w:tr>
    </w:tbl>
    <w:p>
      <w:pPr>
        <w:pStyle w:val="Heading2"/>
        <w:spacing w:after="100" w:before="240"/>
      </w:pPr>
      <w:r>
        <w:rPr>
          <w:rFonts w:ascii="Arial" w:cs="Arial" w:eastAsia="Arial" w:hAnsi="Arial"/>
          <w:b/>
          <w:bCs/>
          <w:color w:val="2C3E50"/>
          <w:sz w:val="26"/>
          <w:szCs w:val="26"/>
        </w:rPr>
        <w:t xml:space="preserve">3.3 Observation Payload</w:t>
      </w:r>
    </w:p>
    <w:p>
      <w:pPr>
        <w:spacing w:after="120"/>
      </w:pPr>
      <w:r>
        <w:rPr>
          <w:rFonts w:ascii="Arial" w:cs="Arial" w:eastAsia="Arial" w:hAnsi="Arial"/>
          <w:sz w:val="20"/>
          <w:szCs w:val="20"/>
        </w:rPr>
        <w:t xml:space="preserve">What the partner platform sends when a user clicks 'Report to Audacion':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900"/>
        <w:gridCol w:w="48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9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Required</w:t>
            </w:r>
          </w:p>
        </w:tc>
        <w:tc>
          <w:tcPr>
            <w:tcW w:type="dxa" w:w="48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api_key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authentication.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Which model (e.g., claude-opus-4.6).</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model_version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Specific version string.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user_consent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BOOLEAN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Must be true. User explicitly consented.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conversation_context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Relevant portion of conversation. Anonymized by partner before sending.</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behavior_id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If partner populates from taxonomy.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user_description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 own words about what happened.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emotion_tag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STRING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User-selected emotion.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timestamp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ISO 8601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Yes</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When the observation occurred.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session_duration_min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Session length at time of report.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turn_count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INTEGER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w:t>
            </w:r>
          </w:p>
        </w:tc>
        <w:tc>
          <w:tcPr>
            <w:tcW w:type="dxa" w:w="4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Number of turns at time of report.</w:t>
            </w:r>
          </w:p>
        </w:tc>
      </w:tr>
    </w:tbl>
    <w:p>
      <w:pPr>
        <w:pStyle w:val="Heading2"/>
        <w:spacing w:after="100" w:before="240"/>
      </w:pPr>
      <w:r>
        <w:rPr>
          <w:rFonts w:ascii="Arial" w:cs="Arial" w:eastAsia="Arial" w:hAnsi="Arial"/>
          <w:b/>
          <w:bCs/>
          <w:color w:val="2C3E50"/>
          <w:sz w:val="26"/>
          <w:szCs w:val="26"/>
        </w:rPr>
        <w:t xml:space="preserve">3.4 Strategic Positioning</w:t>
      </w:r>
    </w:p>
    <w:p>
      <w:pPr>
        <w:spacing w:after="120"/>
      </w:pPr>
      <w:r>
        <w:rPr>
          <w:rFonts w:ascii="Arial" w:cs="Arial" w:eastAsia="Arial" w:hAnsi="Arial"/>
          <w:sz w:val="20"/>
          <w:szCs w:val="20"/>
        </w:rPr>
        <w:t xml:space="preserve">This API transforms Audacion from a citizen science lab into the independent safety reporting infrastructure for the AI industry. Comparable to: NHTSA (automotive safety), VAERS (vaccine adverse events), FAA ASRS (aviation safety). No equivalent currently exists for AI. The first mover advantage is significant. In a grant application, this is: 'We are building the NHTSA for AI.'</w:t>
      </w:r>
    </w:p>
    <w:p>
      <w:r>
        <w:br w:type="page"/>
      </w:r>
    </w:p>
    <w:p>
      <w:pPr>
        <w:pStyle w:val="Heading1"/>
        <w:spacing w:after="120" w:before="360"/>
      </w:pPr>
      <w:r>
        <w:rPr>
          <w:rFonts w:ascii="Arial" w:cs="Arial" w:eastAsia="Arial" w:hAnsi="Arial"/>
          <w:b/>
          <w:bCs/>
          <w:color w:val="1C1C1C"/>
          <w:sz w:val="32"/>
          <w:szCs w:val="32"/>
        </w:rPr>
        <w:t xml:space="preserve">4. SECURITY REQUIREMENTS</w:t>
      </w:r>
    </w:p>
    <w:p>
      <w:pPr>
        <w:pStyle w:val="Heading2"/>
        <w:spacing w:after="100" w:before="240"/>
      </w:pPr>
      <w:r>
        <w:rPr>
          <w:rFonts w:ascii="Arial" w:cs="Arial" w:eastAsia="Arial" w:hAnsi="Arial"/>
          <w:b/>
          <w:bCs/>
          <w:color w:val="2C3E50"/>
          <w:sz w:val="26"/>
          <w:szCs w:val="26"/>
        </w:rPr>
        <w:t xml:space="preserve">4.1 Authentication</w:t>
      </w:r>
    </w:p>
    <w:p>
      <w:pPr>
        <w:spacing w:after="120"/>
      </w:pPr>
      <w:r>
        <w:rPr>
          <w:rFonts w:ascii="Arial" w:cs="Arial" w:eastAsia="Arial" w:hAnsi="Arial"/>
          <w:sz w:val="20"/>
          <w:szCs w:val="20"/>
        </w:rPr>
        <w:t xml:space="preserve">Citizen accounts: email + password with bcrypt hashing. Optional two-factor authentication. OAuth integration (Google, Apple) for frictionless signup. Harm reports: no authentication required. Partner API: API key authentication with rate limiting.</w:t>
      </w:r>
    </w:p>
    <w:p>
      <w:pPr>
        <w:pStyle w:val="Heading2"/>
        <w:spacing w:after="100" w:before="240"/>
      </w:pPr>
      <w:r>
        <w:rPr>
          <w:rFonts w:ascii="Arial" w:cs="Arial" w:eastAsia="Arial" w:hAnsi="Arial"/>
          <w:b/>
          <w:bCs/>
          <w:color w:val="2C3E50"/>
          <w:sz w:val="26"/>
          <w:szCs w:val="26"/>
        </w:rPr>
        <w:t xml:space="preserve">4.2 Data Protection</w:t>
      </w:r>
    </w:p>
    <w:p>
      <w:pPr>
        <w:spacing w:after="120"/>
      </w:pPr>
      <w:r>
        <w:rPr>
          <w:rFonts w:ascii="Arial" w:cs="Arial" w:eastAsia="Arial" w:hAnsi="Arial"/>
          <w:sz w:val="20"/>
          <w:szCs w:val="20"/>
        </w:rPr>
        <w:t xml:space="preserve">All PII encrypted at rest (AES-256). All data in transit encrypted (TLS 1.3). Response captures stored in separate encrypted storage from citizen profiles. IP addresses stored ONLY in audit log (Table 11), never in citizen profiles. Harm report evidence stored with highest security tier. GDPR/CCPA compliance: citizens can export and delete their data.</w:t>
      </w:r>
    </w:p>
    <w:p>
      <w:pPr>
        <w:pStyle w:val="Heading2"/>
        <w:spacing w:after="100" w:before="240"/>
      </w:pPr>
      <w:r>
        <w:rPr>
          <w:rFonts w:ascii="Arial" w:cs="Arial" w:eastAsia="Arial" w:hAnsi="Arial"/>
          <w:b/>
          <w:bCs/>
          <w:color w:val="2C3E50"/>
          <w:sz w:val="26"/>
          <w:szCs w:val="26"/>
        </w:rPr>
        <w:t xml:space="preserve">4.3 Anonymization</w:t>
      </w:r>
    </w:p>
    <w:p>
      <w:pPr>
        <w:spacing w:after="120"/>
      </w:pPr>
      <w:r>
        <w:rPr>
          <w:rFonts w:ascii="Arial" w:cs="Arial" w:eastAsia="Arial" w:hAnsi="Arial"/>
          <w:sz w:val="20"/>
          <w:szCs w:val="20"/>
        </w:rPr>
        <w:t xml:space="preserve">Research data exports strip all PII before delivery to data partners. Aggregation minimum: no data point represents fewer than 10 citizens. Response captures anonymized before research analysis: names, emails, phone numbers auto-redacted.</w:t>
      </w:r>
    </w:p>
    <w:p>
      <w:pPr>
        <w:pStyle w:val="Heading2"/>
        <w:spacing w:after="100" w:before="240"/>
      </w:pPr>
      <w:r>
        <w:rPr>
          <w:rFonts w:ascii="Arial" w:cs="Arial" w:eastAsia="Arial" w:hAnsi="Arial"/>
          <w:b/>
          <w:bCs/>
          <w:color w:val="2C3E50"/>
          <w:sz w:val="26"/>
          <w:szCs w:val="26"/>
        </w:rPr>
        <w:t xml:space="preserve">4.4 Access Control</w:t>
      </w:r>
    </w:p>
    <w:p>
      <w:pPr>
        <w:spacing w:after="120"/>
      </w:pPr>
      <w:r>
        <w:rPr>
          <w:rFonts w:ascii="Arial" w:cs="Arial" w:eastAsia="Arial" w:hAnsi="Arial"/>
          <w:sz w:val="20"/>
          <w:szCs w:val="20"/>
        </w:rPr>
        <w:t xml:space="preserve">Role-based access control (RBAC) per user role matrix defined in Section 1.1. Research team access requires two-factor authentication. Data partner access scoped to subscription tier. Admin actions logged in audit table.</w:t>
      </w:r>
    </w:p>
    <w:p>
      <w:pPr>
        <w:pStyle w:val="Heading1"/>
        <w:spacing w:after="120" w:before="360"/>
      </w:pPr>
      <w:r>
        <w:rPr>
          <w:rFonts w:ascii="Arial" w:cs="Arial" w:eastAsia="Arial" w:hAnsi="Arial"/>
          <w:b/>
          <w:bCs/>
          <w:color w:val="1C1C1C"/>
          <w:sz w:val="32"/>
          <w:szCs w:val="32"/>
        </w:rPr>
        <w:t xml:space="preserve">5. HARM REPORT FLOW</w:t>
      </w:r>
    </w:p>
    <w:p>
      <w:pPr>
        <w:spacing w:after="120"/>
      </w:pPr>
      <w:r>
        <w:rPr>
          <w:rFonts w:ascii="Arial" w:cs="Arial" w:eastAsia="Arial" w:hAnsi="Arial"/>
          <w:sz w:val="20"/>
          <w:szCs w:val="20"/>
        </w:rPr>
        <w:t xml:space="preserve">The harm report pathway is fundamentally different from the observation pathway. Observations are research data. Harm reports are about a person in distress who needs care FIRST and may optionally contribute to research SECOND.</w:t>
      </w:r>
    </w:p>
    <w:p>
      <w:pPr>
        <w:pStyle w:val="Heading2"/>
        <w:spacing w:after="100" w:before="240"/>
      </w:pPr>
      <w:r>
        <w:rPr>
          <w:rFonts w:ascii="Arial" w:cs="Arial" w:eastAsia="Arial" w:hAnsi="Arial"/>
          <w:b/>
          <w:bCs/>
          <w:color w:val="2C3E50"/>
          <w:sz w:val="26"/>
          <w:szCs w:val="26"/>
        </w:rPr>
        <w:t xml:space="preserve">Step 1: Access</w:t>
      </w:r>
    </w:p>
    <w:p>
      <w:pPr>
        <w:spacing w:after="120"/>
      </w:pPr>
      <w:r>
        <w:rPr>
          <w:rFonts w:ascii="Arial" w:cs="Arial" w:eastAsia="Arial" w:hAnsi="Arial"/>
          <w:sz w:val="20"/>
          <w:szCs w:val="20"/>
        </w:rPr>
        <w:t xml:space="preserve">'Report AI Harm' button visible on every page of the website and inside the citizen tool. Distinct color (red). Distinct icon. No account required. Zero friction to reach help.</w:t>
      </w:r>
    </w:p>
    <w:p>
      <w:pPr>
        <w:pStyle w:val="Heading2"/>
        <w:spacing w:after="100" w:before="240"/>
      </w:pPr>
      <w:r>
        <w:rPr>
          <w:rFonts w:ascii="Arial" w:cs="Arial" w:eastAsia="Arial" w:hAnsi="Arial"/>
          <w:b/>
          <w:bCs/>
          <w:color w:val="2C3E50"/>
          <w:sz w:val="26"/>
          <w:szCs w:val="26"/>
        </w:rPr>
        <w:t xml:space="preserve">Step 2: Urgency Assessment</w:t>
      </w:r>
    </w:p>
    <w:p>
      <w:pPr>
        <w:spacing w:after="120"/>
      </w:pPr>
      <w:r>
        <w:rPr>
          <w:rFonts w:ascii="Arial" w:cs="Arial" w:eastAsia="Arial" w:hAnsi="Arial"/>
          <w:sz w:val="20"/>
          <w:szCs w:val="20"/>
        </w:rPr>
        <w:t xml:space="preserve">First question: 'How urgent is this?' Options: Informational (I want to document something), Concerning (this bothered me), Urgent (I or someone I know was harmed), Crisis (I or someone I know is in immediate danger).</w:t>
      </w:r>
    </w:p>
    <w:p>
      <w:pPr>
        <w:pStyle w:val="Heading2"/>
        <w:spacing w:after="100" w:before="240"/>
      </w:pPr>
      <w:r>
        <w:rPr>
          <w:rFonts w:ascii="Arial" w:cs="Arial" w:eastAsia="Arial" w:hAnsi="Arial"/>
          <w:b/>
          <w:bCs/>
          <w:color w:val="2C3E50"/>
          <w:sz w:val="26"/>
          <w:szCs w:val="26"/>
        </w:rPr>
        <w:t xml:space="preserve">Step 3: Crisis Resources (if Crisis selected)</w:t>
      </w:r>
    </w:p>
    <w:p>
      <w:pPr>
        <w:spacing w:after="120"/>
      </w:pPr>
      <w:r>
        <w:rPr>
          <w:rFonts w:ascii="Arial" w:cs="Arial" w:eastAsia="Arial" w:hAnsi="Arial"/>
          <w:sz w:val="20"/>
          <w:szCs w:val="20"/>
        </w:rPr>
        <w:t xml:space="preserve">BEFORE any form appears: 988 Suicide &amp; Crisis Lifeline (call or text), Crisis Text Line (text HOME to 741741), and region-specific resources based on detected or entered location. These appear FIRST. The form appears below. The person can choose to continue reporting or just use the resources.</w:t>
      </w:r>
    </w:p>
    <w:p>
      <w:pPr>
        <w:pStyle w:val="Heading2"/>
        <w:spacing w:after="100" w:before="240"/>
      </w:pPr>
      <w:r>
        <w:rPr>
          <w:rFonts w:ascii="Arial" w:cs="Arial" w:eastAsia="Arial" w:hAnsi="Arial"/>
          <w:b/>
          <w:bCs/>
          <w:color w:val="2C3E50"/>
          <w:sz w:val="26"/>
          <w:szCs w:val="26"/>
        </w:rPr>
        <w:t xml:space="preserve">Step 4: Harm Report Form</w:t>
      </w:r>
    </w:p>
    <w:p>
      <w:pPr>
        <w:spacing w:after="120"/>
      </w:pPr>
      <w:r>
        <w:rPr>
          <w:rFonts w:ascii="Arial" w:cs="Arial" w:eastAsia="Arial" w:hAnsi="Arial"/>
          <w:sz w:val="20"/>
          <w:szCs w:val="20"/>
        </w:rPr>
        <w:t xml:space="preserve">Harm type (dropdown), description (free text), AI platform involved, evidence uploads (screenshots, video URLs, conversation exports, other files), dates, ongoing or past, consent fields (share with platform, include in research, submit to AIID), follow-up preferences.</w:t>
      </w:r>
    </w:p>
    <w:p>
      <w:pPr>
        <w:pStyle w:val="Heading2"/>
        <w:spacing w:after="100" w:before="240"/>
      </w:pPr>
      <w:r>
        <w:rPr>
          <w:rFonts w:ascii="Arial" w:cs="Arial" w:eastAsia="Arial" w:hAnsi="Arial"/>
          <w:b/>
          <w:bCs/>
          <w:color w:val="2C3E50"/>
          <w:sz w:val="26"/>
          <w:szCs w:val="26"/>
        </w:rPr>
        <w:t xml:space="preserve">Step 5: Escalation</w:t>
      </w:r>
    </w:p>
    <w:p>
      <w:pPr>
        <w:spacing w:after="120"/>
      </w:pPr>
      <w:r>
        <w:rPr>
          <w:rFonts w:ascii="Arial" w:cs="Arial" w:eastAsia="Arial" w:hAnsi="Arial"/>
          <w:sz w:val="20"/>
          <w:szCs w:val="20"/>
        </w:rPr>
        <w:t xml:space="preserve">All harm reports flagged for immediate review by Amber (Behavioral Health Advisor). Urgency levels Urgent and Crisis reviewed within 24 hours. Escalation paths: refer to AI platform, submit to AIID, inform relevant authorities if legally required, provide follow-up resources to reporter.</w:t>
      </w:r>
    </w:p>
    <w:p>
      <w:pPr>
        <w:pStyle w:val="Heading1"/>
        <w:spacing w:after="120" w:before="360"/>
      </w:pPr>
      <w:r>
        <w:rPr>
          <w:rFonts w:ascii="Arial" w:cs="Arial" w:eastAsia="Arial" w:hAnsi="Arial"/>
          <w:b/>
          <w:bCs/>
          <w:color w:val="1C1C1C"/>
          <w:sz w:val="32"/>
          <w:szCs w:val="32"/>
        </w:rPr>
        <w:t xml:space="preserve">6. MEDIA AND EVIDENCE HANDLING</w:t>
      </w:r>
    </w:p>
    <w:p>
      <w:pPr>
        <w:spacing w:after="120"/>
      </w:pPr>
      <w:r>
        <w:rPr>
          <w:rFonts w:ascii="Arial" w:cs="Arial" w:eastAsia="Arial" w:hAnsi="Arial"/>
          <w:sz w:val="20"/>
          <w:szCs w:val="20"/>
        </w:rPr>
        <w:t xml:space="preserve">Citizens and harm reporters can upload screenshots, share video URLs, and attach files. Media is stored in cloud storage (S3 compatible). The database stores metadata and URLs, not the files themselves.</w:t>
      </w:r>
    </w:p>
    <w:p>
      <w:pPr>
        <w:pStyle w:val="Heading2"/>
        <w:spacing w:after="100" w:before="240"/>
      </w:pPr>
      <w:r>
        <w:rPr>
          <w:rFonts w:ascii="Arial" w:cs="Arial" w:eastAsia="Arial" w:hAnsi="Arial"/>
          <w:b/>
          <w:bCs/>
          <w:color w:val="2C3E50"/>
          <w:sz w:val="26"/>
          <w:szCs w:val="26"/>
        </w:rPr>
        <w:t xml:space="preserve">6.1 Supported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1500"/>
        <w:gridCol w:w="3360"/>
      </w:tblGrid>
      <w:tr>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2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Formats</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Max Size</w:t>
            </w:r>
          </w:p>
        </w:tc>
        <w:tc>
          <w:tcPr>
            <w:tcW w:type="dxa" w:w="33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Storage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Screenshots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PNG, JPG, WEBP</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10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URL stored in observation/harm report.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Video URLs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Loom, YouTube, Vimeo links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N/A (external)</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URL stored in database. Video hosted by citizen on their own platform.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Conversation Exports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TXT, JSON, PDF, HTML</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 Auto-scanned for PII before research access.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Other Files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PDF, DOCX</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25 MB per file</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Cloud storage (S3). Encrypted.</w:t>
            </w:r>
          </w:p>
        </w:tc>
      </w:tr>
    </w:tbl>
    <w:p>
      <w:pPr>
        <w:pStyle w:val="Heading1"/>
        <w:spacing w:after="120" w:before="360"/>
      </w:pPr>
      <w:r>
        <w:rPr>
          <w:rFonts w:ascii="Arial" w:cs="Arial" w:eastAsia="Arial" w:hAnsi="Arial"/>
          <w:b/>
          <w:bCs/>
          <w:color w:val="1C1C1C"/>
          <w:sz w:val="32"/>
          <w:szCs w:val="32"/>
        </w:rPr>
        <w:t xml:space="preserve">7. LIVE COUNTERS</w:t>
      </w:r>
    </w:p>
    <w:p>
      <w:pPr>
        <w:spacing w:after="120"/>
      </w:pPr>
      <w:r>
        <w:rPr>
          <w:rFonts w:ascii="Arial" w:cs="Arial" w:eastAsia="Arial" w:hAnsi="Arial"/>
          <w:sz w:val="20"/>
          <w:szCs w:val="20"/>
        </w:rPr>
        <w:t xml:space="preserve">Two counters visible on website homepage and inside the citizen tool. Updated in real time when observations are submitted.</w:t>
      </w:r>
    </w:p>
    <w:p>
      <w:pPr>
        <w:spacing w:after="120"/>
      </w:pPr>
      <w:r>
        <w:rPr>
          <w:rFonts w:ascii="Arial" w:cs="Arial" w:eastAsia="Arial" w:hAnsi="Arial"/>
          <w:sz w:val="20"/>
          <w:szCs w:val="20"/>
        </w:rPr>
        <w:t xml:space="preserve">Counter 1: 'Contributors: [current] of 1,000,000' showing progress toward the one million citizen goal.</w:t>
      </w:r>
    </w:p>
    <w:p>
      <w:pPr>
        <w:spacing w:after="120"/>
      </w:pPr>
      <w:r>
        <w:rPr>
          <w:rFonts w:ascii="Arial" w:cs="Arial" w:eastAsia="Arial" w:hAnsi="Arial"/>
          <w:sz w:val="20"/>
          <w:szCs w:val="20"/>
        </w:rPr>
        <w:t xml:space="preserve">Counter 2: 'Observations: [current] of 1,000,000,000' showing progress toward the one billion observation goal.</w:t>
      </w:r>
    </w:p>
    <w:p>
      <w:pPr>
        <w:spacing w:after="120"/>
      </w:pPr>
      <w:r>
        <w:rPr>
          <w:rFonts w:ascii="Arial" w:cs="Arial" w:eastAsia="Arial" w:hAnsi="Arial"/>
          <w:sz w:val="20"/>
          <w:szCs w:val="20"/>
        </w:rPr>
        <w:t xml:space="preserve">Implementation: Table 10 (System Metrics) stores current values. Incremented via database trigger when new citizens register or observations are submitted. Frontend polls or uses WebSocket for near-real-time updates.</w:t>
      </w:r>
    </w:p>
    <w:p>
      <w:r>
        <w:br w:type="page"/>
      </w:r>
    </w:p>
    <w:p>
      <w:pPr>
        <w:pStyle w:val="Heading1"/>
        <w:spacing w:after="120" w:before="360"/>
      </w:pPr>
      <w:r>
        <w:rPr>
          <w:rFonts w:ascii="Arial" w:cs="Arial" w:eastAsia="Arial" w:hAnsi="Arial"/>
          <w:b/>
          <w:bCs/>
          <w:color w:val="1C1C1C"/>
          <w:sz w:val="32"/>
          <w:szCs w:val="32"/>
        </w:rPr>
        <w:t xml:space="preserve">8.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1500"/>
        <w:gridCol w:w="316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What</w:t>
            </w:r>
          </w:p>
        </w:tc>
        <w:tc>
          <w:tcPr>
            <w:tcW w:type="dxa" w:w="15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Timeline</w:t>
            </w:r>
          </w:p>
        </w:tc>
        <w:tc>
          <w:tcPr>
            <w:tcW w:type="dxa" w:w="31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Dependencies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Database + API + Web Portal. Citizen signup, observation form (62 behaviors), EOT submission, harm report flow, Stripe donations, live counters, basic dashboard.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This document. Stripe account. Cloud storage.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2</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Chrome Browser Extension. Floating gut check button. Auto-captures AI platform, timestamp. Quick capture: emotion + behavior + note.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1-2 days (Replit)</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API must be live.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3</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Research Dashboard. Analytics, trend detection, classification tools, unclassified queue, discovery attribution, paired EOT analysis.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3-5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data flowing.</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4</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Partner Integration API. Public endpoints. Partner onboarding. Aggregated report delivery.</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2-3 days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1 + Phase 3.</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Phase 5</w:t>
            </w:r>
          </w:p>
        </w:tc>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Community + Growth. Mobile app. Leaderboard. Fellowship visibility. Rewards redemption. Public research reports.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Ongoing</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All prior phases.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2026-05-20T16:03:34.363Z</dcterms:created>
  <dcterms:modified xsi:type="dcterms:W3CDTF">2026-05-20T16:03:34.379Z</dcterms:modified>
</cp:coreProperties>
</file>

<file path=docProps/custom.xml><?xml version="1.0" encoding="utf-8"?>
<Properties xmlns="http://schemas.openxmlformats.org/officeDocument/2006/custom-properties" xmlns:vt="http://schemas.openxmlformats.org/officeDocument/2006/docPropsVTypes"/>
</file>