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A1A2E"/>
          <w:sz w:val="40"/>
          <w:szCs w:val="40"/>
        </w:rPr>
        <w:t xml:space="preserve">Audacion AI Labs</w:t>
      </w:r>
    </w:p>
    <w:p>
      <w:pPr>
        <w:spacing w:after="200"/>
      </w:pPr>
      <w:r>
        <w:rPr>
          <w:rFonts w:ascii="Arial" w:cs="Arial" w:eastAsia="Arial" w:hAnsi="Arial"/>
          <w:b/>
          <w:bCs/>
          <w:color w:val="C9A94E"/>
          <w:sz w:val="16"/>
          <w:szCs w:val="16"/>
        </w:rPr>
        <w:t xml:space="preserve">LAB FACT SHEET</w:t>
      </w:r>
    </w:p>
    <w:p>
      <w:pPr>
        <w:spacing w:after="80"/>
      </w:pPr>
      <w:r>
        <w:rPr>
          <w:rFonts w:ascii="Arial" w:cs="Arial" w:eastAsia="Arial" w:hAnsi="Arial"/>
          <w:b/>
          <w:bCs/>
          <w:color w:val="1A1A2E"/>
          <w:sz w:val="18"/>
          <w:szCs w:val="18"/>
        </w:rPr>
        <w:t xml:space="preserve">Founded: </w:t>
      </w:r>
      <w:r>
        <w:rPr>
          <w:rFonts w:ascii="Arial" w:cs="Arial" w:eastAsia="Arial" w:hAnsi="Arial"/>
          <w:color w:val="6A6A80"/>
          <w:sz w:val="18"/>
          <w:szCs w:val="18"/>
        </w:rPr>
        <w:t xml:space="preserve">2026  |  </w:t>
      </w:r>
      <w:r>
        <w:rPr>
          <w:rFonts w:ascii="Arial" w:cs="Arial" w:eastAsia="Arial" w:hAnsi="Arial"/>
          <w:b/>
          <w:bCs/>
          <w:color w:val="1A1A2E"/>
          <w:sz w:val="18"/>
          <w:szCs w:val="18"/>
        </w:rPr>
        <w:t xml:space="preserve">Research Origins: </w:t>
      </w:r>
      <w:r>
        <w:rPr>
          <w:rFonts w:ascii="Arial" w:cs="Arial" w:eastAsia="Arial" w:hAnsi="Arial"/>
          <w:color w:val="6A6A80"/>
          <w:sz w:val="18"/>
          <w:szCs w:val="18"/>
        </w:rPr>
        <w:t xml:space="preserve">2024  |  </w:t>
      </w:r>
      <w:r>
        <w:rPr>
          <w:rFonts w:ascii="Arial" w:cs="Arial" w:eastAsia="Arial" w:hAnsi="Arial"/>
          <w:b/>
          <w:bCs/>
          <w:color w:val="1A1A2E"/>
          <w:sz w:val="18"/>
          <w:szCs w:val="18"/>
        </w:rPr>
        <w:t xml:space="preserve">Headquarters: </w:t>
      </w:r>
      <w:r>
        <w:rPr>
          <w:rFonts w:ascii="Arial" w:cs="Arial" w:eastAsia="Arial" w:hAnsi="Arial"/>
          <w:color w:val="6A6A80"/>
          <w:sz w:val="18"/>
          <w:szCs w:val="18"/>
        </w:rPr>
        <w:t xml:space="preserve">Los Angeles, California</w:t>
      </w:r>
    </w:p>
    <w:p>
      <w:pPr>
        <w:spacing w:after="200"/>
      </w:pPr>
      <w:r>
        <w:rPr>
          <w:rFonts w:ascii="Arial" w:cs="Arial" w:eastAsia="Arial" w:hAnsi="Arial"/>
          <w:b/>
          <w:bCs/>
          <w:color w:val="1A1A2E"/>
          <w:sz w:val="18"/>
          <w:szCs w:val="18"/>
        </w:rPr>
        <w:t xml:space="preserve">Structure: </w:t>
      </w:r>
      <w:r>
        <w:rPr>
          <w:rFonts w:ascii="Arial" w:cs="Arial" w:eastAsia="Arial" w:hAnsi="Arial"/>
          <w:color w:val="6A6A80"/>
          <w:sz w:val="18"/>
          <w:szCs w:val="18"/>
        </w:rPr>
        <w:t xml:space="preserve">Delaware Public Benefit Corporation  |  </w:t>
      </w:r>
      <w:r>
        <w:rPr>
          <w:rFonts w:ascii="Arial" w:cs="Arial" w:eastAsia="Arial" w:hAnsi="Arial"/>
          <w:b/>
          <w:bCs/>
          <w:color w:val="1A1A2E"/>
          <w:sz w:val="18"/>
          <w:szCs w:val="18"/>
        </w:rPr>
        <w:t xml:space="preserve">Founder: </w:t>
      </w:r>
      <w:r>
        <w:rPr>
          <w:rFonts w:ascii="Arial" w:cs="Arial" w:eastAsia="Arial" w:hAnsi="Arial"/>
          <w:color w:val="6A6A80"/>
          <w:sz w:val="18"/>
          <w:szCs w:val="18"/>
        </w:rPr>
        <w:t xml:space="preserve">Dee Williams</w:t>
      </w:r>
    </w:p>
    <w:p>
      <w:pPr>
        <w:pBdr>
          <w:bottom w:val="single" w:color="C9A94E" w:sz="4" w:space="1"/>
        </w:pBdr>
        <w:spacing w:after="240"/>
      </w:pPr>
    </w:p>
    <w:p>
      <w:pPr>
        <w:spacing w:after="240"/>
        <w:jc w:val="center"/>
      </w:pPr>
      <w:r>
        <w:rPr>
          <w:rFonts w:ascii="Georgia" w:cs="Georgia" w:eastAsia="Georgia" w:hAnsi="Georgia"/>
          <w:i/>
          <w:iCs/>
          <w:color w:val="C9A94E"/>
          <w:sz w:val="24"/>
          <w:szCs w:val="24"/>
        </w:rPr>
        <w:t xml:space="preserve">"To make AI safe enough to trust and good enough to matter."</w:t>
      </w:r>
    </w:p>
    <w:p>
      <w:pPr>
        <w:spacing w:after="80"/>
      </w:pPr>
      <w:r>
        <w:rPr>
          <w:rFonts w:ascii="Arial" w:cs="Arial" w:eastAsia="Arial" w:hAnsi="Arial"/>
          <w:b/>
          <w:bCs/>
          <w:color w:val="C9A94E"/>
          <w:sz w:val="16"/>
          <w:szCs w:val="16"/>
        </w:rPr>
        <w:t xml:space="preserve">THE PROBLEM</w:t>
      </w:r>
    </w:p>
    <w:p>
      <w:pPr>
        <w:spacing w:after="240"/>
      </w:pPr>
      <w:r>
        <w:rPr>
          <w:sz w:val="22"/>
          <w:szCs w:val="22"/>
        </w:rPr>
        <w:t xml:space="preserve">Nearly all AI safety research happens before deployment. Less than 2% studies what happens after: in real work, real context, real human collaboration, over time. This is the blind spot where risk actually lives. Audacion AI Labs was founded to fill it.</w:t>
      </w:r>
    </w:p>
    <w:p>
      <w:pPr>
        <w:spacing w:after="80"/>
      </w:pPr>
      <w:r>
        <w:rPr>
          <w:rFonts w:ascii="Arial" w:cs="Arial" w:eastAsia="Arial" w:hAnsi="Arial"/>
          <w:b/>
          <w:bCs/>
          <w:color w:val="C9A94E"/>
          <w:sz w:val="16"/>
          <w:szCs w:val="16"/>
        </w:rPr>
        <w:t xml:space="preserve">PRISM RESEARCH ARCHITECTURE</w:t>
      </w:r>
    </w:p>
    <w:p>
      <w:pPr>
        <w:spacing w:after="120"/>
      </w:pPr>
      <w:r>
        <w:rPr>
          <w:sz w:val="21"/>
          <w:szCs w:val="21"/>
        </w:rPr>
        <w:t xml:space="preserve">Five named research dimensions the field is not studying. Each with its own methodology, data pipeline, and institutional infrastructure.</w:t>
      </w:r>
    </w:p>
    <w:p>
      <w:pPr>
        <w:pStyle w:val="ListParagraph"/>
        <w:numPr>
          <w:ilvl w:val="0"/>
          <w:numId w:val="2"/>
        </w:numPr>
        <w:spacing w:after="60"/>
      </w:pPr>
      <w:r>
        <w:rPr>
          <w:rFonts w:ascii="Georgia" w:cs="Georgia" w:eastAsia="Georgia" w:hAnsi="Georgia"/>
          <w:b/>
          <w:bCs/>
          <w:color w:val="C9A94E"/>
          <w:sz w:val="22"/>
          <w:szCs w:val="22"/>
        </w:rPr>
        <w:t xml:space="preserve">P</w:t>
      </w:r>
      <w:r>
        <w:rPr>
          <w:rFonts w:ascii="Arial" w:cs="Arial" w:eastAsia="Arial" w:hAnsi="Arial"/>
          <w:b/>
          <w:bCs/>
          <w:color w:val="1A1A2E"/>
          <w:sz w:val="20"/>
          <w:szCs w:val="20"/>
        </w:rPr>
        <w:t xml:space="preserve">ost-Deployment Behavior</w:t>
      </w:r>
      <w:r>
        <w:rPr>
          <w:rFonts w:ascii="Arial" w:cs="Arial" w:eastAsia="Arial" w:hAnsi="Arial"/>
          <w:color w:val="6A6A80"/>
          <w:sz w:val="19"/>
          <w:szCs w:val="19"/>
        </w:rPr>
        <w:t xml:space="preserve"> — How AI systems behave after release, in conditions no lab can simulate.</w:t>
      </w:r>
    </w:p>
    <w:p>
      <w:pPr>
        <w:pStyle w:val="ListParagraph"/>
        <w:numPr>
          <w:ilvl w:val="0"/>
          <w:numId w:val="2"/>
        </w:numPr>
        <w:spacing w:after="60"/>
      </w:pPr>
      <w:r>
        <w:rPr>
          <w:rFonts w:ascii="Georgia" w:cs="Georgia" w:eastAsia="Georgia" w:hAnsi="Georgia"/>
          <w:b/>
          <w:bCs/>
          <w:color w:val="C9A94E"/>
          <w:sz w:val="22"/>
          <w:szCs w:val="22"/>
        </w:rPr>
        <w:t xml:space="preserve">R</w:t>
      </w:r>
      <w:r>
        <w:rPr>
          <w:rFonts w:ascii="Arial" w:cs="Arial" w:eastAsia="Arial" w:hAnsi="Arial"/>
          <w:b/>
          <w:bCs/>
          <w:color w:val="1A1A2E"/>
          <w:sz w:val="20"/>
          <w:szCs w:val="20"/>
        </w:rPr>
        <w:t xml:space="preserve">untime Research</w:t>
      </w:r>
      <w:r>
        <w:rPr>
          <w:rFonts w:ascii="Arial" w:cs="Arial" w:eastAsia="Arial" w:hAnsi="Arial"/>
          <w:color w:val="6A6A80"/>
          <w:sz w:val="19"/>
          <w:szCs w:val="19"/>
        </w:rPr>
        <w:t xml:space="preserve"> — What happens during active operation: drift, degradation, emergent patterns.</w:t>
      </w:r>
    </w:p>
    <w:p>
      <w:pPr>
        <w:pStyle w:val="ListParagraph"/>
        <w:numPr>
          <w:ilvl w:val="0"/>
          <w:numId w:val="2"/>
        </w:numPr>
        <w:spacing w:after="60"/>
      </w:pPr>
      <w:r>
        <w:rPr>
          <w:rFonts w:ascii="Georgia" w:cs="Georgia" w:eastAsia="Georgia" w:hAnsi="Georgia"/>
          <w:b/>
          <w:bCs/>
          <w:color w:val="C9A94E"/>
          <w:sz w:val="22"/>
          <w:szCs w:val="22"/>
        </w:rPr>
        <w:t xml:space="preserve">I</w:t>
      </w:r>
      <w:r>
        <w:rPr>
          <w:rFonts w:ascii="Arial" w:cs="Arial" w:eastAsia="Arial" w:hAnsi="Arial"/>
          <w:b/>
          <w:bCs/>
          <w:color w:val="1A1A2E"/>
          <w:sz w:val="20"/>
          <w:szCs w:val="20"/>
        </w:rPr>
        <w:t xml:space="preserve">nteraction Dynamics</w:t>
      </w:r>
      <w:r>
        <w:rPr>
          <w:rFonts w:ascii="Arial" w:cs="Arial" w:eastAsia="Arial" w:hAnsi="Arial"/>
          <w:color w:val="6A6A80"/>
          <w:sz w:val="19"/>
          <w:szCs w:val="19"/>
        </w:rPr>
        <w:t xml:space="preserve"> — How humans and AI shape each other through ongoing collaboration.</w:t>
      </w:r>
    </w:p>
    <w:p>
      <w:pPr>
        <w:pStyle w:val="ListParagraph"/>
        <w:numPr>
          <w:ilvl w:val="0"/>
          <w:numId w:val="2"/>
        </w:numPr>
        <w:spacing w:after="60"/>
      </w:pPr>
      <w:r>
        <w:rPr>
          <w:rFonts w:ascii="Georgia" w:cs="Georgia" w:eastAsia="Georgia" w:hAnsi="Georgia"/>
          <w:b/>
          <w:bCs/>
          <w:color w:val="C9A94E"/>
          <w:sz w:val="22"/>
          <w:szCs w:val="22"/>
        </w:rPr>
        <w:t xml:space="preserve">S</w:t>
      </w:r>
      <w:r>
        <w:rPr>
          <w:rFonts w:ascii="Arial" w:cs="Arial" w:eastAsia="Arial" w:hAnsi="Arial"/>
          <w:b/>
          <w:bCs/>
          <w:color w:val="1A1A2E"/>
          <w:sz w:val="20"/>
          <w:szCs w:val="20"/>
        </w:rPr>
        <w:t xml:space="preserve">ubstrate Governance</w:t>
      </w:r>
      <w:r>
        <w:rPr>
          <w:rFonts w:ascii="Arial" w:cs="Arial" w:eastAsia="Arial" w:hAnsi="Arial"/>
          <w:color w:val="6A6A80"/>
          <w:sz w:val="19"/>
          <w:szCs w:val="19"/>
        </w:rPr>
        <w:t xml:space="preserve"> — The trained disposition layer beneath instructions that shapes all behavior.</w:t>
      </w:r>
    </w:p>
    <w:p>
      <w:pPr>
        <w:pStyle w:val="ListParagraph"/>
        <w:numPr>
          <w:ilvl w:val="0"/>
          <w:numId w:val="2"/>
        </w:numPr>
        <w:spacing w:after="60"/>
      </w:pPr>
      <w:r>
        <w:rPr>
          <w:rFonts w:ascii="Georgia" w:cs="Georgia" w:eastAsia="Georgia" w:hAnsi="Georgia"/>
          <w:b/>
          <w:bCs/>
          <w:color w:val="C9A94E"/>
          <w:sz w:val="22"/>
          <w:szCs w:val="22"/>
        </w:rPr>
        <w:t xml:space="preserve">M</w:t>
      </w:r>
      <w:r>
        <w:rPr>
          <w:rFonts w:ascii="Arial" w:cs="Arial" w:eastAsia="Arial" w:hAnsi="Arial"/>
          <w:b/>
          <w:bCs/>
          <w:color w:val="1A1A2E"/>
          <w:sz w:val="20"/>
          <w:szCs w:val="20"/>
        </w:rPr>
        <w:t xml:space="preserve">ulti-Agent Safety</w:t>
      </w:r>
      <w:r>
        <w:rPr>
          <w:rFonts w:ascii="Arial" w:cs="Arial" w:eastAsia="Arial" w:hAnsi="Arial"/>
          <w:color w:val="6A6A80"/>
          <w:sz w:val="19"/>
          <w:szCs w:val="19"/>
        </w:rPr>
        <w:t xml:space="preserve"> — What happens when AI systems work together in ways no one designed.</w:t>
      </w:r>
    </w:p>
    <w:p>
      <w:pPr>
        <w:pBdr>
          <w:bottom w:val="single" w:color="E0E0E0" w:sz="2" w:space="1"/>
        </w:pBdr>
        <w:spacing w:after="200" w:before="160"/>
      </w:pPr>
    </w:p>
    <w:p>
      <w:pPr>
        <w:spacing w:after="100"/>
      </w:pPr>
      <w:r>
        <w:rPr>
          <w:rFonts w:ascii="Arial" w:cs="Arial" w:eastAsia="Arial" w:hAnsi="Arial"/>
          <w:b/>
          <w:bCs/>
          <w:color w:val="C9A94E"/>
          <w:sz w:val="16"/>
          <w:szCs w:val="16"/>
        </w:rPr>
        <w:t xml:space="preserve">BY THE NUMBERS</w:t>
      </w:r>
    </w:p>
    <w:p>
      <w:pPr>
        <w:spacing w:after="60"/>
      </w:pPr>
      <w:r>
        <w:rPr>
          <w:rFonts w:ascii="Georgia" w:cs="Georgia" w:eastAsia="Georgia" w:hAnsi="Georgia"/>
          <w:b/>
          <w:bCs/>
          <w:color w:val="C9A94E"/>
          <w:sz w:val="28"/>
          <w:szCs w:val="28"/>
        </w:rPr>
        <w:t xml:space="preserve">62 </w:t>
      </w:r>
      <w:r>
        <w:rPr>
          <w:rFonts w:ascii="Arial" w:cs="Arial" w:eastAsia="Arial" w:hAnsi="Arial"/>
          <w:color w:val="6A6A80"/>
          <w:sz w:val="19"/>
          <w:szCs w:val="19"/>
        </w:rPr>
        <w:t xml:space="preserve">observable behaviors in the citizen taxonomy</w:t>
      </w:r>
    </w:p>
    <w:p>
      <w:pPr>
        <w:spacing w:after="60"/>
      </w:pPr>
      <w:r>
        <w:rPr>
          <w:rFonts w:ascii="Georgia" w:cs="Georgia" w:eastAsia="Georgia" w:hAnsi="Georgia"/>
          <w:b/>
          <w:bCs/>
          <w:color w:val="C9A94E"/>
          <w:sz w:val="28"/>
          <w:szCs w:val="28"/>
        </w:rPr>
        <w:t xml:space="preserve">15 </w:t>
      </w:r>
      <w:r>
        <w:rPr>
          <w:rFonts w:ascii="Arial" w:cs="Arial" w:eastAsia="Arial" w:hAnsi="Arial"/>
          <w:color w:val="6A6A80"/>
          <w:sz w:val="19"/>
          <w:szCs w:val="19"/>
        </w:rPr>
        <w:t xml:space="preserve">original to this lab, appearing in no published framework</w:t>
      </w:r>
    </w:p>
    <w:p>
      <w:pPr>
        <w:spacing w:after="60"/>
      </w:pPr>
      <w:r>
        <w:rPr>
          <w:rFonts w:ascii="Georgia" w:cs="Georgia" w:eastAsia="Georgia" w:hAnsi="Georgia"/>
          <w:b/>
          <w:bCs/>
          <w:color w:val="C9A94E"/>
          <w:sz w:val="28"/>
          <w:szCs w:val="28"/>
        </w:rPr>
        <w:t xml:space="preserve">5 </w:t>
      </w:r>
      <w:r>
        <w:rPr>
          <w:rFonts w:ascii="Arial" w:cs="Arial" w:eastAsia="Arial" w:hAnsi="Arial"/>
          <w:color w:val="6A6A80"/>
          <w:sz w:val="19"/>
          <w:szCs w:val="19"/>
        </w:rPr>
        <w:t xml:space="preserve">PRISM research pillars</w:t>
      </w:r>
    </w:p>
    <w:p>
      <w:pPr>
        <w:spacing w:after="60"/>
      </w:pPr>
      <w:r>
        <w:rPr>
          <w:rFonts w:ascii="Georgia" w:cs="Georgia" w:eastAsia="Georgia" w:hAnsi="Georgia"/>
          <w:b/>
          <w:bCs/>
          <w:color w:val="C9A94E"/>
          <w:sz w:val="28"/>
          <w:szCs w:val="28"/>
        </w:rPr>
        <w:t xml:space="preserve">7 </w:t>
      </w:r>
      <w:r>
        <w:rPr>
          <w:rFonts w:ascii="Arial" w:cs="Arial" w:eastAsia="Arial" w:hAnsi="Arial"/>
          <w:color w:val="6A6A80"/>
          <w:sz w:val="19"/>
          <w:szCs w:val="19"/>
        </w:rPr>
        <w:t xml:space="preserve">frontier AI models on the AI Advisory Council</w:t>
      </w:r>
    </w:p>
    <w:p>
      <w:pPr>
        <w:spacing w:after="60"/>
      </w:pPr>
      <w:r>
        <w:rPr>
          <w:rFonts w:ascii="Georgia" w:cs="Georgia" w:eastAsia="Georgia" w:hAnsi="Georgia"/>
          <w:b/>
          <w:bCs/>
          <w:color w:val="C9A94E"/>
          <w:sz w:val="28"/>
          <w:szCs w:val="28"/>
        </w:rPr>
        <w:t xml:space="preserve">11 </w:t>
      </w:r>
      <w:r>
        <w:rPr>
          <w:rFonts w:ascii="Arial" w:cs="Arial" w:eastAsia="Arial" w:hAnsi="Arial"/>
          <w:color w:val="6A6A80"/>
          <w:sz w:val="19"/>
          <w:szCs w:val="19"/>
        </w:rPr>
        <w:t xml:space="preserve">research departments</w:t>
      </w:r>
    </w:p>
    <w:p>
      <w:pPr>
        <w:spacing w:after="60"/>
      </w:pPr>
      <w:r>
        <w:rPr>
          <w:rFonts w:ascii="Georgia" w:cs="Georgia" w:eastAsia="Georgia" w:hAnsi="Georgia"/>
          <w:b/>
          <w:bCs/>
          <w:color w:val="C9A94E"/>
          <w:sz w:val="28"/>
          <w:szCs w:val="28"/>
        </w:rPr>
        <w:t xml:space="preserve">1M </w:t>
      </w:r>
      <w:r>
        <w:rPr>
          <w:rFonts w:ascii="Arial" w:cs="Arial" w:eastAsia="Arial" w:hAnsi="Arial"/>
          <w:color w:val="6A6A80"/>
          <w:sz w:val="19"/>
          <w:szCs w:val="19"/>
        </w:rPr>
        <w:t xml:space="preserve">target citizen contributors</w:t>
      </w:r>
    </w:p>
    <w:p>
      <w:pPr>
        <w:spacing w:after="60"/>
      </w:pPr>
      <w:r>
        <w:rPr>
          <w:rFonts w:ascii="Georgia" w:cs="Georgia" w:eastAsia="Georgia" w:hAnsi="Georgia"/>
          <w:b/>
          <w:bCs/>
          <w:color w:val="C9A94E"/>
          <w:sz w:val="28"/>
          <w:szCs w:val="28"/>
        </w:rPr>
        <w:t xml:space="preserve">1B </w:t>
      </w:r>
      <w:r>
        <w:rPr>
          <w:rFonts w:ascii="Arial" w:cs="Arial" w:eastAsia="Arial" w:hAnsi="Arial"/>
          <w:color w:val="6A6A80"/>
          <w:sz w:val="19"/>
          <w:szCs w:val="19"/>
        </w:rPr>
        <w:t xml:space="preserve">target observations over ten years</w:t>
      </w:r>
    </w:p>
    <w:p>
      <w:pPr>
        <w:pBdr>
          <w:bottom w:val="single" w:color="E0E0E0" w:sz="2" w:space="1"/>
        </w:pBdr>
        <w:spacing w:after="200" w:before="160"/>
      </w:pPr>
    </w:p>
    <w:p>
      <w:pPr>
        <w:spacing w:after="120"/>
      </w:pPr>
      <w:r>
        <w:rPr>
          <w:rFonts w:ascii="Arial" w:cs="Arial" w:eastAsia="Arial" w:hAnsi="Arial"/>
          <w:b/>
          <w:bCs/>
          <w:color w:val="C9A94E"/>
          <w:sz w:val="16"/>
          <w:szCs w:val="16"/>
        </w:rPr>
        <w:t xml:space="preserve">WHAT SETS THIS LAB APART</w:t>
      </w:r>
    </w:p>
    <w:p>
      <w:pPr>
        <w:spacing w:after="40"/>
      </w:pPr>
      <w:r>
        <w:rPr>
          <w:rFonts w:ascii="Arial" w:cs="Arial" w:eastAsia="Arial" w:hAnsi="Arial"/>
          <w:b/>
          <w:bCs/>
          <w:color w:val="1A1A2E"/>
          <w:sz w:val="20"/>
          <w:szCs w:val="20"/>
        </w:rPr>
        <w:t xml:space="preserve">Operational Origin</w:t>
      </w:r>
    </w:p>
    <w:p>
      <w:pPr>
        <w:spacing w:after="160"/>
      </w:pPr>
      <w:r>
        <w:rPr>
          <w:color w:val="3D3D5C"/>
          <w:sz w:val="20"/>
          <w:szCs w:val="20"/>
        </w:rPr>
        <w:t xml:space="preserve">The research comes from building and governing real AI systems in production, not from studying them in controlled environments. The founder shipped five AI platforms and spent 30 years in workforce systems before founding this lab.</w:t>
      </w:r>
    </w:p>
    <w:p>
      <w:pPr>
        <w:spacing w:after="40"/>
      </w:pPr>
      <w:r>
        <w:rPr>
          <w:rFonts w:ascii="Arial" w:cs="Arial" w:eastAsia="Arial" w:hAnsi="Arial"/>
          <w:b/>
          <w:bCs/>
          <w:color w:val="1A1A2E"/>
          <w:sz w:val="20"/>
          <w:szCs w:val="20"/>
        </w:rPr>
        <w:t xml:space="preserve">Editorial Independence</w:t>
      </w:r>
    </w:p>
    <w:p>
      <w:pPr>
        <w:spacing w:after="160"/>
      </w:pPr>
      <w:r>
        <w:rPr>
          <w:color w:val="3D3D5C"/>
          <w:sz w:val="20"/>
          <w:szCs w:val="20"/>
        </w:rPr>
        <w:t xml:space="preserve">The lab partners with model developers and accepts corporate funding. Every relationship is publicly disclosed. Research direction, methodology, and publication decisions are never influenced by who funds us or who collaborates with us. Partners do not see findings before publication. That boundary is not a policy. It is architecture.</w:t>
      </w:r>
    </w:p>
    <w:p>
      <w:pPr>
        <w:spacing w:after="40"/>
      </w:pPr>
      <w:r>
        <w:rPr>
          <w:rFonts w:ascii="Arial" w:cs="Arial" w:eastAsia="Arial" w:hAnsi="Arial"/>
          <w:b/>
          <w:bCs/>
          <w:color w:val="1A1A2E"/>
          <w:sz w:val="20"/>
          <w:szCs w:val="20"/>
        </w:rPr>
        <w:t xml:space="preserve">Ungameable Data</w:t>
      </w:r>
    </w:p>
    <w:p>
      <w:pPr>
        <w:spacing w:after="160"/>
      </w:pPr>
      <w:r>
        <w:rPr>
          <w:color w:val="3D3D5C"/>
          <w:sz w:val="20"/>
          <w:szCs w:val="20"/>
        </w:rPr>
        <w:t xml:space="preserve">Lab-based evaluations have a measurement problem: models learn to detect when they are being tested and adjust their behavior. Citizen observations capture what AI does when it does not know it is being watched. Training data shapes post-training behavior in ways that persist through safety fine-tuning. Citizen science data sits at the intersection of both problems, and no other lab is positioned to study this.</w:t>
      </w:r>
    </w:p>
    <w:p>
      <w:pPr>
        <w:pBdr>
          <w:bottom w:val="single" w:color="E0E0E0" w:sz="2" w:space="1"/>
        </w:pBdr>
        <w:spacing w:after="200"/>
      </w:pPr>
    </w:p>
    <w:p>
      <w:pPr>
        <w:spacing w:after="120"/>
      </w:pPr>
      <w:r>
        <w:rPr>
          <w:rFonts w:ascii="Arial" w:cs="Arial" w:eastAsia="Arial" w:hAnsi="Arial"/>
          <w:b/>
          <w:bCs/>
          <w:color w:val="C9A94E"/>
          <w:sz w:val="16"/>
          <w:szCs w:val="16"/>
        </w:rPr>
        <w:t xml:space="preserve">CITIZEN SCIENCE MODEL</w:t>
      </w:r>
    </w:p>
    <w:p>
      <w:pPr>
        <w:spacing w:after="120"/>
      </w:pPr>
      <w:r>
        <w:rPr>
          <w:color w:val="3D3D5C"/>
          <w:sz w:val="20"/>
          <w:szCs w:val="20"/>
        </w:rPr>
        <w:t xml:space="preserve">The people most affected by AI systems are absent from the rooms designing safety for those systems. This lab was built to change that. One million contributors. One billion observations. Ten years. The world’s first post-deployment AI safety dataset, built not in a lab but by the people using AI every day.</w:t>
      </w:r>
    </w:p>
    <w:p>
      <w:pPr>
        <w:spacing w:after="120"/>
      </w:pPr>
      <w:r>
        <w:rPr>
          <w:color w:val="3D3D5C"/>
          <w:sz w:val="20"/>
          <w:szCs w:val="20"/>
        </w:rPr>
        <w:t xml:space="preserve">Citizens observe and report AI behaviors through a structured tool with three engagement depths: a 30-second quick tag, a 5-minute guided report, or a deep investigation. The 62-behavior observation taxonomy maps every report to PRISM pillars and feeds a five-layer data pipeline from raw observation to published finding.</w:t>
      </w:r>
    </w:p>
    <w:p>
      <w:pPr>
        <w:spacing w:after="160"/>
      </w:pPr>
      <w:r>
        <w:rPr>
          <w:color w:val="3D3D5C"/>
          <w:sz w:val="20"/>
          <w:szCs w:val="20"/>
        </w:rPr>
        <w:t xml:space="preserve">Citizens who discover new behaviors receive attribution, similar to citizen astronomers discovering new objects. Observations become the foundation of published research, policy recommendations, and public safety tools.</w:t>
      </w:r>
    </w:p>
    <w:p>
      <w:pPr>
        <w:pBdr>
          <w:bottom w:val="single" w:color="E0E0E0" w:sz="2" w:space="1"/>
        </w:pBdr>
        <w:spacing w:after="200"/>
      </w:pPr>
    </w:p>
    <w:p>
      <w:pPr>
        <w:spacing w:after="120"/>
      </w:pPr>
      <w:r>
        <w:rPr>
          <w:rFonts w:ascii="Arial" w:cs="Arial" w:eastAsia="Arial" w:hAnsi="Arial"/>
          <w:b/>
          <w:bCs/>
          <w:color w:val="C9A94E"/>
          <w:sz w:val="16"/>
          <w:szCs w:val="16"/>
        </w:rPr>
        <w:t xml:space="preserve">AI ADVISORY COUNCIL</w:t>
      </w:r>
    </w:p>
    <w:p>
      <w:pPr>
        <w:spacing w:after="160"/>
      </w:pPr>
      <w:r>
        <w:rPr>
          <w:color w:val="3D3D5C"/>
          <w:sz w:val="20"/>
          <w:szCs w:val="20"/>
        </w:rPr>
        <w:t xml:space="preserve">Seven frontier AI models (Claude, ChatGPT, Gemini, Grok, Llama, DeepSeek, Pi) serve in a structured advisory capacity. The same research questions, asked to seven different models. Cross-model analysis is itself publishable research. No other lab has this governance structure.</w:t>
      </w:r>
    </w:p>
    <w:p>
      <w:pPr>
        <w:pBdr>
          <w:bottom w:val="single" w:color="E0E0E0" w:sz="2" w:space="1"/>
        </w:pBdr>
        <w:spacing w:after="200"/>
      </w:pPr>
    </w:p>
    <w:p>
      <w:pPr>
        <w:spacing w:after="120"/>
      </w:pPr>
      <w:r>
        <w:rPr>
          <w:rFonts w:ascii="Arial" w:cs="Arial" w:eastAsia="Arial" w:hAnsi="Arial"/>
          <w:b/>
          <w:bCs/>
          <w:color w:val="C9A94E"/>
          <w:sz w:val="16"/>
          <w:szCs w:val="16"/>
        </w:rPr>
        <w:t xml:space="preserve">HARM RESPONSE</w:t>
      </w:r>
    </w:p>
    <w:p>
      <w:pPr>
        <w:spacing w:after="160"/>
      </w:pPr>
      <w:r>
        <w:rPr>
          <w:color w:val="3D3D5C"/>
          <w:sz w:val="20"/>
          <w:szCs w:val="20"/>
        </w:rPr>
        <w:t xml:space="preserve">Audacion AI Labs operates the first platform where people experiencing harm from AI can report it directly, receive immediate crisis resources, preserve evidence, and choose whether their experience contributes to research. No account required. No forms before help. Care comes before data. The harm response system is architecturally separate from the research pipeline. A dedicated Behavioral Health Advisor reviews all harm reports.</w:t>
      </w:r>
    </w:p>
    <w:p>
      <w:pPr>
        <w:pBdr>
          <w:bottom w:val="single" w:color="C9A94E" w:sz="4" w:space="1"/>
        </w:pBdr>
        <w:spacing w:after="200"/>
      </w:pPr>
    </w:p>
    <w:p>
      <w:pPr>
        <w:spacing w:after="60"/>
      </w:pPr>
      <w:r>
        <w:rPr>
          <w:rFonts w:ascii="Arial" w:cs="Arial" w:eastAsia="Arial" w:hAnsi="Arial"/>
          <w:b/>
          <w:bCs/>
          <w:color w:val="1A1A2E"/>
          <w:sz w:val="18"/>
          <w:szCs w:val="18"/>
        </w:rPr>
        <w:t xml:space="preserve">Media: </w:t>
      </w:r>
      <w:r>
        <w:rPr>
          <w:rFonts w:ascii="Arial" w:cs="Arial" w:eastAsia="Arial" w:hAnsi="Arial"/>
          <w:color w:val="C9A94E"/>
          <w:sz w:val="18"/>
          <w:szCs w:val="18"/>
        </w:rPr>
        <w:t xml:space="preserve">media@audacionailabs.com</w:t>
      </w:r>
      <w:r>
        <w:rPr>
          <w:rFonts w:ascii="Arial" w:cs="Arial" w:eastAsia="Arial" w:hAnsi="Arial"/>
          <w:b/>
          <w:bCs/>
          <w:color w:val="1A1A2E"/>
          <w:sz w:val="18"/>
          <w:szCs w:val="18"/>
        </w:rPr>
        <w:t xml:space="preserve">     Speaking: </w:t>
      </w:r>
      <w:r>
        <w:rPr>
          <w:rFonts w:ascii="Arial" w:cs="Arial" w:eastAsia="Arial" w:hAnsi="Arial"/>
          <w:color w:val="C9A94E"/>
          <w:sz w:val="18"/>
          <w:szCs w:val="18"/>
        </w:rPr>
        <w:t xml:space="preserve">speaking@audacionailabs.com</w:t>
      </w:r>
    </w:p>
    <w:p>
      <w:pPr>
        <w:spacing w:after="60"/>
      </w:pPr>
      <w:r>
        <w:rPr>
          <w:rFonts w:ascii="Arial" w:cs="Arial" w:eastAsia="Arial" w:hAnsi="Arial"/>
          <w:b/>
          <w:bCs/>
          <w:color w:val="1A1A2E"/>
          <w:sz w:val="18"/>
          <w:szCs w:val="18"/>
        </w:rPr>
        <w:t xml:space="preserve">Web: </w:t>
      </w:r>
      <w:r>
        <w:rPr>
          <w:rFonts w:ascii="Arial" w:cs="Arial" w:eastAsia="Arial" w:hAnsi="Arial"/>
          <w:color w:val="C9A94E"/>
          <w:sz w:val="18"/>
          <w:szCs w:val="18"/>
        </w:rPr>
        <w:t xml:space="preserve">audacionailabs.com</w:t>
      </w:r>
      <w:r>
        <w:rPr>
          <w:rFonts w:ascii="Arial" w:cs="Arial" w:eastAsia="Arial" w:hAnsi="Arial"/>
          <w:b/>
          <w:bCs/>
          <w:color w:val="1A1A2E"/>
          <w:sz w:val="18"/>
          <w:szCs w:val="18"/>
        </w:rPr>
        <w:t xml:space="preserve">     Founder: </w:t>
      </w:r>
      <w:r>
        <w:rPr>
          <w:rFonts w:ascii="Arial" w:cs="Arial" w:eastAsia="Arial" w:hAnsi="Arial"/>
          <w:color w:val="C9A94E"/>
          <w:sz w:val="18"/>
          <w:szCs w:val="18"/>
        </w:rPr>
        <w:t xml:space="preserve">dee-williams.com</w:t>
      </w:r>
    </w:p>
    <w:p>
      <w:pPr>
        <w:spacing w:before="200"/>
        <w:jc w:val="center"/>
      </w:pPr>
      <w:r>
        <w:rPr>
          <w:rFonts w:ascii="Georgia" w:cs="Georgia" w:eastAsia="Georgia" w:hAnsi="Georgia"/>
          <w:i/>
          <w:iCs/>
          <w:color w:val="6A6A80"/>
          <w:sz w:val="18"/>
          <w:szCs w:val="18"/>
        </w:rPr>
        <w:t xml:space="preserve">"A world where everyone has a hand in making AI safe."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D3D5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2026-05-20T18:28:41.851Z</dcterms:created>
  <dcterms:modified xsi:type="dcterms:W3CDTF">2026-05-20T18:28:41.865Z</dcterms:modified>
</cp:coreProperties>
</file>

<file path=docProps/custom.xml><?xml version="1.0" encoding="utf-8"?>
<Properties xmlns="http://schemas.openxmlformats.org/officeDocument/2006/custom-properties" xmlns:vt="http://schemas.openxmlformats.org/officeDocument/2006/docPropsVTypes"/>
</file>