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1440"/>
      </w:pPr>
      <w:r>
        <w:t xml:space="preserve"/>
      </w:r>
    </w:p>
    <w:p>
      <w:pPr>
        <w:pStyle w:val="Title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RAPORT WYKONAWCZY</w:t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Analiza Bezpieczeństwa i Prawna</w:t>
      </w:r>
    </w:p>
    <w:p>
      <w:pPr>
        <w:spacing w:after="360"/>
        <w:jc w:val="center"/>
      </w:pPr>
      <w:r>
        <w:rPr>
          <w:rFonts w:ascii="Arial" w:cs="Arial" w:eastAsia="Arial" w:hAnsi="Arial"/>
          <w:sz w:val="28"/>
          <w:szCs w:val="28"/>
        </w:rPr>
        <w:t xml:space="preserve">Kilocode AI Code Assistant</w:t>
      </w:r>
    </w:p>
    <w:p>
      <w:pPr>
        <w:spacing w:before="720"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Dla Zarządu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Operatora Telekomunikacyjnego</w:t>
      </w:r>
    </w:p>
    <w:p>
      <w:pPr>
        <w:spacing w:before="720"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Data: 4 listopada 2025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Klasyfikacja: POUFNE - Wyłącznie dla Zarządu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Cel Analizy</w:t>
      </w:r>
    </w:p>
    <w:p>
      <w:pPr>
        <w:spacing w:after="240"/>
      </w:pPr>
      <w:r>
        <w:rPr>
          <w:rFonts w:ascii="Arial" w:cs="Arial" w:eastAsia="Arial" w:hAnsi="Arial"/>
        </w:rPr>
        <w:t xml:space="preserve">Przeprowadzono kompleksową analizę bezpieczeństwa, zgodności prawnej oraz ryzyka biznesowego platformy Kilocode AI Code Assistant w kontekście wdrożenia dla organizacji telekomunikacyjnej. Analiza obejmowała:</w:t>
      </w:r>
    </w:p>
    <w:p>
      <w:pPr>
        <w:pStyle w:val="ListParagraph"/>
        <w:numPr>
          <w:ilvl w:val="0"/>
          <w:numId w:val="2"/>
        </w:numPr>
      </w:pPr>
      <w:r>
        <w:t xml:space="preserve">Bezpieczeństwo techniczne (architektura, LLM, MCP, zarządzanie kluczami API)</w:t>
      </w:r>
    </w:p>
    <w:p>
      <w:pPr>
        <w:pStyle w:val="ListParagraph"/>
        <w:numPr>
          <w:ilvl w:val="0"/>
          <w:numId w:val="2"/>
        </w:numPr>
      </w:pPr>
      <w:r>
        <w:t xml:space="preserve">Zgodność prawną (RODO, NIS2, Dyrektywa o Ochronie Danych)</w:t>
      </w:r>
    </w:p>
    <w:p>
      <w:pPr>
        <w:pStyle w:val="ListParagraph"/>
        <w:numPr>
          <w:ilvl w:val="0"/>
          <w:numId w:val="2"/>
        </w:numPr>
      </w:pPr>
      <w:r>
        <w:t xml:space="preserve">Compliance telekomunikacyjny (ETSI, 3GPP, PCI DSS, ISO 27001)</w:t>
      </w:r>
    </w:p>
    <w:p>
      <w:pPr>
        <w:pStyle w:val="ListParagraph"/>
        <w:numPr>
          <w:ilvl w:val="0"/>
          <w:numId w:val="2"/>
        </w:numPr>
      </w:pPr>
      <w:r>
        <w:t xml:space="preserve">Ryzyka biznesowe (vendor risk, TCO, reputacja)</w:t>
      </w:r>
    </w:p>
    <w:p>
      <w:pPr>
        <w:pStyle w:val="Heading2"/>
        <w:spacing w:before="360"/>
      </w:pPr>
      <w:r>
        <w:t xml:space="preserve">Kluczowe Wnioski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ARCHITEKTURA: Kilocode to open-source VS Code extension (Apache 2.0) z ~11,330 linii kodu TypeScript, wykorzystująca Model Context Protocol (MCP) do integracji z zewnętrznymi narzędziami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DANE UŻYTKOWNIKA: Kod źródłowy i prompty są transmitowane do zewnętrznych LLM providers (Anthropic, OpenAI, OpenRouter, LiteLLM) bez lokalnej kontroli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KLUCZE API: Przechowywane lokalnie w plaintext w plikach konfiguracyjnych VSCode (~/.kilocode/settings.json) bez szyfrowania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MCP SERVERS: Umożliwiają wykonywanie dowolnych poleceń systemowych i dostęp do systemu plików przez zewnętrzne procesy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TELEMETRIA: PostHog analytics zbiera dane o użytkowaniu z możliwością opt-out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VENDOR RISK: Projekt prowadzony przez małe startup (Kilo-Org) bez SLA, certyfikacji bezpieczeństwa, ani formalnego wsparcia enterprise</w:t>
      </w:r>
    </w:p>
    <w:p>
      <w:pPr>
        <w:pStyle w:val="Heading2"/>
        <w:spacing w:before="360"/>
      </w:pPr>
      <w:r>
        <w:t xml:space="preserve">Finalna Rekomendacja</w:t>
      </w:r>
    </w:p>
    <w:p>
      <w:pPr>
        <w:spacing w:before="180" w:after="180"/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⚠️ CONDITIONAL GO z istotnymi zastrzeżeniami</w:t>
      </w:r>
    </w:p>
    <w:p>
      <w:pPr>
        <w:spacing w:after="240"/>
      </w:pPr>
      <w:r>
        <w:rPr>
          <w:rFonts w:ascii="Arial" w:cs="Arial" w:eastAsia="Arial" w:hAnsi="Arial"/>
        </w:rPr>
        <w:t xml:space="preserve">Platforma może być wdrożona WYŁĄCZNIE w środowiskach deweloperskich/testowych z obowiązkową implementacją następujących zabezpieczeń: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Izolacja sieciowa: Dedykowany VLAN bez dostępu do sieci produkcyjnych i danych klientów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Self-hosted LiteLLM: Własny proxy LLM z audit logging, rate limiting i content filtering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Data Loss Prevention: DLP gateway do skanowania wychodzącego ruchu pod kątem danych wrażliwych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MCP Whitelist: Ograniczenie do zatwierdzonej listy MCP servers z code review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Secrets Management: Integracja z HashiCorp Vault lub AWS Secrets Manager</w:t>
      </w:r>
    </w:p>
    <w:p>
      <w:pPr>
        <w:spacing w:before="240" w:after="360"/>
      </w:pPr>
      <w:r>
        <w:rPr>
          <w:rFonts w:ascii="Arial" w:cs="Arial" w:eastAsia="Arial" w:hAnsi="Arial"/>
          <w:b/>
          <w:bCs/>
        </w:rPr>
        <w:t xml:space="preserve">WDROŻENIE PRODUKCYJNE NIE JEST REKOMENDOWANE do czasu uzyskania certyfikacji ISO 27001, audytu penetracyjnego i formalnej umowy wsparcia enterprise.</w:t>
      </w:r>
    </w:p>
    <w:p>
      <w:pPr>
        <w:pStyle w:val="Heading2"/>
      </w:pPr>
      <w:r>
        <w:t xml:space="preserve">Top 5 Ryzyk Krytycznych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800"/>
        <w:gridCol w:w="3800"/>
        <w:gridCol w:w="1400"/>
        <w:gridCol w:w="18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Ryzyko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Wpływ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Prawdopodobieństwo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Mitigacja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 Exfiltration do LLM Providers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KRYTYCZNY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Wysoki (70%)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Self-hosted LiteLLM + DLP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MCP Server Code 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WYSOKI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Średni (40%)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Whitelist + sandboxing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Brak Certyfikacji RODO/NIS2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WYSOKI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Pewny (95%)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Limit do dev/test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Vendor Lock-in &amp; Discontinuity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ŚREDNI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Średni (50%)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Fork projektu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Brak SLA i Enterprise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ŚREDNI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Pewny (90%)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Internal L3 support</w:t>
            </w:r>
          </w:p>
        </w:tc>
      </w:tr>
    </w:tbl>
    <w:p>
      <w:pPr>
        <w:pStyle w:val="Heading2"/>
        <w:spacing w:before="480"/>
      </w:pPr>
      <w:r>
        <w:t xml:space="preserve">Szacunek Kosztów i Korzyści (3 lata)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Kategoria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Koszty (EUR)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Korzyści (EUR)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Setup (infrastruktura + integracja)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€45,000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Licencje (3 lata)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€0 (open-source)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LLM API (3 lata: 50 dev × €100/mies × 36)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Infrastruktura (LiteLLM, DLP, monitoring)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€72,000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Wsparcie (1 FTE internal support)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€90,000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Produktywność deweloperów (20% wzrost)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€450,000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Redukcja błędów (code review + testing)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€120,000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€387,000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€570,000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 BENEFIT (ROI 47%)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+€183,000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MATRYCA DECYZYJNA</w:t>
      </w:r>
    </w:p>
    <w:p>
      <w:pPr>
        <w:spacing w:after="240"/>
      </w:pPr>
      <w:r>
        <w:rPr>
          <w:rFonts w:ascii="Arial" w:cs="Arial" w:eastAsia="Arial" w:hAnsi="Arial"/>
        </w:rPr>
        <w:t xml:space="preserve">Ocena według kluczowych kryteriów (skala 0-10, gdzie 10 = doskonale):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800"/>
        <w:gridCol w:w="800"/>
        <w:gridCol w:w="12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Kryterium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Ocena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Waga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Wynik ważony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Uzasadnienie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Bezpieczeństwo techniczne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Klucze API w plaintext, transmisja do 3rd party 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Zgodność RODO/NIS2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0.75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Brak DPA z LLM providers, transfer danych poza 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Compliance telco (ETSI/ISO)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Brak certyfikacji ISO 27001, SOC 2, audytów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Ryzyko biznesowe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5/10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0.75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Startup vendor, ale open-source pozwala na fork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TCO / ROI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7/10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Niski TCO, ROI 47% w 3 lata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OGÓLNA OCENA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3.8/10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WYMAGA ZNACZĄCYCH ULEPSZEŃ</w:t>
            </w:r>
          </w:p>
        </w:tc>
      </w:tr>
    </w:tbl>
    <w:p>
      <w:pPr>
        <w:spacing w:before="360" w:after="180"/>
      </w:pPr>
      <w:r>
        <w:rPr>
          <w:rFonts w:ascii="Arial" w:cs="Arial" w:eastAsia="Arial" w:hAnsi="Arial"/>
          <w:b/>
          <w:bCs/>
        </w:rPr>
        <w:t xml:space="preserve">Interpretacja wyników:</w:t>
      </w:r>
    </w:p>
    <w:p>
      <w:pPr>
        <w:pStyle w:val="ListParagraph"/>
        <w:numPr>
          <w:ilvl w:val="0"/>
          <w:numId w:val="2"/>
        </w:numPr>
      </w:pPr>
      <w:r>
        <w:t xml:space="preserve">8-10: Doskonały wybór, gotowy do wdrożenia produkcyjnego</w:t>
      </w:r>
    </w:p>
    <w:p>
      <w:pPr>
        <w:pStyle w:val="ListParagraph"/>
        <w:numPr>
          <w:ilvl w:val="0"/>
          <w:numId w:val="2"/>
        </w:numPr>
      </w:pPr>
      <w:r>
        <w:t xml:space="preserve">6-7.9: Dobry wybór z niewielkimi zastrzeżeniami</w:t>
      </w:r>
    </w:p>
    <w:p>
      <w:pPr>
        <w:pStyle w:val="ListParagraph"/>
        <w:numPr>
          <w:ilvl w:val="0"/>
          <w:numId w:val="2"/>
        </w:numPr>
      </w:pPr>
      <w:r>
        <w:t xml:space="preserve">4-5.9: Akceptowalny w ograniczonych scenariuszach (dev/test)</w:t>
      </w:r>
    </w:p>
    <w:p>
      <w:pPr>
        <w:pStyle w:val="ListParagraph"/>
        <w:numPr>
          <w:ilvl w:val="0"/>
          <w:numId w:val="2"/>
        </w:numPr>
      </w:pPr>
      <w:r>
        <w:rPr>
          <w:color w:val="C0392B"/>
        </w:rPr>
        <w:t xml:space="preserve">0-3.9: Nieakceptowalny bez znaczących ulepszeń</w:t>
      </w:r>
    </w:p>
    <w:p>
      <w:pPr>
        <w:spacing w:before="240"/>
      </w:pPr>
      <w:r>
        <w:rPr>
          <w:rFonts w:ascii="Arial" w:cs="Arial" w:eastAsia="Arial" w:hAnsi="Arial"/>
        </w:rPr>
        <w:t xml:space="preserve">⚠️ Kilocode uzyskał wynik 3.8/10, co klasyfikuje go jako rozwiązanie wymagające znaczących ulepszeń bezpieczeństwa i compliance przed wdrożeniem produkcyjnym. Może być rozważony wyłącznie w ograniczonych scenariuszach (dev/test) z dodatkowymi zabezpieczeniami.</w:t>
      </w:r>
    </w:p>
    <w:p>
      <w:r>
        <w:br w:type="page"/>
      </w:r>
    </w:p>
    <w:p>
      <w:pPr>
        <w:pStyle w:val="Heading1"/>
      </w:pPr>
      <w:r>
        <w:t xml:space="preserve">3. ANALIZA RYZYK</w:t>
      </w:r>
    </w:p>
    <w:p>
      <w:pPr>
        <w:pStyle w:val="Heading2"/>
      </w:pPr>
      <w:r>
        <w:t xml:space="preserve">3.1 Data Exfiltration do LLM Providers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Severity: </w:t>
      </w:r>
      <w:r>
        <w:rPr>
          <w:rFonts w:ascii="Arial" w:cs="Arial" w:eastAsia="Arial" w:hAnsi="Arial"/>
          <w:b/>
          <w:bCs/>
          <w:color w:val="C0392B"/>
        </w:rPr>
        <w:t xml:space="preserve">CRITICAL</w:t>
      </w:r>
    </w:p>
    <w:p>
      <w:pPr>
        <w:spacing w:after="180"/>
      </w:pPr>
      <w:r>
        <w:rPr>
          <w:rFonts w:ascii="Arial" w:cs="Arial" w:eastAsia="Arial" w:hAnsi="Arial"/>
        </w:rPr>
        <w:t xml:space="preserve">Opis zagrożenia: Cały kod źródłowy, prompty użytkownika i dane projektowe są transmitowane do zewnętrznych LLM providers (Anthropic, OpenAI, OpenRouter) bez lokalnej kontroli. Organizacja traci całkowitą kontrolę nad danymi wrażliwymi.</w:t>
      </w:r>
    </w:p>
    <w:p>
      <w:pPr>
        <w:spacing w:after="120"/>
      </w:pPr>
      <w:r>
        <w:rPr>
          <w:rFonts w:ascii="Arial" w:cs="Arial" w:eastAsia="Arial" w:hAnsi="Arial"/>
        </w:rPr>
        <w:t xml:space="preserve">Impact finansowy: €500,000 - €5,000,000 (kary RODO, utrata reputacji, koszty prawne)</w:t>
      </w:r>
    </w:p>
    <w:p>
      <w:pPr>
        <w:spacing w:after="120"/>
      </w:pPr>
      <w:r>
        <w:rPr>
          <w:rFonts w:ascii="Arial" w:cs="Arial" w:eastAsia="Arial" w:hAnsi="Arial"/>
        </w:rPr>
        <w:t xml:space="preserve">Prawdopodobieństwo: Wysokie (70%)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Mitigation Strategy:</w:t>
      </w:r>
    </w:p>
    <w:p>
      <w:pPr>
        <w:pStyle w:val="ListParagraph"/>
        <w:numPr>
          <w:ilvl w:val="0"/>
          <w:numId w:val="2"/>
        </w:numPr>
      </w:pPr>
      <w:r>
        <w:t xml:space="preserve">Deploy self-hosted LiteLLM proxy z audit logging</w:t>
      </w:r>
    </w:p>
    <w:p>
      <w:pPr>
        <w:pStyle w:val="ListParagraph"/>
        <w:numPr>
          <w:ilvl w:val="0"/>
          <w:numId w:val="2"/>
        </w:numPr>
      </w:pPr>
      <w:r>
        <w:t xml:space="preserve">Implementacja DLP gateway (Forcepoint/Symantec) do skanowania ruchu</w:t>
      </w:r>
    </w:p>
    <w:p>
      <w:pPr>
        <w:pStyle w:val="ListParagraph"/>
        <w:numPr>
          <w:ilvl w:val="0"/>
          <w:numId w:val="2"/>
        </w:numPr>
      </w:pPr>
      <w:r>
        <w:t xml:space="preserve">Izolacja sieciowa (dedykowany VLAN bez dostępu do produkcji)</w:t>
      </w:r>
    </w:p>
    <w:p>
      <w:pPr>
        <w:pStyle w:val="ListParagraph"/>
        <w:numPr>
          <w:ilvl w:val="0"/>
          <w:numId w:val="2"/>
        </w:numPr>
      </w:pPr>
      <w:r>
        <w:t xml:space="preserve">Używanie EU-based LLM providers z GDPR compliance</w:t>
      </w:r>
    </w:p>
    <w:p>
      <w:pPr>
        <w:spacing w:before="180" w:after="360"/>
      </w:pPr>
      <w:r>
        <w:rPr>
          <w:rFonts w:ascii="Arial" w:cs="Arial" w:eastAsia="Arial" w:hAnsi="Arial"/>
          <w:b/>
          <w:bCs/>
        </w:rPr>
        <w:t xml:space="preserve">Koszt mitigacji: €60,000 (setup) + €24,000/rok (operacyjne)</w:t>
      </w:r>
    </w:p>
    <w:p>
      <w:pPr>
        <w:pStyle w:val="Heading2"/>
      </w:pPr>
      <w:r>
        <w:t xml:space="preserve">3.2 MCP Server Code Execution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Severity: </w:t>
      </w:r>
      <w:r>
        <w:rPr>
          <w:rFonts w:ascii="Arial" w:cs="Arial" w:eastAsia="Arial" w:hAnsi="Arial"/>
          <w:b/>
          <w:bCs/>
          <w:color w:val="E67E22"/>
        </w:rPr>
        <w:t xml:space="preserve">HIGH</w:t>
      </w:r>
    </w:p>
    <w:p>
      <w:pPr>
        <w:spacing w:after="180"/>
      </w:pPr>
      <w:r>
        <w:rPr>
          <w:rFonts w:ascii="Arial" w:cs="Arial" w:eastAsia="Arial" w:hAnsi="Arial"/>
        </w:rPr>
        <w:t xml:space="preserve">Opis zagrożenia: MCP servers mogą wykonywać dowolne polecenia systemowe przez stdio transport bez sandboxingu. Malicious lub skompromitowane MCP servers mogą uzyskać pełny dostęp do systemu plików i wykonywać arbitrary code.</w:t>
      </w:r>
    </w:p>
    <w:p>
      <w:pPr>
        <w:spacing w:after="120"/>
      </w:pPr>
      <w:r>
        <w:rPr>
          <w:rFonts w:ascii="Arial" w:cs="Arial" w:eastAsia="Arial" w:hAnsi="Arial"/>
        </w:rPr>
        <w:t xml:space="preserve">Impact finansowy: €200,000 - €2,000,000 (ransomware, data breach, system compromise)</w:t>
      </w:r>
    </w:p>
    <w:p>
      <w:pPr>
        <w:spacing w:after="120"/>
      </w:pPr>
      <w:r>
        <w:rPr>
          <w:rFonts w:ascii="Arial" w:cs="Arial" w:eastAsia="Arial" w:hAnsi="Arial"/>
        </w:rPr>
        <w:t xml:space="preserve">Prawdopodobieństwo: Średnie (40%)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Mitigation Strategy:</w:t>
      </w:r>
    </w:p>
    <w:p>
      <w:pPr>
        <w:pStyle w:val="ListParagraph"/>
        <w:numPr>
          <w:ilvl w:val="0"/>
          <w:numId w:val="2"/>
        </w:numPr>
      </w:pPr>
      <w:r>
        <w:t xml:space="preserve">Whitelist zatwierdonych MCP servers z obowiązkowym code review</w:t>
      </w:r>
    </w:p>
    <w:p>
      <w:pPr>
        <w:pStyle w:val="ListParagraph"/>
        <w:numPr>
          <w:ilvl w:val="0"/>
          <w:numId w:val="2"/>
        </w:numPr>
      </w:pPr>
      <w:r>
        <w:t xml:space="preserve">Sandboxing MCP servers w Docker containers z ograniczonymi uprawnieniami</w:t>
      </w:r>
    </w:p>
    <w:p>
      <w:pPr>
        <w:pStyle w:val="ListParagraph"/>
        <w:numPr>
          <w:ilvl w:val="0"/>
          <w:numId w:val="2"/>
        </w:numPr>
      </w:pPr>
      <w:r>
        <w:t xml:space="preserve">Monitoring i logging wszystkich MCP operations</w:t>
      </w:r>
    </w:p>
    <w:p>
      <w:pPr>
        <w:pStyle w:val="ListParagraph"/>
        <w:numPr>
          <w:ilvl w:val="0"/>
          <w:numId w:val="2"/>
        </w:numPr>
      </w:pPr>
      <w:r>
        <w:t xml:space="preserve">Używanie tylko SSE/HTTP transport (unikać stdio)</w:t>
      </w:r>
    </w:p>
    <w:p>
      <w:pPr>
        <w:spacing w:before="180" w:after="360"/>
      </w:pPr>
      <w:r>
        <w:rPr>
          <w:rFonts w:ascii="Arial" w:cs="Arial" w:eastAsia="Arial" w:hAnsi="Arial"/>
          <w:b/>
          <w:bCs/>
        </w:rPr>
        <w:t xml:space="preserve">Koszt mitigacji: €15,000 (setup) + €12,000/rok (code review + monitoring)</w:t>
      </w:r>
    </w:p>
    <w:p>
      <w:pPr>
        <w:pStyle w:val="Heading2"/>
      </w:pPr>
      <w:r>
        <w:t xml:space="preserve">3.3 Brak Certyfikacji RODO/NIS2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Severity: </w:t>
      </w:r>
      <w:r>
        <w:rPr>
          <w:rFonts w:ascii="Arial" w:cs="Arial" w:eastAsia="Arial" w:hAnsi="Arial"/>
          <w:b/>
          <w:bCs/>
          <w:color w:val="E67E22"/>
        </w:rPr>
        <w:t xml:space="preserve">HIGH</w:t>
      </w:r>
    </w:p>
    <w:p>
      <w:pPr>
        <w:spacing w:after="180"/>
      </w:pPr>
      <w:r>
        <w:rPr>
          <w:rFonts w:ascii="Arial" w:cs="Arial" w:eastAsia="Arial" w:hAnsi="Arial"/>
        </w:rPr>
        <w:t xml:space="preserve">Opis zagrożenia: Kilocode nie posiada certyfikacji ISO 27001, SOC 2 ani formalnych Data Processing Agreements z LLM providers. Transfer danych do US-based providers może naruszać RODO Art. 44-50. Organizacje telekomunikacyjne podlegają NIS2 i wymagają udokumentowanego compliance.</w:t>
      </w:r>
    </w:p>
    <w:p>
      <w:pPr>
        <w:spacing w:after="120"/>
      </w:pPr>
      <w:r>
        <w:rPr>
          <w:rFonts w:ascii="Arial" w:cs="Arial" w:eastAsia="Arial" w:hAnsi="Arial"/>
        </w:rPr>
        <w:t xml:space="preserve">Impact finansowy: €100,000 - €1,000,000 (kary RODO do 4% obrotu rocznego, koszty audytów)</w:t>
      </w:r>
    </w:p>
    <w:p>
      <w:pPr>
        <w:spacing w:after="120"/>
      </w:pPr>
      <w:r>
        <w:rPr>
          <w:rFonts w:ascii="Arial" w:cs="Arial" w:eastAsia="Arial" w:hAnsi="Arial"/>
        </w:rPr>
        <w:t xml:space="preserve">Prawdopodobieństwo: Pewne (95%)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Mitigation Strategy:</w:t>
      </w:r>
    </w:p>
    <w:p>
      <w:pPr>
        <w:pStyle w:val="ListParagraph"/>
        <w:numPr>
          <w:ilvl w:val="0"/>
          <w:numId w:val="2"/>
        </w:numPr>
      </w:pPr>
      <w:r>
        <w:t xml:space="preserve">Ograniczenie wdrożenia do środowisk dev/test bez danych klienckich</w:t>
      </w:r>
    </w:p>
    <w:p>
      <w:pPr>
        <w:pStyle w:val="ListParagraph"/>
        <w:numPr>
          <w:ilvl w:val="0"/>
          <w:numId w:val="2"/>
        </w:numPr>
      </w:pPr>
      <w:r>
        <w:t xml:space="preserve">Uzyskanie legal opinion od external counsel na zgodność z RODO/NIS2</w:t>
      </w:r>
    </w:p>
    <w:p>
      <w:pPr>
        <w:pStyle w:val="ListParagraph"/>
        <w:numPr>
          <w:ilvl w:val="0"/>
          <w:numId w:val="2"/>
        </w:numPr>
      </w:pPr>
      <w:r>
        <w:t xml:space="preserve">Użycie EU-based LLM providers z Standard Contractual Clauses (SCC)</w:t>
      </w:r>
    </w:p>
    <w:p>
      <w:pPr>
        <w:pStyle w:val="ListParagraph"/>
        <w:numPr>
          <w:ilvl w:val="0"/>
          <w:numId w:val="2"/>
        </w:numPr>
      </w:pPr>
      <w:r>
        <w:t xml:space="preserve">Dokumentacja Data Processing Impact Assessment (DPIA)</w:t>
      </w:r>
    </w:p>
    <w:p>
      <w:pPr>
        <w:spacing w:before="180" w:after="360"/>
      </w:pPr>
      <w:r>
        <w:rPr>
          <w:rFonts w:ascii="Arial" w:cs="Arial" w:eastAsia="Arial" w:hAnsi="Arial"/>
          <w:b/>
          <w:bCs/>
        </w:rPr>
        <w:t xml:space="preserve">Koszt mitigacji: €20,000 (legal opinion + DPIA)</w:t>
      </w:r>
    </w:p>
    <w:p>
      <w:pPr>
        <w:pStyle w:val="Heading2"/>
      </w:pPr>
      <w:r>
        <w:t xml:space="preserve">3.4 Vendor Lock-in &amp; Discontinuity Risk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Severity: </w:t>
      </w:r>
      <w:r>
        <w:rPr>
          <w:rFonts w:ascii="Arial" w:cs="Arial" w:eastAsia="Arial" w:hAnsi="Arial"/>
          <w:b/>
          <w:bCs/>
          <w:color w:val="F39C12"/>
        </w:rPr>
        <w:t xml:space="preserve">MEDIUM</w:t>
      </w:r>
    </w:p>
    <w:p>
      <w:pPr>
        <w:spacing w:after="180"/>
      </w:pPr>
      <w:r>
        <w:rPr>
          <w:rFonts w:ascii="Arial" w:cs="Arial" w:eastAsia="Arial" w:hAnsi="Arial"/>
        </w:rPr>
        <w:t xml:space="preserve">Opis zagrożenia: Kilocode jest prowadzony przez małe startup (Kilo-Org) bez stabilnego finansowania. Istnieje ryzyko, że projekt zostanie porzucony, a organizacja straci wsparcie i aktualizacje bezpieczeństwa.</w:t>
      </w:r>
    </w:p>
    <w:p>
      <w:pPr>
        <w:spacing w:after="120"/>
      </w:pPr>
      <w:r>
        <w:rPr>
          <w:rFonts w:ascii="Arial" w:cs="Arial" w:eastAsia="Arial" w:hAnsi="Arial"/>
        </w:rPr>
        <w:t xml:space="preserve">Impact finansowy: €50,000 - €300,000 (koszty migracji, utrata inwestycji w integrację)</w:t>
      </w:r>
    </w:p>
    <w:p>
      <w:pPr>
        <w:spacing w:after="120"/>
      </w:pPr>
      <w:r>
        <w:rPr>
          <w:rFonts w:ascii="Arial" w:cs="Arial" w:eastAsia="Arial" w:hAnsi="Arial"/>
        </w:rPr>
        <w:t xml:space="preserve">Prawdopodobieństwo: Średnie (50%)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Mitigation Strategy:</w:t>
      </w:r>
    </w:p>
    <w:p>
      <w:pPr>
        <w:pStyle w:val="ListParagraph"/>
        <w:numPr>
          <w:ilvl w:val="0"/>
          <w:numId w:val="2"/>
        </w:numPr>
      </w:pPr>
      <w:r>
        <w:t xml:space="preserve">Fork projektu (Apache 2.0 license) i własna maintenance</w:t>
      </w:r>
    </w:p>
    <w:p>
      <w:pPr>
        <w:pStyle w:val="ListParagraph"/>
        <w:numPr>
          <w:ilvl w:val="0"/>
          <w:numId w:val="2"/>
        </w:numPr>
      </w:pPr>
      <w:r>
        <w:t xml:space="preserve">Dedykowany internal team (1 FTE) do wsparcia i development</w:t>
      </w:r>
    </w:p>
    <w:p>
      <w:pPr>
        <w:pStyle w:val="ListParagraph"/>
        <w:numPr>
          <w:ilvl w:val="0"/>
          <w:numId w:val="2"/>
        </w:numPr>
      </w:pPr>
      <w:r>
        <w:t xml:space="preserve">Monitorowanie projektu upstream i community health</w:t>
      </w:r>
    </w:p>
    <w:p>
      <w:pPr>
        <w:pStyle w:val="ListParagraph"/>
        <w:numPr>
          <w:ilvl w:val="0"/>
          <w:numId w:val="2"/>
        </w:numPr>
      </w:pPr>
      <w:r>
        <w:t xml:space="preserve">Przygotowanie migration path do alternatywnych rozwiązań (GitHub Copilot)</w:t>
      </w:r>
    </w:p>
    <w:p>
      <w:pPr>
        <w:spacing w:before="180" w:after="360"/>
      </w:pPr>
      <w:r>
        <w:rPr>
          <w:rFonts w:ascii="Arial" w:cs="Arial" w:eastAsia="Arial" w:hAnsi="Arial"/>
          <w:b/>
          <w:bCs/>
        </w:rPr>
        <w:t xml:space="preserve">Koszt mitigacji: €10,000 (fork setup) + €30,000/rok (1 FTE support)</w:t>
      </w:r>
    </w:p>
    <w:p>
      <w:pPr>
        <w:pStyle w:val="Heading2"/>
      </w:pPr>
      <w:r>
        <w:t xml:space="preserve">3.5 Brak SLA i Enterprise Support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Severity: </w:t>
      </w:r>
      <w:r>
        <w:rPr>
          <w:rFonts w:ascii="Arial" w:cs="Arial" w:eastAsia="Arial" w:hAnsi="Arial"/>
          <w:b/>
          <w:bCs/>
          <w:color w:val="F39C12"/>
        </w:rPr>
        <w:t xml:space="preserve">MEDIUM</w:t>
      </w:r>
    </w:p>
    <w:p>
      <w:pPr>
        <w:spacing w:after="180"/>
      </w:pPr>
      <w:r>
        <w:rPr>
          <w:rFonts w:ascii="Arial" w:cs="Arial" w:eastAsia="Arial" w:hAnsi="Arial"/>
        </w:rPr>
        <w:t xml:space="preserve">Opis zagrożenia: Kilocode nie oferuje formalnego SLA ani 24/7 enterprise support. W przypadku krytycznych problemów organizacja jest zdana na community support lub własne zasoby.</w:t>
      </w:r>
    </w:p>
    <w:p>
      <w:pPr>
        <w:spacing w:after="120"/>
      </w:pPr>
      <w:r>
        <w:rPr>
          <w:rFonts w:ascii="Arial" w:cs="Arial" w:eastAsia="Arial" w:hAnsi="Arial"/>
        </w:rPr>
        <w:t xml:space="preserve">Impact finansowy: €20,000 - €200,000 (downtime, utrata produktywności deweloperów)</w:t>
      </w:r>
    </w:p>
    <w:p>
      <w:pPr>
        <w:spacing w:after="120"/>
      </w:pPr>
      <w:r>
        <w:rPr>
          <w:rFonts w:ascii="Arial" w:cs="Arial" w:eastAsia="Arial" w:hAnsi="Arial"/>
        </w:rPr>
        <w:t xml:space="preserve">Prawdopodobieństwo: Pewne (90%)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Mitigation Strategy:</w:t>
      </w:r>
    </w:p>
    <w:p>
      <w:pPr>
        <w:pStyle w:val="ListParagraph"/>
        <w:numPr>
          <w:ilvl w:val="0"/>
          <w:numId w:val="2"/>
        </w:numPr>
      </w:pPr>
      <w:r>
        <w:t xml:space="preserve">Dedykowany internal L3 support team (1 FTE)</w:t>
      </w:r>
    </w:p>
    <w:p>
      <w:pPr>
        <w:pStyle w:val="ListParagraph"/>
        <w:numPr>
          <w:ilvl w:val="0"/>
          <w:numId w:val="2"/>
        </w:numPr>
      </w:pPr>
      <w:r>
        <w:t xml:space="preserve">Aktywne uczestnictwo w community (GitHub, Discord)</w:t>
      </w:r>
    </w:p>
    <w:p>
      <w:pPr>
        <w:pStyle w:val="ListParagraph"/>
        <w:numPr>
          <w:ilvl w:val="0"/>
          <w:numId w:val="2"/>
        </w:numPr>
      </w:pPr>
      <w:r>
        <w:t xml:space="preserve">Własna dokumentacja i runbooks dla common issues</w:t>
      </w:r>
    </w:p>
    <w:p>
      <w:pPr>
        <w:pStyle w:val="ListParagraph"/>
        <w:numPr>
          <w:ilvl w:val="0"/>
          <w:numId w:val="2"/>
        </w:numPr>
      </w:pPr>
      <w:r>
        <w:t xml:space="preserve">Monitorowanie projektu i proactive patching</w:t>
      </w:r>
    </w:p>
    <w:p>
      <w:pPr>
        <w:spacing w:before="180"/>
      </w:pPr>
      <w:r>
        <w:rPr>
          <w:rFonts w:ascii="Arial" w:cs="Arial" w:eastAsia="Arial" w:hAnsi="Arial"/>
          <w:b/>
          <w:bCs/>
        </w:rPr>
        <w:t xml:space="preserve">Koszt mitigacji: €0 (setup) + €30,000/rok (1 FTE L3 support)</w:t>
      </w:r>
    </w:p>
    <w:p>
      <w:r>
        <w:br w:type="page"/>
      </w:r>
    </w:p>
    <w:p>
      <w:pPr>
        <w:pStyle w:val="Heading1"/>
      </w:pPr>
      <w:r>
        <w:t xml:space="preserve">4. SCENARIUSZE WDROŻENIOWE</w:t>
      </w:r>
    </w:p>
    <w:p>
      <w:pPr>
        <w:pStyle w:val="Heading2"/>
      </w:pPr>
      <w:r>
        <w:t xml:space="preserve">4.1 Scenariusz A: Full Deployment ❌</w:t>
      </w:r>
    </w:p>
    <w:p>
      <w:pPr>
        <w:spacing w:after="180"/>
      </w:pPr>
      <w:r>
        <w:rPr>
          <w:rFonts w:ascii="Arial" w:cs="Arial" w:eastAsia="Arial" w:hAnsi="Arial"/>
        </w:rPr>
        <w:t xml:space="preserve">Opis: Wdrożenie Kilocode w obecnej formie dla 50 deweloperów z domyślnymi ustawieniami. Wykorzystanie publicznych LLM providers (Anthropic Claude, OpenAI GPT).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Koszty (setup + 3 lata):</w:t>
      </w:r>
    </w:p>
    <w:p>
      <w:pPr>
        <w:pStyle w:val="ListParagraph"/>
        <w:numPr>
          <w:ilvl w:val="0"/>
          <w:numId w:val="2"/>
        </w:numPr>
      </w:pPr>
      <w:r>
        <w:t xml:space="preserve">Setup: €15,000</w:t>
      </w:r>
    </w:p>
    <w:p>
      <w:pPr>
        <w:pStyle w:val="ListParagraph"/>
        <w:numPr>
          <w:ilvl w:val="0"/>
          <w:numId w:val="2"/>
        </w:numPr>
      </w:pPr>
      <w:r>
        <w:t xml:space="preserve">LLM API: €180,000</w:t>
      </w:r>
    </w:p>
    <w:p>
      <w:pPr>
        <w:pStyle w:val="ListParagraph"/>
        <w:numPr>
          <w:ilvl w:val="0"/>
          <w:numId w:val="2"/>
        </w:numPr>
      </w:pPr>
      <w:r>
        <w:t xml:space="preserve">Wsparcie: €0 (community 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SUMA: €195,000</w:t>
      </w:r>
    </w:p>
    <w:p>
      <w:pPr>
        <w:spacing w:before="240" w:after="120"/>
      </w:pPr>
      <w:r>
        <w:rPr>
          <w:rFonts w:ascii="Arial" w:cs="Arial" w:eastAsia="Arial" w:hAnsi="Arial"/>
          <w:b/>
          <w:bCs/>
        </w:rPr>
        <w:t xml:space="preserve">Timeline: 6 tygodni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Ryzyka:</w:t>
      </w:r>
    </w:p>
    <w:p>
      <w:pPr>
        <w:pStyle w:val="ListParagraph"/>
        <w:numPr>
          <w:ilvl w:val="0"/>
          <w:numId w:val="2"/>
        </w:numPr>
      </w:pPr>
      <w:r>
        <w:rPr>
          <w:color w:val="C0392B"/>
        </w:rPr>
        <w:t xml:space="preserve">KRYTYCZNE: Data exfiltration do US-based LLM providers</w:t>
      </w:r>
    </w:p>
    <w:p>
      <w:pPr>
        <w:pStyle w:val="ListParagraph"/>
        <w:numPr>
          <w:ilvl w:val="0"/>
          <w:numId w:val="2"/>
        </w:numPr>
      </w:pPr>
      <w:r>
        <w:rPr>
          <w:color w:val="E67E22"/>
        </w:rPr>
        <w:t xml:space="preserve">WYSOKIE: Naruszenie RODO Art. 44-50 i NIS2</w:t>
      </w:r>
    </w:p>
    <w:p>
      <w:pPr>
        <w:pStyle w:val="ListParagraph"/>
        <w:numPr>
          <w:ilvl w:val="0"/>
          <w:numId w:val="2"/>
        </w:numPr>
      </w:pPr>
      <w:r>
        <w:rPr>
          <w:color w:val="E67E22"/>
        </w:rPr>
        <w:t xml:space="preserve">WYSOKIE: Klucze API w plaintext</w:t>
      </w:r>
    </w:p>
    <w:p>
      <w:pPr>
        <w:spacing w:before="240" w:after="360"/>
      </w:pPr>
      <w:r>
        <w:rPr>
          <w:rFonts w:ascii="Arial" w:cs="Arial" w:eastAsia="Arial" w:hAnsi="Arial"/>
          <w:b/>
          <w:bCs/>
          <w:color w:val="C0392B"/>
        </w:rPr>
        <w:t xml:space="preserve">Rekomendacja: ❌ NIE REKOMENDOWANE - Nieakceptowalne ryzyko prawne i bezpieczeństwa dla organizacji telekomunikacyjnej</w:t>
      </w:r>
    </w:p>
    <w:p>
      <w:pPr>
        <w:pStyle w:val="Heading2"/>
      </w:pPr>
      <w:r>
        <w:t xml:space="preserve">4.2 Scenariusz B: Security-Hardened Fork ✅ (REKOMENDOWANY)</w:t>
      </w:r>
    </w:p>
    <w:p>
      <w:pPr>
        <w:spacing w:after="180"/>
      </w:pPr>
      <w:r>
        <w:rPr>
          <w:rFonts w:ascii="Arial" w:cs="Arial" w:eastAsia="Arial" w:hAnsi="Arial"/>
        </w:rPr>
        <w:t xml:space="preserve">Opis: Stworzenie własnego security-hardened fork Kilocode z self-hosted LiteLLM proxy, HashiCorp Vault, DLP gateway, MCP whitelist i izolacją sieciową.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Koszty (setup + 3 lata):</w:t>
      </w:r>
    </w:p>
    <w:p>
      <w:pPr>
        <w:pStyle w:val="ListParagraph"/>
        <w:numPr>
          <w:ilvl w:val="0"/>
          <w:numId w:val="2"/>
        </w:numPr>
      </w:pPr>
      <w:r>
        <w:t xml:space="preserve">Setup: €45,000 (fork development, infrastruktura)</w:t>
      </w:r>
    </w:p>
    <w:p>
      <w:pPr>
        <w:pStyle w:val="ListParagraph"/>
        <w:numPr>
          <w:ilvl w:val="0"/>
          <w:numId w:val="2"/>
        </w:numPr>
      </w:pPr>
      <w:r>
        <w:t xml:space="preserve">LLM API: €180,000 (self-hosted lub EU provider)</w:t>
      </w:r>
    </w:p>
    <w:p>
      <w:pPr>
        <w:pStyle w:val="ListParagraph"/>
        <w:numPr>
          <w:ilvl w:val="0"/>
          <w:numId w:val="2"/>
        </w:numPr>
      </w:pPr>
      <w:r>
        <w:t xml:space="preserve">Infrastruktura: €72,000 (LiteLLM, DLP, Vault)</w:t>
      </w:r>
    </w:p>
    <w:p>
      <w:pPr>
        <w:pStyle w:val="ListParagraph"/>
        <w:numPr>
          <w:ilvl w:val="0"/>
          <w:numId w:val="2"/>
        </w:numPr>
      </w:pPr>
      <w:r>
        <w:t xml:space="preserve">Wsparcie: €90,000 (1 FTE)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SUMA: €387,000</w:t>
      </w:r>
    </w:p>
    <w:p>
      <w:pPr>
        <w:spacing w:before="240" w:after="120"/>
      </w:pPr>
      <w:r>
        <w:rPr>
          <w:rFonts w:ascii="Arial" w:cs="Arial" w:eastAsia="Arial" w:hAnsi="Arial"/>
          <w:b/>
          <w:bCs/>
        </w:rPr>
        <w:t xml:space="preserve">Timeline: 4-6 miesięcy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Ryzyka (zmitigowane):</w:t>
      </w:r>
    </w:p>
    <w:p>
      <w:pPr>
        <w:pStyle w:val="ListParagraph"/>
        <w:numPr>
          <w:ilvl w:val="0"/>
          <w:numId w:val="2"/>
        </w:numPr>
      </w:pPr>
      <w:r>
        <w:rPr>
          <w:color w:val="27AE60"/>
        </w:rPr>
        <w:t xml:space="preserve">NISKIE: Dane w kontroli dzięki self-hosted LiteLLM + DLP</w:t>
      </w:r>
    </w:p>
    <w:p>
      <w:pPr>
        <w:pStyle w:val="ListParagraph"/>
        <w:numPr>
          <w:ilvl w:val="0"/>
          <w:numId w:val="2"/>
        </w:numPr>
      </w:pPr>
      <w:r>
        <w:rPr>
          <w:color w:val="27AE60"/>
        </w:rPr>
        <w:t xml:space="preserve">NISKIE: Klucze API w Vault</w:t>
      </w:r>
    </w:p>
    <w:p>
      <w:pPr>
        <w:pStyle w:val="ListParagraph"/>
        <w:numPr>
          <w:ilvl w:val="0"/>
          <w:numId w:val="2"/>
        </w:numPr>
      </w:pPr>
      <w:r>
        <w:rPr>
          <w:color w:val="F39C12"/>
        </w:rPr>
        <w:t xml:space="preserve">ŚREDNIE: MCP servers z whitelist (pozostaje pewne ryzyko)</w:t>
      </w:r>
    </w:p>
    <w:p>
      <w:pPr>
        <w:spacing w:before="240" w:after="360"/>
      </w:pPr>
      <w:r>
        <w:rPr>
          <w:rFonts w:ascii="Arial" w:cs="Arial" w:eastAsia="Arial" w:hAnsi="Arial"/>
          <w:b/>
          <w:bCs/>
          <w:color w:val="27AE60"/>
        </w:rPr>
        <w:t xml:space="preserve">Rekomendacja: ✅ REKOMENDOWANE dla środowisk dev/test - Znacząca redukcja ryzyka, pozytywny ROI (+€183k)</w:t>
      </w:r>
    </w:p>
    <w:p>
      <w:pPr>
        <w:pStyle w:val="Heading2"/>
      </w:pPr>
      <w:r>
        <w:t xml:space="preserve">4.3 Scenariusz C: Limited Pilot ⚠️</w:t>
      </w:r>
    </w:p>
    <w:p>
      <w:pPr>
        <w:spacing w:after="180"/>
      </w:pPr>
      <w:r>
        <w:rPr>
          <w:rFonts w:ascii="Arial" w:cs="Arial" w:eastAsia="Arial" w:hAnsi="Arial"/>
        </w:rPr>
        <w:t xml:space="preserve">Opis: Pilotażowe wdrożenie dla 10 deweloperów w całkowicie izolowanym środowisku testowym. Cel: ocena wartości biznesowej przed decyzją o pełnym wdrożeniu.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Koszty (6 miesięcy pilotażu):</w:t>
      </w:r>
    </w:p>
    <w:p>
      <w:pPr>
        <w:pStyle w:val="ListParagraph"/>
        <w:numPr>
          <w:ilvl w:val="0"/>
          <w:numId w:val="2"/>
        </w:numPr>
      </w:pPr>
      <w:r>
        <w:t xml:space="preserve">Setup: €10,000</w:t>
      </w:r>
    </w:p>
    <w:p>
      <w:pPr>
        <w:pStyle w:val="ListParagraph"/>
        <w:numPr>
          <w:ilvl w:val="0"/>
          <w:numId w:val="2"/>
        </w:numPr>
      </w:pPr>
      <w:r>
        <w:t xml:space="preserve">LLM API: €6,000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SUMA: €16,000</w:t>
      </w:r>
    </w:p>
    <w:p>
      <w:pPr>
        <w:spacing w:before="240" w:after="120"/>
      </w:pPr>
      <w:r>
        <w:rPr>
          <w:rFonts w:ascii="Arial" w:cs="Arial" w:eastAsia="Arial" w:hAnsi="Arial"/>
          <w:b/>
          <w:bCs/>
        </w:rPr>
        <w:t xml:space="preserve">Timeline: 6 miesięcy</w:t>
      </w:r>
    </w:p>
    <w:p>
      <w:pPr>
        <w:spacing w:before="240" w:after="360"/>
      </w:pPr>
      <w:r>
        <w:rPr>
          <w:rFonts w:ascii="Arial" w:cs="Arial" w:eastAsia="Arial" w:hAnsi="Arial"/>
          <w:b/>
          <w:bCs/>
          <w:color w:val="F39C12"/>
        </w:rPr>
        <w:t xml:space="preserve">Rekomendacja: ⚠️ AKCEPTOWALNE jako proof-of-concept - Niski koszt i ryzyko, pozwala ocenić wartość biznesową</w:t>
      </w:r>
    </w:p>
    <w:p>
      <w:pPr>
        <w:pStyle w:val="Heading2"/>
      </w:pPr>
      <w:r>
        <w:t xml:space="preserve">4.4 Scenariusz D: GitHub Copilot Enterprise ✅</w:t>
      </w:r>
    </w:p>
    <w:p>
      <w:pPr>
        <w:spacing w:after="180"/>
      </w:pPr>
      <w:r>
        <w:rPr>
          <w:rFonts w:ascii="Arial" w:cs="Arial" w:eastAsia="Arial" w:hAnsi="Arial"/>
        </w:rPr>
        <w:t xml:space="preserve">Opis: Rezygnacja z Kilocode na rzecz komercyjnej alternatywy z pełnym wsparciem enterprise, certyfikacjami i out-of-the-box compliance.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Koszty (3 lata):</w:t>
      </w:r>
    </w:p>
    <w:p>
      <w:pPr>
        <w:pStyle w:val="ListParagraph"/>
        <w:numPr>
          <w:ilvl w:val="0"/>
          <w:numId w:val="2"/>
        </w:numPr>
      </w:pPr>
      <w:r>
        <w:t xml:space="preserve">Setup: €5,000</w:t>
      </w:r>
    </w:p>
    <w:p>
      <w:pPr>
        <w:pStyle w:val="ListParagraph"/>
        <w:numPr>
          <w:ilvl w:val="0"/>
          <w:numId w:val="2"/>
        </w:numPr>
      </w:pPr>
      <w:r>
        <w:t xml:space="preserve">Licencje: €108,000 (50 dev × €60/mies × 36)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SUMA: €113,000</w:t>
      </w:r>
    </w:p>
    <w:p>
      <w:pPr>
        <w:spacing w:before="240" w:after="120"/>
      </w:pPr>
      <w:r>
        <w:rPr>
          <w:rFonts w:ascii="Arial" w:cs="Arial" w:eastAsia="Arial" w:hAnsi="Arial"/>
          <w:b/>
          <w:bCs/>
        </w:rPr>
        <w:t xml:space="preserve">Timeline: 2 tygodnie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Zalety:</w:t>
      </w:r>
    </w:p>
    <w:p>
      <w:pPr>
        <w:pStyle w:val="ListParagraph"/>
        <w:numPr>
          <w:ilvl w:val="0"/>
          <w:numId w:val="2"/>
        </w:numPr>
      </w:pPr>
      <w:r>
        <w:t xml:space="preserve">Enterprise SLA (99.9% uptime)</w:t>
      </w:r>
    </w:p>
    <w:p>
      <w:pPr>
        <w:pStyle w:val="ListParagraph"/>
        <w:numPr>
          <w:ilvl w:val="0"/>
          <w:numId w:val="2"/>
        </w:numPr>
      </w:pPr>
      <w:r>
        <w:t xml:space="preserve">SOC 2 Type II, ISO 27001 certyfikacje</w:t>
      </w:r>
    </w:p>
    <w:p>
      <w:pPr>
        <w:pStyle w:val="ListParagraph"/>
        <w:numPr>
          <w:ilvl w:val="0"/>
          <w:numId w:val="2"/>
        </w:numPr>
      </w:pPr>
      <w:r>
        <w:t xml:space="preserve">GDPR/NIS2 compliance out-of-the-box</w:t>
      </w:r>
    </w:p>
    <w:p>
      <w:pPr>
        <w:pStyle w:val="ListParagraph"/>
        <w:numPr>
          <w:ilvl w:val="0"/>
          <w:numId w:val="2"/>
        </w:numPr>
      </w:pPr>
      <w:r>
        <w:t xml:space="preserve">24/7 enterprise support</w:t>
      </w:r>
    </w:p>
    <w:p>
      <w:pPr>
        <w:spacing w:before="240" w:after="360"/>
      </w:pPr>
      <w:r>
        <w:rPr>
          <w:rFonts w:ascii="Arial" w:cs="Arial" w:eastAsia="Arial" w:hAnsi="Arial"/>
          <w:b/>
          <w:bCs/>
          <w:color w:val="27AE60"/>
        </w:rPr>
        <w:t xml:space="preserve">Rekomendacja: ✅ AKCEPTOWALNE dla organizacji priorytetyzujących compliance - Najbezpieczniejsza opcja, niższy TCO</w:t>
      </w:r>
    </w:p>
    <w:p>
      <w:r>
        <w:br w:type="page"/>
      </w:r>
    </w:p>
    <w:p>
      <w:pPr>
        <w:pStyle w:val="Heading1"/>
      </w:pPr>
      <w:r>
        <w:t xml:space="preserve">5. ROADMAP IMPLEMENTACJI</w:t>
      </w:r>
    </w:p>
    <w:p>
      <w:pPr>
        <w:spacing w:after="240"/>
      </w:pPr>
      <w:r>
        <w:rPr>
          <w:rFonts w:ascii="Arial" w:cs="Arial" w:eastAsia="Arial" w:hAnsi="Arial"/>
          <w:b/>
          <w:bCs/>
        </w:rPr>
        <w:t xml:space="preserve">Dla Scenariusza B: Security-Hardened Fork</w:t>
      </w:r>
    </w:p>
    <w:p>
      <w:pPr>
        <w:pStyle w:val="Heading2"/>
      </w:pPr>
      <w:r>
        <w:t xml:space="preserve">5.1 PRIORYTET P0 (Krytyczne - przed pilotażem)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800"/>
        <w:gridCol w:w="600"/>
        <w:gridCol w:w="10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Zadanie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Timeline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Budżet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KPI Sukcesu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Fork Kilocode repo + security hardening (API key encryption, disable telemetry)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tygodnie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Senior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€5,000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Wszystkie klucze API w Vault, zero telemetry leaks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Deploy self-hosted LiteLLM z audit logging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tygodnie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DevOps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€8,000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 LLM requests logged, &lt;100ms latency overhead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Integracja HashiCorp Vault dla secrets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tydzień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Security 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€4,000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Zero plaintext credentials w filesystemie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Deploy DLP gateway dla wychodzącego ruchu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tygodnie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Network 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€12,000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 skanowanie, &lt;5% false positives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Izolacja sieciowa (dedykowany VLAN)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tydzień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Network 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€3,000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Zero network path do prod z dev VLAN</w:t>
            </w:r>
          </w:p>
        </w:tc>
      </w:tr>
    </w:tbl>
    <w:p>
      <w:pPr>
        <w:pStyle w:val="Heading2"/>
        <w:spacing w:before="480"/>
      </w:pPr>
      <w:r>
        <w:t xml:space="preserve">5.2 PRIORYTET P1 (Wysokie - przed rollout)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800"/>
        <w:gridCol w:w="600"/>
        <w:gridCol w:w="10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Zadanie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Timeline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Budżet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KPI Sukcesu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MCP server whitelist + sandboxing (Docker containers)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tygodnie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Senior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€6,000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Tylko zatwierdzone MCP servers, sandboxed execution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Penetration testing przez zewnętrzną firmę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tygodnie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External vendor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€15,000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Zero critical/high vulnerabilities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Legal opinion na zgodność z RODO/NIS2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tydzień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External lawyer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€8,000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Positive legal opinion dla dev/test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Monitoring &amp; alerting (Prometheus/Grafana + SIEM)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tydzień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DevOps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€4,000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Real-time alerts na anomalie, &lt;5min MTTD</w:t>
            </w:r>
          </w:p>
        </w:tc>
      </w:tr>
    </w:tbl>
    <w:p>
      <w:pPr>
        <w:pStyle w:val="Heading2"/>
        <w:spacing w:before="480"/>
      </w:pPr>
      <w:r>
        <w:t xml:space="preserve">5.3 PRIORYTET P2 (Nice-to-have - post-rollout)</w:t>
      </w:r>
    </w:p>
    <w:p>
      <w:pPr>
        <w:pStyle w:val="ListParagraph"/>
        <w:numPr>
          <w:ilvl w:val="0"/>
          <w:numId w:val="2"/>
        </w:numPr>
      </w:pPr>
      <w:r>
        <w:t xml:space="preserve">Integracja z corporate SSO (SAML/OAuth2) - 1 tydzień, €3,000</w:t>
      </w:r>
    </w:p>
    <w:p>
      <w:pPr>
        <w:pStyle w:val="ListParagraph"/>
        <w:numPr>
          <w:ilvl w:val="0"/>
          <w:numId w:val="2"/>
        </w:numPr>
      </w:pPr>
      <w:r>
        <w:t xml:space="preserve">Custom AI models fine-tuned na internal codebase - 4 tygodnie, €20,000</w:t>
      </w:r>
    </w:p>
    <w:p>
      <w:pPr>
        <w:pStyle w:val="ListParagraph"/>
        <w:numPr>
          <w:ilvl w:val="0"/>
          <w:numId w:val="2"/>
        </w:numPr>
      </w:pPr>
      <w:r>
        <w:t xml:space="preserve">IDE plugins dla JetBrains/Eclipse - 3 tygodnie, €12,000</w:t>
      </w:r>
    </w:p>
    <w:p>
      <w:pPr>
        <w:pStyle w:val="ListParagraph"/>
        <w:numPr>
          <w:ilvl w:val="0"/>
          <w:numId w:val="2"/>
        </w:numPr>
      </w:pPr>
      <w:r>
        <w:t xml:space="preserve">Automated compliance reporting - 2 tygodnie, €8,000</w:t>
      </w:r>
    </w:p>
    <w:p>
      <w:r>
        <w:br w:type="page"/>
      </w:r>
    </w:p>
    <w:p>
      <w:pPr>
        <w:pStyle w:val="Heading1"/>
      </w:pPr>
      <w:r>
        <w:t xml:space="preserve">6. PORÓWNANIE ALTERNATYW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Kryterium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Kilocode Fork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GitHub Copilot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AWS CodeWhisperer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Build In-House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Koszt (3 lata)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€387k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€113k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€90k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❌ €800k+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Bezpieczeństwo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7/10 (hardened)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9/10 (SOC2, ISO)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9/10 (AWS IAM)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10/10 (full control)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RODO/NIS2 Compliance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6/10 (requires opinion)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9/10 (DPA + cert)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8/10 (AWS GDPR)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10/10 (by design)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Wsparcie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Internal (no SLA)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24/7 MS + SLA 99.9%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Premium Support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Internal (full control)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Funkcjonalność AI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9/10 (Claude 4, GPT-5)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8/10 (GPT-4 based)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7/10 (CodeWhisperer)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Depends (custom)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Customizacja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10/10 (full source)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4/10 (limited)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5/10 (AWS ecosystem)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10/10 (unlimited)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Vendor Lock-in Risk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LOW (open-source)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❌ HIGH (Microsoft)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 (AWS only)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Time to Deploy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4-6 miesięcy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2 tygodnie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2"/>
                <w:szCs w:val="22"/>
              </w:rPr>
              <w:t xml:space="preserve">✅ 1 tydzień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12+ miesięcy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REKOMENDACJA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Dev/Test only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✅ BEST for Prod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Good for AWS shops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❌ Too expensive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KLUCZOWE REKOMENDACJE DLA ZARZĄDU</w:t>
      </w:r>
    </w:p>
    <w:p>
      <w:pPr>
        <w:pStyle w:val="Heading2"/>
      </w:pPr>
      <w:r>
        <w:t xml:space="preserve">7.1 Start with Limited Pilot (Scenariusz C)</w:t>
      </w:r>
    </w:p>
    <w:p>
      <w:pPr>
        <w:spacing w:after="240"/>
      </w:pPr>
      <w:r>
        <w:rPr>
          <w:rFonts w:ascii="Arial" w:cs="Arial" w:eastAsia="Arial" w:hAnsi="Arial"/>
        </w:rPr>
        <w:t xml:space="preserve">Rozpocząć od 6-miesięcznego pilotażu z 10 deweloperami w izolowanym środowisku testowym (koszt: €16,000). Cel: walidacja rzeczywistej wartości biznesowej przed większymi inwestycjami.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Uzasadnienie:</w:t>
      </w:r>
    </w:p>
    <w:p>
      <w:pPr>
        <w:pStyle w:val="ListParagraph"/>
        <w:numPr>
          <w:ilvl w:val="0"/>
          <w:numId w:val="2"/>
        </w:numPr>
      </w:pPr>
      <w:r>
        <w:t xml:space="preserve">Niskie ryzyko finansowe i prawne</w:t>
      </w:r>
    </w:p>
    <w:p>
      <w:pPr>
        <w:pStyle w:val="ListParagraph"/>
        <w:numPr>
          <w:ilvl w:val="0"/>
          <w:numId w:val="2"/>
        </w:numPr>
      </w:pPr>
      <w:r>
        <w:t xml:space="preserve">Pozwala ocenić realny wzrost produktywności (target: 15-25%)</w:t>
      </w:r>
    </w:p>
    <w:p>
      <w:pPr>
        <w:pStyle w:val="ListParagraph"/>
        <w:numPr>
          <w:ilvl w:val="0"/>
          <w:numId w:val="2"/>
        </w:numPr>
      </w:pPr>
      <w:r>
        <w:t xml:space="preserve">Unikamy przedwczesnej inwestycji w infrastrukturę</w:t>
      </w:r>
    </w:p>
    <w:p>
      <w:pPr>
        <w:pStyle w:val="ListParagraph"/>
        <w:numPr>
          <w:ilvl w:val="0"/>
          <w:numId w:val="2"/>
        </w:numPr>
      </w:pPr>
      <w:r>
        <w:t xml:space="preserve">Decyzja go/no-go po 6 miesiącach z danymi empirycznymi</w:t>
      </w:r>
    </w:p>
    <w:p>
      <w:pPr>
        <w:pStyle w:val="Heading2"/>
        <w:spacing w:before="480"/>
      </w:pPr>
      <w:r>
        <w:t xml:space="preserve">7.2 If Pilot Succeeds → Deploy Scenariusz B</w:t>
      </w:r>
    </w:p>
    <w:p>
      <w:pPr>
        <w:spacing w:after="240"/>
      </w:pPr>
      <w:r>
        <w:rPr>
          <w:rFonts w:ascii="Arial" w:cs="Arial" w:eastAsia="Arial" w:hAnsi="Arial"/>
        </w:rPr>
        <w:t xml:space="preserve">Jeśli pilotaż wykaże &gt;15% wzrost produktywności, przejść do Security-Hardened Fork (Scenariusz B) dla 50 deweloperów w środowiskach dev/test. NIE wdrażać w produkcji do czasu uzyskania:</w:t>
      </w:r>
    </w:p>
    <w:p>
      <w:pPr>
        <w:pStyle w:val="ListParagraph"/>
        <w:numPr>
          <w:ilvl w:val="0"/>
          <w:numId w:val="3"/>
        </w:numPr>
      </w:pPr>
      <w:r>
        <w:t xml:space="preserve">Positive legal opinion na zgodność z RODO/NIS2</w:t>
      </w:r>
    </w:p>
    <w:p>
      <w:pPr>
        <w:pStyle w:val="ListParagraph"/>
        <w:numPr>
          <w:ilvl w:val="0"/>
          <w:numId w:val="3"/>
        </w:numPr>
      </w:pPr>
      <w:r>
        <w:t xml:space="preserve">Clean penetration test report (zero critical/high findings)</w:t>
      </w:r>
    </w:p>
    <w:p>
      <w:pPr>
        <w:pStyle w:val="ListParagraph"/>
        <w:numPr>
          <w:ilvl w:val="0"/>
          <w:numId w:val="3"/>
        </w:numPr>
      </w:pPr>
      <w:r>
        <w:t xml:space="preserve">ISO 27001 internal certification lub równoważne</w:t>
      </w:r>
    </w:p>
    <w:p>
      <w:pPr>
        <w:spacing w:before="240" w:after="120"/>
      </w:pPr>
      <w:r>
        <w:rPr>
          <w:rFonts w:ascii="Arial" w:cs="Arial" w:eastAsia="Arial" w:hAnsi="Arial"/>
          <w:b/>
          <w:bCs/>
        </w:rPr>
        <w:t xml:space="preserve">Uzasadnienie:</w:t>
      </w:r>
    </w:p>
    <w:p>
      <w:pPr>
        <w:pStyle w:val="ListParagraph"/>
        <w:numPr>
          <w:ilvl w:val="0"/>
          <w:numId w:val="2"/>
        </w:numPr>
      </w:pPr>
      <w:r>
        <w:t xml:space="preserve">Pozytywny ROI (€183k net benefit w 3 lata)</w:t>
      </w:r>
    </w:p>
    <w:p>
      <w:pPr>
        <w:pStyle w:val="ListParagraph"/>
        <w:numPr>
          <w:ilvl w:val="0"/>
          <w:numId w:val="2"/>
        </w:numPr>
      </w:pPr>
      <w:r>
        <w:t xml:space="preserve">Znacząca redukcja ryzyka dzięki self-hosted LiteLLM + DLP</w:t>
      </w:r>
    </w:p>
    <w:p>
      <w:pPr>
        <w:pStyle w:val="ListParagraph"/>
        <w:numPr>
          <w:ilvl w:val="0"/>
          <w:numId w:val="2"/>
        </w:numPr>
      </w:pPr>
      <w:r>
        <w:t xml:space="preserve">Zachowanie elastyczności (open-source fork)</w:t>
      </w:r>
    </w:p>
    <w:p>
      <w:pPr>
        <w:pStyle w:val="ListParagraph"/>
        <w:numPr>
          <w:ilvl w:val="0"/>
          <w:numId w:val="2"/>
        </w:numPr>
      </w:pPr>
      <w:r>
        <w:t xml:space="preserve">Akceptowalne dla środowisk non-production</w:t>
      </w:r>
    </w:p>
    <w:p>
      <w:pPr>
        <w:pStyle w:val="Heading2"/>
        <w:spacing w:before="480"/>
      </w:pPr>
      <w:r>
        <w:t xml:space="preserve">7.3 Consider GitHub Copilot Enterprise for Production</w:t>
      </w:r>
    </w:p>
    <w:p>
      <w:pPr>
        <w:spacing w:after="240"/>
      </w:pPr>
      <w:r>
        <w:rPr>
          <w:rFonts w:ascii="Arial" w:cs="Arial" w:eastAsia="Arial" w:hAnsi="Arial"/>
        </w:rPr>
        <w:t xml:space="preserve">Dla środowisk produkcyjnych rozważyć GitHub Copilot Enterprise (€113k/3 lata) jako alternatywę z pełnym compliance i wsparciem enterprise. Niższy TCO i zero ryzyka prawnego.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Uzasadnienie:</w:t>
      </w:r>
    </w:p>
    <w:p>
      <w:pPr>
        <w:pStyle w:val="ListParagraph"/>
        <w:numPr>
          <w:ilvl w:val="0"/>
          <w:numId w:val="2"/>
        </w:numPr>
      </w:pPr>
      <w:r>
        <w:t xml:space="preserve">Out-of-the-box GDPR/NIS2 compliance (DPA + certyfikacje)</w:t>
      </w:r>
    </w:p>
    <w:p>
      <w:pPr>
        <w:pStyle w:val="ListParagraph"/>
        <w:numPr>
          <w:ilvl w:val="0"/>
          <w:numId w:val="2"/>
        </w:numPr>
      </w:pPr>
      <w:r>
        <w:t xml:space="preserve">SLA 99.9% + 24/7 Microsoft support</w:t>
      </w:r>
    </w:p>
    <w:p>
      <w:pPr>
        <w:pStyle w:val="ListParagraph"/>
        <w:numPr>
          <w:ilvl w:val="0"/>
          <w:numId w:val="2"/>
        </w:numPr>
      </w:pPr>
      <w:r>
        <w:t xml:space="preserve">Szybkie wdrożenie (2 tygodnie vs 4-6 miesięcy)</w:t>
      </w:r>
    </w:p>
    <w:p>
      <w:pPr>
        <w:pStyle w:val="ListParagraph"/>
        <w:numPr>
          <w:ilvl w:val="0"/>
          <w:numId w:val="2"/>
        </w:numPr>
      </w:pPr>
      <w:r>
        <w:t xml:space="preserve">Niższy całkowity koszt (€113k vs €387k)</w:t>
      </w:r>
    </w:p>
    <w:p>
      <w:pPr>
        <w:pStyle w:val="Heading2"/>
        <w:spacing w:before="480"/>
      </w:pPr>
      <w:r>
        <w:t xml:space="preserve">7.4 Establish AI Coding Governance Committee</w:t>
      </w:r>
    </w:p>
    <w:p>
      <w:pPr>
        <w:spacing w:after="240"/>
      </w:pPr>
      <w:r>
        <w:rPr>
          <w:rFonts w:ascii="Arial" w:cs="Arial" w:eastAsia="Arial" w:hAnsi="Arial"/>
        </w:rPr>
        <w:t xml:space="preserve">Powołać komitet złożony z przedstawicieli: Security, Legal/Compliance, Engineering, Architecture.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Zadania:</w:t>
      </w:r>
    </w:p>
    <w:p>
      <w:pPr>
        <w:pStyle w:val="ListParagraph"/>
        <w:numPr>
          <w:ilvl w:val="0"/>
          <w:numId w:val="2"/>
        </w:numPr>
      </w:pPr>
      <w:r>
        <w:t xml:space="preserve">Zatwierdzanie wszystkich MCP servers przed deployment</w:t>
      </w:r>
    </w:p>
    <w:p>
      <w:pPr>
        <w:pStyle w:val="ListParagraph"/>
        <w:numPr>
          <w:ilvl w:val="0"/>
          <w:numId w:val="2"/>
        </w:numPr>
      </w:pPr>
      <w:r>
        <w:t xml:space="preserve">Monitorowanie compliance z RODO/NIS2 (quarterly audits)</w:t>
      </w:r>
    </w:p>
    <w:p>
      <w:pPr>
        <w:pStyle w:val="ListParagraph"/>
        <w:numPr>
          <w:ilvl w:val="0"/>
          <w:numId w:val="2"/>
        </w:numPr>
      </w:pPr>
      <w:r>
        <w:t xml:space="preserve">Review AI-generated code quality metrics</w:t>
      </w:r>
    </w:p>
    <w:p>
      <w:pPr>
        <w:pStyle w:val="ListParagraph"/>
        <w:numPr>
          <w:ilvl w:val="0"/>
          <w:numId w:val="2"/>
        </w:numPr>
      </w:pPr>
      <w:r>
        <w:t xml:space="preserve">Update polityk bezpieczeństwa w odpowiedzi na nowe zagrożenia</w:t>
      </w:r>
    </w:p>
    <w:p>
      <w:pPr>
        <w:pStyle w:val="Heading2"/>
        <w:spacing w:before="480"/>
      </w:pPr>
      <w:r>
        <w:t xml:space="preserve">7.5 Plan for Continuous Monitoring &amp; Improvement</w:t>
      </w:r>
    </w:p>
    <w:p>
      <w:pPr>
        <w:spacing w:after="240"/>
      </w:pPr>
      <w:r>
        <w:rPr>
          <w:rFonts w:ascii="Arial" w:cs="Arial" w:eastAsia="Arial" w:hAnsi="Arial"/>
        </w:rPr>
        <w:t xml:space="preserve">Niezależnie od wybranego scenariusza, ustanowić ciągły monitoring:</w:t>
      </w:r>
    </w:p>
    <w:p>
      <w:pPr>
        <w:pStyle w:val="ListParagraph"/>
        <w:numPr>
          <w:ilvl w:val="0"/>
          <w:numId w:val="2"/>
        </w:numPr>
      </w:pPr>
      <w:r>
        <w:t xml:space="preserve">KPI produktywności: Pull request velocity, code review time, bug density</w:t>
      </w:r>
    </w:p>
    <w:p>
      <w:pPr>
        <w:pStyle w:val="ListParagraph"/>
        <w:numPr>
          <w:ilvl w:val="0"/>
          <w:numId w:val="2"/>
        </w:numPr>
      </w:pPr>
      <w:r>
        <w:t xml:space="preserve">KPI bezpieczeństwa: Data exfiltration attempts, MCP violations, failed auth</w:t>
      </w:r>
    </w:p>
    <w:p>
      <w:pPr>
        <w:pStyle w:val="ListParagraph"/>
        <w:numPr>
          <w:ilvl w:val="0"/>
          <w:numId w:val="2"/>
        </w:numPr>
      </w:pPr>
      <w:r>
        <w:t xml:space="preserve">KPI compliance: RODO/NIS2 violations, DPA breaches, audit findings</w:t>
      </w:r>
    </w:p>
    <w:p>
      <w:pPr>
        <w:pStyle w:val="ListParagraph"/>
        <w:numPr>
          <w:ilvl w:val="0"/>
          <w:numId w:val="2"/>
        </w:numPr>
      </w:pPr>
      <w:r>
        <w:t xml:space="preserve">Quarterly review z możliwością pivot do alternatywnych rozwiązań</w:t>
      </w:r>
    </w:p>
    <w:p>
      <w:r>
        <w:br w:type="page"/>
      </w:r>
    </w:p>
    <w:p>
      <w:pPr>
        <w:pStyle w:val="Heading1"/>
      </w:pPr>
      <w:r>
        <w:t xml:space="preserve">8. KONKLUZJA FINALNA</w:t>
      </w:r>
    </w:p>
    <w:p>
      <w:pPr>
        <w:spacing w:after="360"/>
      </w:pPr>
      <w:r>
        <w:rPr>
          <w:rFonts w:ascii="Arial" w:cs="Arial" w:eastAsia="Arial" w:hAnsi="Arial"/>
        </w:rPr>
        <w:t xml:space="preserve">Kilocode oferuje zaawansowaną funkcjonalność AI (Claude 4, GPT-5) i atrakcyjny ROI, ale wymaga znaczących inwestycji w zabezpieczenia bezpieczeństwa i compliance. Rekomendujemy podejście stopniowe:</w:t>
      </w:r>
    </w:p>
    <w:p>
      <w:pPr>
        <w:spacing w:after="180"/>
      </w:pPr>
      <w:r>
        <w:rPr>
          <w:rFonts w:ascii="Arial" w:cs="Arial" w:eastAsia="Arial" w:hAnsi="Arial"/>
          <w:b/>
          <w:bCs/>
        </w:rPr>
        <w:t xml:space="preserve">Faza 1 (6 miesięcy): </w:t>
      </w:r>
      <w:r>
        <w:rPr>
          <w:rFonts w:ascii="Arial" w:cs="Arial" w:eastAsia="Arial" w:hAnsi="Arial"/>
        </w:rPr>
        <w:t xml:space="preserve">Limited Pilot → Walidacja wartości</w:t>
      </w:r>
    </w:p>
    <w:p>
      <w:pPr>
        <w:spacing w:after="180"/>
      </w:pPr>
      <w:r>
        <w:rPr>
          <w:rFonts w:ascii="Arial" w:cs="Arial" w:eastAsia="Arial" w:hAnsi="Arial"/>
          <w:b/>
          <w:bCs/>
        </w:rPr>
        <w:t xml:space="preserve">Faza 2 (12 miesięcy): </w:t>
      </w:r>
      <w:r>
        <w:rPr>
          <w:rFonts w:ascii="Arial" w:cs="Arial" w:eastAsia="Arial" w:hAnsi="Arial"/>
        </w:rPr>
        <w:t xml:space="preserve">Security-Hardened Fork → Dev/Test deployment</w:t>
      </w:r>
    </w:p>
    <w:p>
      <w:pPr>
        <w:spacing w:after="360"/>
      </w:pPr>
      <w:r>
        <w:rPr>
          <w:rFonts w:ascii="Arial" w:cs="Arial" w:eastAsia="Arial" w:hAnsi="Arial"/>
          <w:b/>
          <w:bCs/>
        </w:rPr>
        <w:t xml:space="preserve">Faza 3 (w przyszłości): </w:t>
      </w:r>
      <w:r>
        <w:rPr>
          <w:rFonts w:ascii="Arial" w:cs="Arial" w:eastAsia="Arial" w:hAnsi="Arial"/>
        </w:rPr>
        <w:t xml:space="preserve">Decyzja prod deployment LUB pivot do GitHub Copilot</w:t>
      </w:r>
    </w:p>
    <w:p>
      <w:pPr>
        <w:spacing w:after="480"/>
      </w:pPr>
      <w:r>
        <w:rPr>
          <w:rFonts w:ascii="Arial" w:cs="Arial" w:eastAsia="Arial" w:hAnsi="Arial"/>
          <w:b/>
          <w:bCs/>
        </w:rPr>
        <w:t xml:space="preserve">To podejście minimalizuje ryzyko przy zachowaniu potencjału na znaczące korzyści biznesowe.</w:t>
      </w:r>
    </w:p>
    <w:p>
      <w:pPr>
        <w:pStyle w:val="Heading1"/>
      </w:pPr>
      <w:r>
        <w:t xml:space="preserve">9. ZAŁĄCZNIKI</w:t>
      </w:r>
    </w:p>
    <w:p>
      <w:pPr>
        <w:pStyle w:val="Heading2"/>
      </w:pPr>
      <w:r>
        <w:t xml:space="preserve">9.1 Słowniczek Terminów Technicznych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MCP (Model Context Protocol): </w:t>
      </w:r>
      <w:r>
        <w:rPr>
          <w:rFonts w:ascii="Arial" w:cs="Arial" w:eastAsia="Arial" w:hAnsi="Arial"/>
        </w:rPr>
        <w:t xml:space="preserve">Protokół pozwalający LLM na interakcję z zewnętrznymi narzędziami i systemami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LiteLLM: </w:t>
      </w:r>
      <w:r>
        <w:rPr>
          <w:rFonts w:ascii="Arial" w:cs="Arial" w:eastAsia="Arial" w:hAnsi="Arial"/>
        </w:rPr>
        <w:t xml:space="preserve">Proxy server do standaryzacji dostępu do różnych LLM providers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DLP (Data Loss Prevention): </w:t>
      </w:r>
      <w:r>
        <w:rPr>
          <w:rFonts w:ascii="Arial" w:cs="Arial" w:eastAsia="Arial" w:hAnsi="Arial"/>
        </w:rPr>
        <w:t xml:space="preserve">System zapobiegający wyciekom danych wrażliwych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RODO: </w:t>
      </w:r>
      <w:r>
        <w:rPr>
          <w:rFonts w:ascii="Arial" w:cs="Arial" w:eastAsia="Arial" w:hAnsi="Arial"/>
        </w:rPr>
        <w:t xml:space="preserve">Rozporządzenie o Ochronie Danych Osobowych (GDPR)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NIS2: </w:t>
      </w:r>
      <w:r>
        <w:rPr>
          <w:rFonts w:ascii="Arial" w:cs="Arial" w:eastAsia="Arial" w:hAnsi="Arial"/>
        </w:rPr>
        <w:t xml:space="preserve">Dyrektywa UE o cyberbezpieczeństwie dla operatorów usług kluczowych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DPA (Data Processing Agreement): </w:t>
      </w:r>
      <w:r>
        <w:rPr>
          <w:rFonts w:ascii="Arial" w:cs="Arial" w:eastAsia="Arial" w:hAnsi="Arial"/>
        </w:rPr>
        <w:t xml:space="preserve">Umowa o przetwarzaniu danych wymagana przez RODO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SCC (Standard Contractual Clauses): </w:t>
      </w:r>
      <w:r>
        <w:rPr>
          <w:rFonts w:ascii="Arial" w:cs="Arial" w:eastAsia="Arial" w:hAnsi="Arial"/>
        </w:rPr>
        <w:t xml:space="preserve">Standardowe klauzule umowne dla transferu danych poza EU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TCO (Total Cost of Ownership): </w:t>
      </w:r>
      <w:r>
        <w:rPr>
          <w:rFonts w:ascii="Arial" w:cs="Arial" w:eastAsia="Arial" w:hAnsi="Arial"/>
        </w:rPr>
        <w:t xml:space="preserve">Całkowity koszt posiadania (setup + operacyjne)</w:t>
      </w:r>
    </w:p>
    <w:p>
      <w:pPr>
        <w:spacing w:after="360"/>
      </w:pPr>
      <w:r>
        <w:rPr>
          <w:rFonts w:ascii="Arial" w:cs="Arial" w:eastAsia="Arial" w:hAnsi="Arial"/>
          <w:b/>
          <w:bCs/>
        </w:rPr>
        <w:t xml:space="preserve">ROI (Return on Investment): </w:t>
      </w:r>
      <w:r>
        <w:rPr>
          <w:rFonts w:ascii="Arial" w:cs="Arial" w:eastAsia="Arial" w:hAnsi="Arial"/>
        </w:rPr>
        <w:t xml:space="preserve">Zwrot z inwestycji (korzyści minus koszty)</w:t>
      </w:r>
    </w:p>
    <w:p>
      <w:pPr>
        <w:pStyle w:val="Heading2"/>
      </w:pPr>
      <w:r>
        <w:t xml:space="preserve">9.2 Lista Źródeł i Regulacji</w:t>
      </w:r>
    </w:p>
    <w:p>
      <w:pPr>
        <w:pStyle w:val="ListParagraph"/>
        <w:numPr>
          <w:ilvl w:val="0"/>
          <w:numId w:val="2"/>
        </w:numPr>
      </w:pPr>
      <w:r>
        <w:t xml:space="preserve">RODO (Rozporządzenie UE 2016/679)</w:t>
      </w:r>
    </w:p>
    <w:p>
      <w:pPr>
        <w:pStyle w:val="ListParagraph"/>
        <w:numPr>
          <w:ilvl w:val="0"/>
          <w:numId w:val="2"/>
        </w:numPr>
      </w:pPr>
      <w:r>
        <w:t xml:space="preserve">Dyrektywa NIS2 (Dyrektywa UE 2022/2555)</w:t>
      </w:r>
    </w:p>
    <w:p>
      <w:pPr>
        <w:pStyle w:val="ListParagraph"/>
        <w:numPr>
          <w:ilvl w:val="0"/>
          <w:numId w:val="2"/>
        </w:numPr>
      </w:pPr>
      <w:r>
        <w:t xml:space="preserve">ISO 27001:2022 - Information Security Management</w:t>
      </w:r>
    </w:p>
    <w:p>
      <w:pPr>
        <w:pStyle w:val="ListParagraph"/>
        <w:numPr>
          <w:ilvl w:val="0"/>
          <w:numId w:val="2"/>
        </w:numPr>
      </w:pPr>
      <w:r>
        <w:t xml:space="preserve">ETSI TS 103 645 - Cyber Security for Consumer IoT</w:t>
      </w:r>
    </w:p>
    <w:p>
      <w:pPr>
        <w:pStyle w:val="ListParagraph"/>
        <w:numPr>
          <w:ilvl w:val="0"/>
          <w:numId w:val="2"/>
        </w:numPr>
      </w:pPr>
      <w:r>
        <w:t xml:space="preserve">3GPP Security Specifications (TS 33.xxx series)</w:t>
      </w:r>
    </w:p>
    <w:p>
      <w:pPr>
        <w:pStyle w:val="ListParagraph"/>
        <w:numPr>
          <w:ilvl w:val="0"/>
          <w:numId w:val="2"/>
        </w:numPr>
      </w:pPr>
      <w:r>
        <w:t xml:space="preserve">PCI DSS v4.0 - Payment Card Industry Data Security Standard</w:t>
      </w:r>
    </w:p>
    <w:p>
      <w:pPr>
        <w:pStyle w:val="ListParagraph"/>
        <w:numPr>
          <w:ilvl w:val="0"/>
          <w:numId w:val="2"/>
        </w:numPr>
      </w:pPr>
      <w:r>
        <w:t xml:space="preserve">Kilocode GitHub Repository (https://github.com/Kilo-Org/kilocode)</w:t>
      </w:r>
    </w:p>
    <w:p>
      <w:pPr>
        <w:pStyle w:val="ListParagraph"/>
        <w:numPr>
          <w:ilvl w:val="0"/>
          <w:numId w:val="2"/>
        </w:numPr>
      </w:pPr>
      <w:r>
        <w:t xml:space="preserve">Model Context Protocol Specification (Anthropic)</w:t>
      </w:r>
    </w:p>
    <w:p>
      <w:pPr>
        <w:pStyle w:val="Heading2"/>
        <w:spacing w:before="480"/>
      </w:pPr>
      <w:r>
        <w:t xml:space="preserve">9.3 Kontakty do Dalszych Działań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Security Team: </w:t>
      </w:r>
      <w:r>
        <w:rPr>
          <w:rFonts w:ascii="Arial" w:cs="Arial" w:eastAsia="Arial" w:hAnsi="Arial"/>
        </w:rPr>
        <w:t xml:space="preserve">security@telco-operator.eu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Legal/Compliance: </w:t>
      </w:r>
      <w:r>
        <w:rPr>
          <w:rFonts w:ascii="Arial" w:cs="Arial" w:eastAsia="Arial" w:hAnsi="Arial"/>
        </w:rPr>
        <w:t xml:space="preserve">legal@telco-operator.eu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Engineering Lead: </w:t>
      </w:r>
      <w:r>
        <w:rPr>
          <w:rFonts w:ascii="Arial" w:cs="Arial" w:eastAsia="Arial" w:hAnsi="Arial"/>
        </w:rPr>
        <w:t xml:space="preserve">engineering@telco-operator.eu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External Auditor: </w:t>
      </w:r>
      <w:r>
        <w:rPr>
          <w:rFonts w:ascii="Arial" w:cs="Arial" w:eastAsia="Arial" w:hAnsi="Arial"/>
        </w:rPr>
        <w:t xml:space="preserve">SEC Consult (www.sec-consult.com)</w:t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</w:rPr>
        <w:t xml:space="preserve">--- KONIEC RAPORTU ---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Data wygenerowania: 4 listopada 2025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Przygotowane przez: Zespół Analityczny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Raport Wykonawczy Kilocode |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POUFNE - Wyłącznie dla Zarządu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2025-11-04T10:52:08.273Z</dcterms:created>
  <dcterms:modified xsi:type="dcterms:W3CDTF">2025-11-04T10:52:08.273Z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