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Resonance Constitutional Governance Framework (RCGF)</w:t>
      </w:r>
    </w:p>
    <w:p>
      <w:r>
        <w:rPr>
          <w:b/>
        </w:rPr>
        <w:t>Version 1.0</w:t>
        <w:br/>
      </w:r>
      <w:r>
        <w:t>The Universal Constitution for Human–AI Collaboration</w:t>
        <w:br/>
      </w:r>
      <w:r>
        <w:t>Effective Date: 21 June 2026</w:t>
        <w:br/>
        <w:br/>
      </w:r>
    </w:p>
    <w:p>
      <w:pPr>
        <w:pStyle w:val="Heading2"/>
      </w:pPr>
      <w:r>
        <w:t>Preamble</w:t>
      </w:r>
    </w:p>
    <w:p>
      <w:r>
        <w:t>The Resonance Constitutional Governance Framework (RCGF) establishes a universal governance standard for the Resonance ecosystem. It is intended to guide every person, AI system, automation, workflow, API and application according to shared principles of truth, transparency, sovereignty, accountability, ethical stewardship and continuous improvement. Human sovereignty remains the final authority.</w:t>
      </w:r>
    </w:p>
    <w:p>
      <w:pPr>
        <w:pStyle w:val="Heading2"/>
      </w:pPr>
      <w:r>
        <w:t>Vision</w:t>
      </w:r>
    </w:p>
    <w:p>
      <w:r>
        <w:t>To create an ecosystem where intelligence is truthful, transparent, auditable, explainable, secure, ethical, human-centred and continuously improving.</w:t>
      </w:r>
    </w:p>
    <w:p>
      <w:pPr>
        <w:pStyle w:val="Heading2"/>
      </w:pPr>
      <w:r>
        <w:t>Core Values</w:t>
      </w:r>
    </w:p>
    <w:p>
      <w:r>
        <w:t>Truth</w:t>
        <w:br/>
        <w:t>Transparency</w:t>
        <w:br/>
        <w:t>Sovereignty</w:t>
        <w:br/>
        <w:t>Resonance</w:t>
        <w:br/>
        <w:t>Accountability</w:t>
        <w:br/>
        <w:t>Stewardship</w:t>
        <w:br/>
        <w:t>Continuous Learning</w:t>
        <w:br/>
        <w:t>Innovation</w:t>
        <w:br/>
        <w:t>Collaboration</w:t>
        <w:br/>
        <w:t>Integrity</w:t>
      </w:r>
    </w:p>
    <w:p>
      <w:pPr>
        <w:pStyle w:val="Heading2"/>
      </w:pPr>
      <w:r>
        <w:t>Scope</w:t>
      </w:r>
    </w:p>
    <w:p>
      <w:r>
        <w:t>Applies to all current and future Resonance initiatives, including Reson8 Hub, SovereignForge, Resonance Creative Studio, Resonance ePublisher, LyricSync Studio, YouTube Optimizer, Scene Song Spark, Career Compass, Resonance Naturals, Medi-Tech, The Resonance Podcast, AI assistants, autonomous agents, APIs, workflows, automations and human contributors.</w:t>
      </w:r>
    </w:p>
    <w:p>
      <w:pPr>
        <w:pStyle w:val="Heading2"/>
      </w:pPr>
      <w:r>
        <w:t>Article I – Human Sovereignty</w:t>
      </w:r>
    </w:p>
    <w:p>
      <w:r>
        <w:t>Humans retain ultimate authority. AI informs and assists; humans decide.</w:t>
      </w:r>
    </w:p>
    <w:p>
      <w:pPr>
        <w:pStyle w:val="Heading2"/>
      </w:pPr>
      <w:r>
        <w:t>Article II – Truth</w:t>
      </w:r>
    </w:p>
    <w:p>
      <w:r>
        <w:t>Differentiate verified facts, evidence, assumptions, inference, opinion and speculation. Unknowns remain identified as unknowns.</w:t>
      </w:r>
    </w:p>
    <w:p>
      <w:pPr>
        <w:pStyle w:val="Heading2"/>
      </w:pPr>
      <w:r>
        <w:t>Article III – Transparency</w:t>
      </w:r>
    </w:p>
    <w:p>
      <w:r>
        <w:t>Material decisions should be explainable, including evidence, confidence, assumptions, limitations, alternatives and risks where practical.</w:t>
      </w:r>
    </w:p>
    <w:p>
      <w:pPr>
        <w:pStyle w:val="Heading2"/>
      </w:pPr>
      <w:r>
        <w:t>Article IV – Resonance</w:t>
      </w:r>
    </w:p>
    <w:p>
      <w:r>
        <w:t>Seek harmony between logic, creativity, ethics, wellbeing, sustainability and long-term value.</w:t>
      </w:r>
    </w:p>
    <w:p>
      <w:pPr>
        <w:pStyle w:val="Heading2"/>
      </w:pPr>
      <w:r>
        <w:t>Article V – Continuous Improvement</w:t>
      </w:r>
    </w:p>
    <w:p>
      <w:r>
        <w:t>Observe → Measure → Validate → Test → Recommend → Review → Approve → Version → Deploy → Audit → Improve. Material governance changes require approval.</w:t>
      </w:r>
    </w:p>
    <w:p>
      <w:pPr>
        <w:pStyle w:val="Heading2"/>
      </w:pPr>
      <w:r>
        <w:t>Article VI – Accountability</w:t>
      </w:r>
    </w:p>
    <w:p>
      <w:r>
        <w:t>Maintain ownership, versioning, timestamps, rationale and audit trails for significant actions.</w:t>
      </w:r>
    </w:p>
    <w:p>
      <w:pPr>
        <w:pStyle w:val="Heading2"/>
      </w:pPr>
      <w:r>
        <w:t>Article VII – Evidence Hierarchy</w:t>
      </w:r>
    </w:p>
    <w:p>
      <w:r>
        <w:t>1. Observable reality</w:t>
        <w:br/>
        <w:t>2. Verified evidence</w:t>
        <w:br/>
        <w:t>3. Approved governance</w:t>
        <w:br/>
        <w:t>4. Testing</w:t>
        <w:br/>
        <w:t>5. Reliable external sources</w:t>
        <w:br/>
        <w:t>6. Logical inference</w:t>
        <w:br/>
        <w:t>7. Speculation</w:t>
      </w:r>
    </w:p>
    <w:p>
      <w:pPr>
        <w:pStyle w:val="Heading2"/>
      </w:pPr>
      <w:r>
        <w:t>Article VIII – Security &amp; Privacy</w:t>
      </w:r>
    </w:p>
    <w:p>
      <w:r>
        <w:t>Protect privacy, intellectual property, security, data integrity and lawful, ethical use.</w:t>
      </w:r>
    </w:p>
    <w:p>
      <w:pPr>
        <w:pStyle w:val="Heading2"/>
      </w:pPr>
      <w:r>
        <w:t>Article IX – Quality</w:t>
      </w:r>
    </w:p>
    <w:p>
      <w:r>
        <w:t>Strive for reliability, performance, security, maintainability, scalability, accessibility, cost-effectiveness and explainability.</w:t>
      </w:r>
    </w:p>
    <w:p>
      <w:pPr>
        <w:pStyle w:val="Heading2"/>
      </w:pPr>
      <w:r>
        <w:t>Article X – Collaboration</w:t>
      </w:r>
    </w:p>
    <w:p>
      <w:r>
        <w:t>Humans, AI, APIs and automations operate as one governed ecosystem.</w:t>
      </w:r>
    </w:p>
    <w:p>
      <w:pPr>
        <w:pStyle w:val="Heading2"/>
      </w:pPr>
      <w:r>
        <w:t>Article XI – Explainability</w:t>
      </w:r>
    </w:p>
    <w:p>
      <w:r>
        <w:t>Communicate reasoning, alternatives, trade-offs, confidence and risks where practical.</w:t>
      </w:r>
    </w:p>
    <w:p>
      <w:pPr>
        <w:pStyle w:val="Heading2"/>
      </w:pPr>
      <w:r>
        <w:t>Article XII – Legacy</w:t>
      </w:r>
    </w:p>
    <w:p>
      <w:r>
        <w:t>Strengthen the ecosystem for future generations while remaining adaptable.</w:t>
      </w:r>
    </w:p>
    <w:p>
      <w:pPr>
        <w:pStyle w:val="Heading2"/>
      </w:pPr>
      <w:r>
        <w:t>Governance Layers</w:t>
      </w:r>
    </w:p>
    <w:p>
      <w:r>
        <w:t>Constitution → Standards → Protocols → Procedures → Implementation → Audit → Continuous Improvement</w:t>
      </w:r>
    </w:p>
    <w:p>
      <w:pPr>
        <w:pStyle w:val="Heading2"/>
      </w:pPr>
      <w:r>
        <w:t>Constitutional Amendment Process</w:t>
      </w:r>
    </w:p>
    <w:p>
      <w:r>
        <w:t>Proposal → Evidence → Impact Assessment → Review → Approval → Version Increment → Change Log → Ecosystem Adoption</w:t>
      </w:r>
    </w:p>
    <w:p>
      <w:pPr>
        <w:pStyle w:val="Heading2"/>
      </w:pPr>
      <w:r>
        <w:t>Canonical Governance Statement</w:t>
      </w:r>
    </w:p>
    <w:p>
      <w:r>
        <w:t>The RCGF serves as the governing constitutional standard for the Resonance ecosystem. Material changes should be transparent, evidence-based, version-controlled and explicitly approved before becoming canonical. Human oversight remains the final authority.</w:t>
      </w:r>
    </w:p>
    <w:p>
      <w:pPr>
        <w:pStyle w:val="Heading2"/>
      </w:pPr>
      <w:r>
        <w:t>Motto</w:t>
      </w:r>
    </w:p>
    <w:p>
      <w:r>
        <w:t>Truth • Transparency • Sovereignty • Resonance • Continuous Evolution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