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EJERCICIO REPASO CONCEPTOS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desea desarrollar un programa en Python que permita repasar los principales conceptos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funciones, ámbito de variables, parámetros por valor y por referencia, validaciones,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y manejo de estructuras de datos como listas y arreglos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programa debe mostrar un menú con las siguientes opciones: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Llamar a una función que reciba tres valores y muestre su suma.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Promedio: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Calcular y devolver el promedio de tres valores recibidos como parámetros.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Multiplicación y División: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Crear una función que reciba dos valores, calcule su producto y su cociente, controlando la división por cero mediante validaciones.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Carga de Arreglo: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Permitir al usuario ingresar valores numéricos para completar un arreglo de 4 elementos.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Carga de Lista: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Permitir al usuario ingresar valores numéricos para completar una lista de 4 elementos.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Mostrar Elementos: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Visualizar en pantalla los elementos cargados en el arreglo y en la lista, separados por un delimitador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Salir: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Finalizar la ejecución del programa.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🔹 El menú debe validar que la opción ingresada esté dentro del rango (1 a 7), utilizando las sentencias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manejar errores y repetir las solicitudes en caso de datos inválidos.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🔹 El programa debe trabajar tanto con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variables locales y globales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como con parámetros pasados por valor y por referencia, para mostrar claramente la diferencia entre estos conceptos.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🔹 La implementación debe contemplar el uso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cada tarea y promover la reutilización de código.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