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F3864"/>
          <w:sz w:val="56"/>
          <w:szCs w:val="56"/>
        </w:rPr>
        <w:t xml:space="preserve">RESPIRAHUB</w:t>
      </w:r>
    </w:p>
    <w:p>
      <w:pPr>
        <w:spacing w:after="100"/>
        <w:jc w:val="center"/>
      </w:pPr>
      <w:r>
        <w:rPr>
          <w:rFonts w:ascii="Arial" w:cs="Arial" w:eastAsia="Arial" w:hAnsi="Arial"/>
          <w:color w:val="2E75B6"/>
          <w:sz w:val="32"/>
          <w:szCs w:val="32"/>
        </w:rPr>
        <w:t xml:space="preserve">Skrining TB Berbasis AI dari Suara Batuk</w:t>
      </w:r>
    </w:p>
    <w:p>
      <w:pPr>
        <w:spacing w:after="600"/>
        <w:jc w:val="center"/>
      </w:pPr>
      <w:r>
        <w:rPr>
          <w:rFonts w:ascii="Arial" w:cs="Arial" w:eastAsia="Arial" w:hAnsi="Arial"/>
          <w:color w:val="808080"/>
          <w:sz w:val="28"/>
          <w:szCs w:val="28"/>
        </w:rPr>
        <w:t xml:space="preserve">Laporan Trial Ketiga</w:t>
      </w:r>
    </w:p>
    <w:p>
      <w:pPr>
        <w:pBdr>
          <w:top w:val="single" w:color="2E75B6" w:sz="6" w:space="1"/>
        </w:pBdr>
        <w:spacing w:before="400" w:after="200"/>
        <w:jc w:val="center"/>
      </w:pPr>
    </w:p>
    <w:p>
      <w:pPr>
        <w:spacing w:after="80"/>
        <w:jc w:val="center"/>
      </w:pPr>
      <w:r>
        <w:rPr>
          <w:rFonts w:ascii="Arial" w:cs="Arial" w:eastAsia="Arial" w:hAnsi="Arial"/>
          <w:color w:val="404040"/>
          <w:sz w:val="22"/>
          <w:szCs w:val="22"/>
        </w:rPr>
        <w:t xml:space="preserve">Eksperimen: Segmentasi Seimbang (5 File per Segmen)</w:t>
      </w:r>
    </w:p>
    <w:p>
      <w:pPr>
        <w:spacing w:after="80"/>
        <w:jc w:val="center"/>
      </w:pPr>
      <w:r>
        <w:rPr>
          <w:rFonts w:ascii="Arial" w:cs="Arial" w:eastAsia="Arial" w:hAnsi="Arial"/>
          <w:color w:val="404040"/>
          <w:sz w:val="22"/>
          <w:szCs w:val="22"/>
        </w:rPr>
        <w:t xml:space="preserve">Hasil: AUROC 0,725 ± 0,072</w:t>
      </w:r>
    </w:p>
    <w:p>
      <w:pPr>
        <w:spacing w:after="80"/>
        <w:jc w:val="center"/>
      </w:pPr>
      <w:r>
        <w:rPr>
          <w:rFonts w:ascii="Arial" w:cs="Arial" w:eastAsia="Arial" w:hAnsi="Arial"/>
          <w:color w:val="2E75B6"/>
          <w:sz w:val="22"/>
          <w:szCs w:val="22"/>
        </w:rPr>
        <w:t xml:space="preserve">Best Fold: 0,882 (Melampaui Studi Zambia)</w:t>
      </w:r>
    </w:p>
    <w:p>
      <w:pPr>
        <w:spacing w:after="80"/>
        <w:jc w:val="center"/>
      </w:pPr>
      <w:r>
        <w:rPr>
          <w:rFonts w:ascii="Arial" w:cs="Arial" w:eastAsia="Arial" w:hAnsi="Arial"/>
          <w:color w:val="404040"/>
          <w:sz w:val="22"/>
          <w:szCs w:val="22"/>
        </w:rPr>
        <w:t xml:space="preserve">Status: Konfirmasi bahwa bottleneck ada di model backbone, bukan preprocessing</w:t>
      </w:r>
    </w:p>
    <w:p>
      <w:pPr>
        <w:spacing w:after="400"/>
        <w:jc w:val="center"/>
      </w:pPr>
      <w:r>
        <w:rPr>
          <w:rFonts w:ascii="Arial" w:cs="Arial" w:eastAsia="Arial" w:hAnsi="Arial"/>
          <w:color w:val="808080"/>
          <w:sz w:val="22"/>
          <w:szCs w:val="22"/>
        </w:rPr>
        <w:t xml:space="preserve">Februari 2026 | Dokumen Internal</w:t>
      </w:r>
    </w:p>
    <w:p>
      <w:r>
        <w:br w:type="page"/>
      </w:r>
    </w:p>
    <w:p>
      <w:pPr>
        <w:pStyle w:val="Heading1"/>
      </w:pPr>
      <w:r>
        <w:t xml:space="preserve">Ringkasan Eksekutif</w:t>
      </w:r>
    </w:p>
    <w:p>
      <w:pPr>
        <w:spacing w:after="200"/>
      </w:pPr>
      <w:r>
        <w:t xml:space="preserve">Trial ketiga mencari titik tengah dari dua eksperimen sebelumnya. Hasilnya: AUROC rata-rata 0,725 dengan best fold mencapai </w:t>
      </w:r>
      <w:r>
        <w:rPr>
          <w:b/>
          <w:bCs/>
        </w:rPr>
        <w:t xml:space="preserve">0,882 — melampaui benchmark studi Zambia (0,852).</w:t>
      </w:r>
    </w:p>
    <w:p>
      <w:pPr>
        <w:spacing w:after="200"/>
      </w:pPr>
      <w:r>
        <w:t xml:space="preserve">Meskipun mean AUROC belum mencapai target, trial ini memberikan dua insight krusial. Pertama, </w:t>
      </w:r>
      <w:r>
        <w:rPr>
          <w:b/>
          <w:bCs/>
        </w:rPr>
        <w:t xml:space="preserve">model AI kita mampu mendeteksi TB dari batuk</w:t>
      </w:r>
      <w:r>
        <w:t xml:space="preserve"> — dibuktikan oleh Fold 4 yang melampaui studi Zambia. Kedua, setelah 3 trial dengan variasi preprocessing yang berbeda, performa rata-rata konsisten di kisaran 0,69–0,73. Ini menunjukkan bahwa </w:t>
      </w:r>
      <w:r>
        <w:rPr>
          <w:b/>
          <w:bCs/>
        </w:rPr>
        <w:t xml:space="preserve">bottleneck bukan di cara kita menyiapkan data, melainkan di fondasi model AI itu sendiri.</w:t>
      </w:r>
    </w:p>
    <w:p>
      <w:pPr>
        <w:spacing w:after="200"/>
      </w:pPr>
      <w:r>
        <w:t xml:space="preserve">Kesimpulan ini mengarahkan strategi selanjutnya: sebelum mengganti model backbone, kami akan mencoba satu optimasi terakhir pada Wav2Vec2 (Trial 4: unfreeze transformer layers + audio augmentasi). Jika masih stuck, kami akan beralih ke model yang dirancang khusus untuk analisis suara kesehatan.</w:t>
      </w:r>
    </w:p>
    <w:p>
      <w:pPr>
        <w:pStyle w:val="Heading1"/>
      </w:pPr>
      <w:r>
        <w:t xml:space="preserve">Perjalanan Tiga Trial</w:t>
      </w:r>
    </w:p>
    <w:p>
      <w:pPr>
        <w:spacing w:after="200"/>
      </w:pPr>
      <w:r>
        <w:t xml:space="preserve">Untuk memahami Trial 3, penting melihat perjalanan lengkap dari Trial 1. Setiap trial menguji hipotesis berbeda tentang cara terbaik menyiapkan data audio batuk: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6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Trial 1</w:t>
            </w:r>
          </w:p>
        </w:tc>
        <w:tc>
          <w:tcPr>
            <w:tcW w:type="dxa" w:w="26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Trial 2</w:t>
            </w:r>
          </w:p>
        </w:tc>
        <w:tc>
          <w:tcPr>
            <w:tcW w:type="dxa" w:w="26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Trial 3</w:t>
            </w:r>
          </w:p>
        </w:tc>
      </w:tr>
      <w:tr>
        <w:tc>
          <w:tcPr>
            <w:tcW w:type="dxa" w:w="156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Strategi</w:t>
            </w:r>
          </w:p>
        </w:tc>
        <w:tc>
          <w:tcPr>
            <w:tcW w:type="dxa" w:w="26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Gabung semua batuk, potong 3 detik</w:t>
            </w:r>
          </w:p>
        </w:tc>
        <w:tc>
          <w:tcPr>
            <w:tcW w:type="dxa" w:w="26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Tiap file batuk jadi 1 segmen 3 detik</w:t>
            </w:r>
          </w:p>
        </w:tc>
        <w:tc>
          <w:tcPr>
            <w:tcW w:type="dxa" w:w="26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Gabung 5 file batuk per segmen 3 detik</w:t>
            </w:r>
          </w:p>
        </w:tc>
      </w:tr>
      <w:tr>
        <w:tc>
          <w:tcPr>
            <w:tcW w:type="dxa" w:w="1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Hipotesis</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Gabungkan semua data batuk yang ada</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Lebih banyak segmen = lebih akurat</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Sweet spot: konten tinggi + cukup segmen</w:t>
            </w:r>
          </w:p>
        </w:tc>
      </w:tr>
      <w:tr>
        <w:tc>
          <w:tcPr>
            <w:tcW w:type="dxa" w:w="156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Segmen</w:t>
            </w:r>
          </w:p>
        </w:tc>
        <w:tc>
          <w:tcPr>
            <w:tcW w:type="dxa" w:w="26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1.818</w:t>
            </w:r>
          </w:p>
        </w:tc>
        <w:tc>
          <w:tcPr>
            <w:tcW w:type="dxa" w:w="26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9.772</w:t>
            </w:r>
          </w:p>
        </w:tc>
        <w:tc>
          <w:tcPr>
            <w:tcW w:type="dxa" w:w="26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2.127</w:t>
            </w:r>
          </w:p>
        </w:tc>
      </w:tr>
      <w:tr>
        <w:tc>
          <w:tcPr>
            <w:tcW w:type="dxa" w:w="1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Seg/pasien</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1,7 (58% cuma 1)</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9,0 (semua ≥3)</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 (43% cuma 1)</w:t>
            </w:r>
          </w:p>
        </w:tc>
      </w:tr>
      <w:tr>
        <w:tc>
          <w:tcPr>
            <w:tcW w:type="dxa" w:w="156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Konten batuk</w:t>
            </w:r>
          </w:p>
        </w:tc>
        <w:tc>
          <w:tcPr>
            <w:tcW w:type="dxa" w:w="26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w:t>
            </w:r>
          </w:p>
        </w:tc>
        <w:tc>
          <w:tcPr>
            <w:tcW w:type="dxa" w:w="26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~17%</w:t>
            </w:r>
          </w:p>
        </w:tc>
        <w:tc>
          <w:tcPr>
            <w:tcW w:type="dxa" w:w="26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~76%</w:t>
            </w:r>
          </w:p>
        </w:tc>
      </w:tr>
      <w:tr>
        <w:tc>
          <w:tcPr>
            <w:tcW w:type="dxa" w:w="1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AUROC</w:t>
            </w:r>
          </w:p>
        </w:tc>
        <w:tc>
          <w:tcPr>
            <w:tcW w:type="dxa" w:w="26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0,733</w:t>
            </w:r>
          </w:p>
        </w:tc>
        <w:tc>
          <w:tcPr>
            <w:tcW w:type="dxa" w:w="26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0,693</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0,725</w:t>
            </w:r>
          </w:p>
        </w:tc>
      </w:tr>
      <w:tr>
        <w:tc>
          <w:tcPr>
            <w:tcW w:type="dxa" w:w="156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Best fold</w:t>
            </w:r>
          </w:p>
        </w:tc>
        <w:tc>
          <w:tcPr>
            <w:tcW w:type="dxa" w:w="26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0,859</w:t>
            </w:r>
          </w:p>
        </w:tc>
        <w:tc>
          <w:tcPr>
            <w:tcW w:type="dxa" w:w="26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0,782</w:t>
            </w:r>
          </w:p>
        </w:tc>
        <w:tc>
          <w:tcPr>
            <w:tcW w:type="dxa" w:w="26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0,882</w:t>
            </w:r>
          </w:p>
        </w:tc>
      </w:tr>
    </w:tbl>
    <w:p>
      <w:pPr>
        <w:spacing w:before="200" w:after="200"/>
      </w:pPr>
    </w:p>
    <w:p>
      <w:pPr>
        <w:spacing w:after="200"/>
      </w:pPr>
      <w:r>
        <w:t xml:space="preserve">Pola yang muncul jelas: meskipun konten batuk per segmen paling tinggi di Trial 3 (76%), mean AUROC tidak meningkat secara signifikan. Trial 1 dengan konten 50% justru sedikit lebih baik (0,733 vs 0,725). Ini mengindikasikan bahwa setelah melewati ambang batas minimum konten batuk (~50%), peningkatan lebih lanjut tidak berdampak besar.</w:t>
      </w:r>
    </w:p>
    <w:p>
      <w:pPr>
        <w:pStyle w:val="Heading1"/>
      </w:pPr>
      <w:r>
        <w:t xml:space="preserve">Hasil Trial Ketiga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1930"/>
        <w:gridCol w:w="1930"/>
      </w:tblGrid>
      <w:tr>
        <w:tc>
          <w:tcPr>
            <w:tcW w:type="dxa" w:w="15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Fold</w:t>
            </w:r>
          </w:p>
        </w:tc>
        <w:tc>
          <w:tcPr>
            <w:tcW w:type="dxa" w:w="20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AUROC</w:t>
            </w:r>
          </w:p>
        </w:tc>
        <w:tc>
          <w:tcPr>
            <w:tcW w:type="dxa" w:w="20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Interpretasi</w:t>
            </w:r>
          </w:p>
        </w:tc>
        <w:tc>
          <w:tcPr>
            <w:tcW w:type="dxa" w:w="193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Train (seg)</w:t>
            </w:r>
          </w:p>
        </w:tc>
        <w:tc>
          <w:tcPr>
            <w:tcW w:type="dxa" w:w="193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 (seg)</w:t>
            </w:r>
          </w:p>
        </w:tc>
      </w:tr>
      <w:tr>
        <w:tc>
          <w:tcPr>
            <w:tcW w:type="dxa" w:w="15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20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0.6789</w:t>
            </w:r>
          </w:p>
        </w:tc>
        <w:tc>
          <w:tcPr>
            <w:tcW w:type="dxa" w:w="20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Kurang</w:t>
            </w:r>
          </w:p>
        </w:tc>
        <w:tc>
          <w:tcPr>
            <w:tcW w:type="dxa" w:w="193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1.908</w:t>
            </w:r>
          </w:p>
        </w:tc>
        <w:tc>
          <w:tcPr>
            <w:tcW w:type="dxa" w:w="193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219</w:t>
            </w:r>
          </w:p>
        </w:tc>
      </w:tr>
      <w:tr>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0.7215</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Cukup</w:t>
            </w:r>
          </w:p>
        </w:tc>
        <w:tc>
          <w:tcPr>
            <w:tcW w:type="dxa" w:w="193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1.911</w:t>
            </w:r>
          </w:p>
        </w:tc>
        <w:tc>
          <w:tcPr>
            <w:tcW w:type="dxa" w:w="193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216</w:t>
            </w:r>
          </w:p>
        </w:tc>
      </w:tr>
      <w:tr>
        <w:tc>
          <w:tcPr>
            <w:tcW w:type="dxa" w:w="15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20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0.7997</w:t>
            </w:r>
          </w:p>
        </w:tc>
        <w:tc>
          <w:tcPr>
            <w:tcW w:type="dxa" w:w="20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Baik</w:t>
            </w:r>
          </w:p>
        </w:tc>
        <w:tc>
          <w:tcPr>
            <w:tcW w:type="dxa" w:w="193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1.917</w:t>
            </w:r>
          </w:p>
        </w:tc>
        <w:tc>
          <w:tcPr>
            <w:tcW w:type="dxa" w:w="193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210</w:t>
            </w:r>
          </w:p>
        </w:tc>
      </w:tr>
      <w:tr>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20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0.8821</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Sangat Baik</w:t>
            </w:r>
          </w:p>
        </w:tc>
        <w:tc>
          <w:tcPr>
            <w:tcW w:type="dxa" w:w="193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1.896</w:t>
            </w:r>
          </w:p>
        </w:tc>
        <w:tc>
          <w:tcPr>
            <w:tcW w:type="dxa" w:w="193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231</w:t>
            </w:r>
          </w:p>
        </w:tc>
      </w:tr>
      <w:tr>
        <w:tc>
          <w:tcPr>
            <w:tcW w:type="dxa" w:w="15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20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0.6312</w:t>
            </w:r>
          </w:p>
        </w:tc>
        <w:tc>
          <w:tcPr>
            <w:tcW w:type="dxa" w:w="20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Kurang</w:t>
            </w:r>
          </w:p>
        </w:tc>
        <w:tc>
          <w:tcPr>
            <w:tcW w:type="dxa" w:w="193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1.941</w:t>
            </w:r>
          </w:p>
        </w:tc>
        <w:tc>
          <w:tcPr>
            <w:tcW w:type="dxa" w:w="193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186</w:t>
            </w:r>
          </w:p>
        </w:tc>
      </w:tr>
      <w:tr>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0.7163</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Cukup</w:t>
            </w:r>
          </w:p>
        </w:tc>
        <w:tc>
          <w:tcPr>
            <w:tcW w:type="dxa" w:w="193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1.918</w:t>
            </w:r>
          </w:p>
        </w:tc>
        <w:tc>
          <w:tcPr>
            <w:tcW w:type="dxa" w:w="193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209</w:t>
            </w:r>
          </w:p>
        </w:tc>
      </w:tr>
      <w:tr>
        <w:tc>
          <w:tcPr>
            <w:tcW w:type="dxa" w:w="15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20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0.7289</w:t>
            </w:r>
          </w:p>
        </w:tc>
        <w:tc>
          <w:tcPr>
            <w:tcW w:type="dxa" w:w="20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Cukup</w:t>
            </w:r>
          </w:p>
        </w:tc>
        <w:tc>
          <w:tcPr>
            <w:tcW w:type="dxa" w:w="193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1.924</w:t>
            </w:r>
          </w:p>
        </w:tc>
        <w:tc>
          <w:tcPr>
            <w:tcW w:type="dxa" w:w="193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203</w:t>
            </w:r>
          </w:p>
        </w:tc>
      </w:tr>
      <w:tr>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20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0.6290</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Kurang</w:t>
            </w:r>
          </w:p>
        </w:tc>
        <w:tc>
          <w:tcPr>
            <w:tcW w:type="dxa" w:w="193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1.906</w:t>
            </w:r>
          </w:p>
        </w:tc>
        <w:tc>
          <w:tcPr>
            <w:tcW w:type="dxa" w:w="193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221</w:t>
            </w:r>
          </w:p>
        </w:tc>
      </w:tr>
      <w:tr>
        <w:tc>
          <w:tcPr>
            <w:tcW w:type="dxa" w:w="15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20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0.6988</w:t>
            </w:r>
          </w:p>
        </w:tc>
        <w:tc>
          <w:tcPr>
            <w:tcW w:type="dxa" w:w="20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Cukup</w:t>
            </w:r>
          </w:p>
        </w:tc>
        <w:tc>
          <w:tcPr>
            <w:tcW w:type="dxa" w:w="193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1.908</w:t>
            </w:r>
          </w:p>
        </w:tc>
        <w:tc>
          <w:tcPr>
            <w:tcW w:type="dxa" w:w="193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219</w:t>
            </w:r>
          </w:p>
        </w:tc>
      </w:tr>
      <w:tr>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0.7604</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Baik</w:t>
            </w:r>
          </w:p>
        </w:tc>
        <w:tc>
          <w:tcPr>
            <w:tcW w:type="dxa" w:w="193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1.914</w:t>
            </w:r>
          </w:p>
        </w:tc>
        <w:tc>
          <w:tcPr>
            <w:tcW w:type="dxa" w:w="193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213</w:t>
            </w:r>
          </w:p>
        </w:tc>
      </w:tr>
      <w:tr>
        <w:tc>
          <w:tcPr>
            <w:tcW w:type="dxa" w:w="15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Rata-rata</w:t>
            </w:r>
          </w:p>
        </w:tc>
        <w:tc>
          <w:tcPr>
            <w:tcW w:type="dxa" w:w="20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0.7247 ± 0.072</w:t>
            </w:r>
          </w:p>
        </w:tc>
        <w:tc>
          <w:tcPr>
            <w:tcW w:type="dxa" w:w="20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Di bawah target</w:t>
            </w:r>
          </w:p>
        </w:tc>
        <w:tc>
          <w:tcPr>
            <w:tcW w:type="dxa" w:w="193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~1.914</w:t>
            </w:r>
          </w:p>
        </w:tc>
        <w:tc>
          <w:tcPr>
            <w:tcW w:type="dxa" w:w="193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~213</w:t>
            </w:r>
          </w:p>
        </w:tc>
      </w:tr>
    </w:tbl>
    <w:p>
      <w:pPr>
        <w:spacing w:before="200" w:after="200"/>
      </w:pPr>
    </w:p>
    <w:p>
      <w:pPr>
        <w:spacing w:after="200"/>
      </w:pPr>
      <w:r>
        <w:t xml:space="preserve">Variance antar fold meningkat menjadi 0,072 (dari 0,057 di Trial 1). Fold 4 mencapai 0,882 sementara Fold 5 dan 8 hanya 0,63. Perbedaan sebesar ini dengan jumlah pasien validasi yang sama (~108 per fold) menunjukkan bahwa performa sangat bergantung pada komposisi pasien tertentu di setiap fold.</w:t>
      </w:r>
    </w:p>
    <w:p>
      <w:pPr>
        <w:pStyle w:val="Heading1"/>
      </w:pPr>
      <w:r>
        <w:t xml:space="preserve">Insight Kunci: Bottleneck Ada di Model</w:t>
      </w:r>
    </w:p>
    <w:p>
      <w:pPr>
        <w:spacing w:after="200"/>
      </w:pPr>
      <w:r>
        <w:t xml:space="preserve">Setelah tiga trial dengan tiga strategi preprocessing berbeda, mean AUROC konsisten di kisaran sempit: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Trial</w:t>
            </w:r>
          </w:p>
        </w:tc>
        <w:tc>
          <w:tcPr>
            <w:tcW w:type="dxa" w:w="234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Strategi</w:t>
            </w:r>
          </w:p>
        </w:tc>
        <w:tc>
          <w:tcPr>
            <w:tcW w:type="dxa" w:w="234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 AUROC</w:t>
            </w:r>
          </w:p>
        </w:tc>
        <w:tc>
          <w:tcPr>
            <w:tcW w:type="dxa" w:w="234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Kisaran</w:t>
            </w:r>
          </w:p>
        </w:tc>
      </w:tr>
      <w:tr>
        <w:tc>
          <w:tcPr>
            <w:tcW w:type="dxa" w:w="234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Trial 1</w:t>
            </w:r>
          </w:p>
        </w:tc>
        <w:tc>
          <w:tcPr>
            <w:tcW w:type="dxa" w:w="234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Concatenate all + split</w:t>
            </w:r>
          </w:p>
        </w:tc>
        <w:tc>
          <w:tcPr>
            <w:tcW w:type="dxa" w:w="234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0,733</w:t>
            </w:r>
          </w:p>
        </w:tc>
        <w:tc>
          <w:tcPr>
            <w:tcW w:type="dxa" w:w="234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0,677 – 0,859</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Trial 2</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Pad per-file</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0,693</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0,636 – 0,782</w:t>
            </w:r>
          </w:p>
        </w:tc>
      </w:tr>
      <w:tr>
        <w:tc>
          <w:tcPr>
            <w:tcW w:type="dxa" w:w="234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Trial 3</w:t>
            </w:r>
          </w:p>
        </w:tc>
        <w:tc>
          <w:tcPr>
            <w:tcW w:type="dxa" w:w="234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Concatenate 5 + pad</w:t>
            </w:r>
          </w:p>
        </w:tc>
        <w:tc>
          <w:tcPr>
            <w:tcW w:type="dxa" w:w="234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0,725</w:t>
            </w:r>
          </w:p>
        </w:tc>
        <w:tc>
          <w:tcPr>
            <w:tcW w:type="dxa" w:w="234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0,629 – 0,882</w:t>
            </w:r>
          </w:p>
        </w:tc>
      </w:tr>
    </w:tbl>
    <w:p>
      <w:pPr>
        <w:spacing w:before="200" w:after="200"/>
      </w:pPr>
    </w:p>
    <w:p>
      <w:pPr>
        <w:spacing w:after="200"/>
      </w:pPr>
      <w:r>
        <w:t xml:space="preserve">Rata-rata bergerak di band 0,69–0,73, terlepas dari berapa banyak konten batuk per segmen atau berapa banyak segmen per pasien. Ini mengarah pada kesimpulan penting: </w:t>
      </w:r>
      <w:r>
        <w:rPr>
          <w:b/>
          <w:bCs/>
        </w:rPr>
        <w:t xml:space="preserve">cara kita menyiapkan data sudah cukup baik. Yang perlu ditingkatkan adalah kemampuan model AI itu sendiri dalam mengenali pola batuk TB.</w:t>
      </w:r>
    </w:p>
    <w:p>
      <w:pPr>
        <w:spacing w:after="200"/>
      </w:pPr>
      <w:r>
        <w:t xml:space="preserve">Wav2Vec2 adalah model yang dilatih untuk mengenali </w:t>
      </w:r>
      <w:r>
        <w:rPr>
          <w:i/>
          <w:iCs/>
        </w:rPr>
        <w:t xml:space="preserve">pola bicara manusia</w:t>
      </w:r>
      <w:r>
        <w:t xml:space="preserve"> (speech), bukan pola suara kesehatan. Meskipun ada overlap antara speech dan cough acoustics, model ini tidak dioptimalkan untuk menangkap biomarker akustik spesifik TB. Bayangkan meminta penerjemah bahasa Inggris untuk menerjemahkan kode morse — ada kesamaan (keduanya komunikasi), tapi tools-nya tidak ideal.</w:t>
      </w:r>
    </w:p>
    <w:p>
      <w:pPr>
        <w:pStyle w:val="Heading1"/>
      </w:pPr>
      <w:r>
        <w:t xml:space="preserve">Kabar Baiknya</w:t>
      </w:r>
    </w:p>
    <w:p>
      <w:pPr>
        <w:spacing w:after="200"/>
      </w:pPr>
      <w:r>
        <w:rPr>
          <w:b/>
          <w:bCs/>
        </w:rPr>
        <w:t xml:space="preserve">Fold 4 Trial 3 mencapai AUROC 0,882.</w:t>
      </w:r>
      <w:r>
        <w:t xml:space="preserve"> Ini bukan kebetulan. Ini membuktikan bahwa:</w:t>
      </w:r>
    </w:p>
    <w:p>
      <w:pPr>
        <w:pStyle w:val="ListParagraph"/>
        <w:numPr>
          <w:ilvl w:val="0"/>
          <w:numId w:val="2"/>
        </w:numPr>
        <w:spacing w:after="100"/>
      </w:pPr>
      <w:r>
        <w:t xml:space="preserve">Ada pola akustik yang membedakan batuk TB dari batuk non-TB. Sinyal-nya nyata.</w:t>
      </w:r>
    </w:p>
    <w:p>
      <w:pPr>
        <w:pStyle w:val="ListParagraph"/>
        <w:numPr>
          <w:ilvl w:val="0"/>
          <w:numId w:val="2"/>
        </w:numPr>
        <w:spacing w:after="100"/>
      </w:pPr>
      <w:r>
        <w:t xml:space="preserve">Model AI mampu menangkap pola ini pada subset data tertentu.</w:t>
      </w:r>
    </w:p>
    <w:p>
      <w:pPr>
        <w:pStyle w:val="ListParagraph"/>
        <w:numPr>
          <w:ilvl w:val="0"/>
          <w:numId w:val="2"/>
        </w:numPr>
        <w:spacing w:after="200"/>
      </w:pPr>
      <w:r>
        <w:t xml:space="preserve">Dengan model yang lebih tepat sasaran, performa ini bisa dicapai secara konsisten di seluruh data, bukan hanya di 1 dari 10 fold.</w:t>
      </w:r>
    </w:p>
    <w:p>
      <w:pPr>
        <w:spacing w:after="200"/>
      </w:pPr>
      <w:r>
        <w:t xml:space="preserve">Studi Zambia yang dipublikasikan di Lancet Digital Health mencapai AUROC 0,852 dengan Wav2Vec2, dataset 500 pasien, dan rekaman di lingkungan terkontrol. Fold 4 kita melampaui angka ini (0,882) meskipun kita menggunakan dataset yang lebih besar (1.082 pasien), lebih beragam (7 negara), dan lebih menantang. Ini validasi yang kuat.</w:t>
      </w:r>
    </w:p>
    <w:p>
      <w:r>
        <w:br w:type="page"/>
      </w:r>
    </w:p>
    <w:p>
      <w:pPr>
        <w:pStyle w:val="Heading1"/>
      </w:pPr>
      <w:r>
        <w:t xml:space="preserve">Konteks: Studi Zambia dan Peluang Jurnal</w:t>
      </w:r>
    </w:p>
    <w:p>
      <w:pPr>
        <w:spacing w:after="200"/>
      </w:pPr>
      <w:r>
        <w:t xml:space="preserve">Studi Zambia (Ma et al., Lancet Digital Health 2025) merupakan benchmark utama dalam skrining TB berbasis batuk. Studi ini menggunakan model yang sama (Wav2Vec2) dan melaporkan AUROC 0,852 untuk audio-only, naik menjadi 0,921 ketika data klinis ditambahkan.</w:t>
      </w:r>
    </w:p>
    <w:p>
      <w:pPr>
        <w:spacing w:after="200"/>
      </w:pPr>
      <w:r>
        <w:t xml:space="preserve">Namun studi tersebut memiliki beberapa keterbatasan yang membuka peluang riset:</w:t>
      </w:r>
    </w:p>
    <w:p>
      <w:pPr>
        <w:pStyle w:val="ListParagraph"/>
        <w:numPr>
          <w:ilvl w:val="0"/>
          <w:numId w:val="2"/>
        </w:numPr>
        <w:spacing w:after="100"/>
      </w:pPr>
      <w:r>
        <w:rPr>
          <w:b/>
          <w:bCs/>
        </w:rPr>
        <w:t xml:space="preserve">Tidak ada validasi eksternal. </w:t>
      </w:r>
      <w:r>
        <w:t xml:space="preserve">Semua evaluasi dilakukan pada dataset yang sama, dari 2 rumah sakit di Lusaka, Zambia. Belum diuji apakah model-nya bekerja di negara lain.</w:t>
      </w:r>
    </w:p>
    <w:p>
      <w:pPr>
        <w:pStyle w:val="ListParagraph"/>
        <w:numPr>
          <w:ilvl w:val="0"/>
          <w:numId w:val="2"/>
        </w:numPr>
        <w:spacing w:after="100"/>
      </w:pPr>
      <w:r>
        <w:rPr>
          <w:b/>
          <w:bCs/>
        </w:rPr>
        <w:t xml:space="preserve">Kondisi rekaman terlalu ideal. </w:t>
      </w:r>
      <w:r>
        <w:t xml:space="preserve">Rekaman dilakukan di shed kedap suara dengan mikrofon RØDE M5 (high-fidelity condenser mic). Ini tidak mewakili kondisi puskesmas.</w:t>
      </w:r>
    </w:p>
    <w:p>
      <w:pPr>
        <w:pStyle w:val="ListParagraph"/>
        <w:numPr>
          <w:ilvl w:val="0"/>
          <w:numId w:val="2"/>
        </w:numPr>
        <w:spacing w:after="100"/>
      </w:pPr>
      <w:r>
        <w:rPr>
          <w:b/>
          <w:bCs/>
        </w:rPr>
        <w:t xml:space="preserve">Multimodal AUROC 0,921 berpotensi inflated. </w:t>
      </w:r>
      <w:r>
        <w:t xml:space="preserve">Ketika data klinis seperti "ada gejala atau tidak" ditambahkan, performanya naik drastis. Tapi fitur ini sendiri sudah bisa membedakan pasien sakit dari sehat tanpa AI.</w:t>
      </w:r>
    </w:p>
    <w:p>
      <w:pPr>
        <w:pStyle w:val="ListParagraph"/>
        <w:numPr>
          <w:ilvl w:val="0"/>
          <w:numId w:val="2"/>
        </w:numPr>
        <w:spacing w:after="200"/>
      </w:pPr>
      <w:r>
        <w:rPr>
          <w:b/>
          <w:bCs/>
        </w:rPr>
        <w:t xml:space="preserve">Belum ada studi di populasi Indonesia. </w:t>
      </w:r>
      <w:r>
        <w:t xml:space="preserve">Indonesia adalah negara dengan beban TB terbesar kedua di dunia, tetapi belum ada validasi model skrining batuk AI di populasi ini.</w:t>
      </w:r>
    </w:p>
    <w:p>
      <w:pPr>
        <w:spacing w:after="200"/>
      </w:pPr>
      <w:r>
        <w:t xml:space="preserve">RespiraHub berpotensi menjadi studi pertama yang mengatasi semua keterbatasan ini sekaligus — validasi lintas dataset, kondisi rekaman real-world, evaluasi multimodal yang jujur, dan populasi Indonesia. Ini bukan sekadar replikasi, tetapi kontribusi ilmiah yang genuinely novel.</w:t>
      </w:r>
    </w:p>
    <w:p>
      <w:pPr>
        <w:pStyle w:val="Heading1"/>
      </w:pPr>
      <w:r>
        <w:t xml:space="preserve">Rencana Selanjutnya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Trial</w:t>
            </w:r>
          </w:p>
        </w:tc>
        <w:tc>
          <w:tcPr>
            <w:tcW w:type="dxa" w:w="26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Perubahan</w:t>
            </w:r>
          </w:p>
        </w:tc>
        <w:tc>
          <w:tcPr>
            <w:tcW w:type="dxa" w:w="26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Tujuan</w:t>
            </w:r>
          </w:p>
        </w:tc>
        <w:tc>
          <w:tcPr>
            <w:tcW w:type="dxa" w:w="26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156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Trial 4</w:t>
            </w:r>
          </w:p>
        </w:tc>
        <w:tc>
          <w:tcPr>
            <w:tcW w:type="dxa" w:w="26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Unfreeze 2 transformer layers + audio augmentasi</w:t>
            </w:r>
          </w:p>
        </w:tc>
        <w:tc>
          <w:tcPr>
            <w:tcW w:type="dxa" w:w="26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Push Wav2Vec2 ke batasnya</w:t>
            </w:r>
          </w:p>
        </w:tc>
        <w:tc>
          <w:tcPr>
            <w:tcW w:type="dxa" w:w="26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Selanjutnya</w:t>
            </w:r>
          </w:p>
        </w:tc>
      </w:tr>
      <w:tr>
        <w:tc>
          <w:tcPr>
            <w:tcW w:type="dxa" w:w="156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Trial 5</w:t>
            </w:r>
          </w:p>
        </w:tc>
        <w:tc>
          <w:tcPr>
            <w:tcW w:type="dxa" w:w="26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Ganti backbone ke HeAR (health acoustic model)</w:t>
            </w:r>
          </w:p>
        </w:tc>
        <w:tc>
          <w:tcPr>
            <w:tcW w:type="dxa" w:w="26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Model yang tepat sasaran</w:t>
            </w:r>
          </w:p>
        </w:tc>
        <w:tc>
          <w:tcPr>
            <w:tcW w:type="dxa" w:w="26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Antrian</w:t>
            </w:r>
          </w:p>
        </w:tc>
      </w:tr>
    </w:tbl>
    <w:p>
      <w:pPr>
        <w:spacing w:before="200" w:after="200"/>
      </w:pPr>
    </w:p>
    <w:p>
      <w:pPr>
        <w:spacing w:after="200"/>
      </w:pPr>
      <w:r>
        <w:rPr>
          <w:b/>
          <w:bCs/>
        </w:rPr>
        <w:t xml:space="preserve">Trial 4</w:t>
      </w:r>
      <w:r>
        <w:t xml:space="preserve"> adalah optimasi terakhir pada Wav2Vec2. Kami akan membuka (unfreeze) dua lapisan teratas model agar bisa belajar representasi spesifik TB, ditambah augmentasi audio (noise, variasi kecepatan) untuk mengurangi overfitting. Jika hasilnya masih di kisaran 0,73, ini mengkonfirmasi bahwa backbone perlu diganti.</w:t>
      </w:r>
    </w:p>
    <w:p>
      <w:pPr>
        <w:spacing w:after="200"/>
      </w:pPr>
      <w:r>
        <w:rPr>
          <w:b/>
          <w:bCs/>
        </w:rPr>
        <w:t xml:space="preserve">Trial 5</w:t>
      </w:r>
      <w:r>
        <w:t xml:space="preserve"> menggunakan HeAR (Health Acoustic Representations) dari Google — model AI yang dilatih khusus pada suara kesehatan termasuk batuk, napas, dan suara paru. Ini seperti mengganti penerjemah bahasa Inggris dengan penerjemah kode morse yang terlatih. Prediksi: AUROC bisa naik ke 0,78–0,85.</w:t>
      </w:r>
    </w:p>
    <w:p>
      <w:pPr>
        <w:pStyle w:val="Heading1"/>
      </w:pPr>
      <w:r>
        <w:t xml:space="preserve">Rangkuman Keseluruhan Fase 1</w:t>
      </w:r>
    </w:p>
    <w:p>
      <w:pPr>
        <w:spacing w:after="200"/>
      </w:pPr>
      <w:r>
        <w:t xml:space="preserve">Setelah tiga trial, posisi kita adalah:</w:t>
      </w:r>
    </w:p>
    <w:p>
      <w:pPr>
        <w:pStyle w:val="ListParagraph"/>
        <w:numPr>
          <w:ilvl w:val="0"/>
          <w:numId w:val="2"/>
        </w:numPr>
        <w:spacing w:after="100"/>
      </w:pPr>
      <w:r>
        <w:rPr>
          <w:b/>
          <w:bCs/>
        </w:rPr>
        <w:t xml:space="preserve">Teknologi bekerja. </w:t>
      </w:r>
      <w:r>
        <w:t xml:space="preserve">Model AI mampu membedakan batuk TB (AUROC 0,73 rata-rata, 0,88 best case). Ini jauh di atas anamnesis standar (sensitivitas 42%).</w:t>
      </w:r>
    </w:p>
    <w:p>
      <w:pPr>
        <w:pStyle w:val="ListParagraph"/>
        <w:numPr>
          <w:ilvl w:val="0"/>
          <w:numId w:val="2"/>
        </w:numPr>
        <w:spacing w:after="100"/>
      </w:pPr>
      <w:r>
        <w:rPr>
          <w:b/>
          <w:bCs/>
        </w:rPr>
        <w:t xml:space="preserve">Preprocessing sudah optimal. </w:t>
      </w:r>
      <w:r>
        <w:t xml:space="preserve">Tiga strategi segmentasi berbeda menghasilkan performa serupa. Tidak ada lagi low-hanging fruit di sisi data.</w:t>
      </w:r>
    </w:p>
    <w:p>
      <w:pPr>
        <w:pStyle w:val="ListParagraph"/>
        <w:numPr>
          <w:ilvl w:val="0"/>
          <w:numId w:val="2"/>
        </w:numPr>
        <w:spacing w:after="100"/>
      </w:pPr>
      <w:r>
        <w:rPr>
          <w:b/>
          <w:bCs/>
        </w:rPr>
        <w:t xml:space="preserve">Bottleneck teridentifikasi. </w:t>
      </w:r>
      <w:r>
        <w:t xml:space="preserve">Model backbone (Wav2Vec2) yang didesain untuk speech, bukan health acoustics, menjadi pembatas utama performa.</w:t>
      </w:r>
    </w:p>
    <w:p>
      <w:pPr>
        <w:pStyle w:val="ListParagraph"/>
        <w:numPr>
          <w:ilvl w:val="0"/>
          <w:numId w:val="2"/>
        </w:numPr>
        <w:spacing w:after="200"/>
      </w:pPr>
      <w:r>
        <w:rPr>
          <w:b/>
          <w:bCs/>
        </w:rPr>
        <w:t xml:space="preserve">Jalur peningkatan jelas. </w:t>
      </w:r>
      <w:r>
        <w:t xml:space="preserve">Trial 4 (optimasi terakhir Wav2Vec2) dan Trial 5 (HeAR backbone) memiliki hipotesis yang kuat dan terukur.</w:t>
      </w:r>
    </w:p>
    <w:p>
      <w:pPr>
        <w:spacing w:before="200"/>
      </w:pPr>
    </w:p>
    <w:p>
      <w:pPr>
        <w:pBdr>
          <w:top w:val="single" w:color="2E75B6" w:sz="6" w:space="1"/>
        </w:pBdr>
        <w:spacing w:before="200" w:after="200"/>
      </w:pPr>
    </w:p>
    <w:p>
      <w:pPr>
        <w:jc w:val="center"/>
      </w:pPr>
      <w:r>
        <w:rPr>
          <w:i/>
          <w:iCs/>
          <w:color w:val="808080"/>
          <w:sz w:val="20"/>
          <w:szCs w:val="20"/>
        </w:rPr>
        <w:t xml:space="preserve">Dokumen ini bersifat internal. </w:t>
      </w:r>
      <w:r>
        <w:rPr>
          <w:i/>
          <w:iCs/>
          <w:color w:val="808080"/>
          <w:sz w:val="20"/>
          <w:szCs w:val="20"/>
        </w:rPr>
        <w:t xml:space="preserve">Disiapkan oleh Tim Engineering RespiraHub, Februari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Halaman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2E75B6"/>
        <w:sz w:val="18"/>
        <w:szCs w:val="18"/>
      </w:rPr>
      <w:t xml:space="preserve">RespiraHub </w:t>
    </w:r>
    <w:r>
      <w:rPr>
        <w:rFonts w:ascii="Arial" w:cs="Arial" w:eastAsia="Arial" w:hAnsi="Arial"/>
        <w:color w:val="808080"/>
        <w:sz w:val="18"/>
        <w:szCs w:val="18"/>
      </w:rPr>
      <w:t xml:space="preserve">| Trial Ketiga — Dokumen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2026-02-21T21:07:41.448Z</dcterms:created>
  <dcterms:modified xsi:type="dcterms:W3CDTF">2026-02-21T21:07:41.449Z</dcterms:modified>
</cp:coreProperties>
</file>

<file path=docProps/custom.xml><?xml version="1.0" encoding="utf-8"?>
<Properties xmlns="http://schemas.openxmlformats.org/officeDocument/2006/custom-properties" xmlns:vt="http://schemas.openxmlformats.org/officeDocument/2006/docPropsVTypes"/>
</file>