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56"/>
          <w:szCs w:val="56"/>
        </w:rPr>
        <w:t xml:space="preserve">RESPIRAHUB</w:t>
      </w:r>
    </w:p>
    <w:p>
      <w:pPr>
        <w:spacing w:after="100"/>
        <w:jc w:val="center"/>
      </w:pPr>
      <w:r>
        <w:rPr>
          <w:rFonts w:ascii="Arial" w:cs="Arial" w:eastAsia="Arial" w:hAnsi="Arial"/>
          <w:color w:val="2E75B6"/>
          <w:sz w:val="32"/>
          <w:szCs w:val="32"/>
        </w:rPr>
        <w:t xml:space="preserve">Skrining TB Berbasis AI dari Suara Batuk</w:t>
      </w:r>
    </w:p>
    <w:p>
      <w:pPr>
        <w:spacing w:after="600"/>
        <w:jc w:val="center"/>
      </w:pPr>
      <w:r>
        <w:rPr>
          <w:rFonts w:ascii="Arial" w:cs="Arial" w:eastAsia="Arial" w:hAnsi="Arial"/>
          <w:color w:val="808080"/>
          <w:sz w:val="28"/>
          <w:szCs w:val="28"/>
        </w:rPr>
        <w:t xml:space="preserve">Laporan Trial Kelima — HeAR: Health Acoustic Foundation Model</w:t>
      </w:r>
    </w:p>
    <w:p>
      <w:pPr>
        <w:pBdr>
          <w:top w:val="single" w:color="2E75B6" w:sz="6" w:space="1"/>
        </w:pBdr>
        <w:spacing w:before="400" w:after="200"/>
        <w:jc w:val="center"/>
      </w:pPr>
    </w:p>
    <w:p>
      <w:pPr>
        <w:spacing w:after="80"/>
        <w:jc w:val="center"/>
      </w:pPr>
      <w:r>
        <w:rPr>
          <w:rFonts w:ascii="Arial" w:cs="Arial" w:eastAsia="Arial" w:hAnsi="Arial"/>
          <w:color w:val="404040"/>
          <w:sz w:val="22"/>
          <w:szCs w:val="22"/>
        </w:rPr>
        <w:t xml:space="preserve">Eksperimen: Beralih dari Speech Model ke Health Acoustic Model</w:t>
      </w:r>
    </w:p>
    <w:p>
      <w:pPr>
        <w:spacing w:after="80"/>
        <w:jc w:val="center"/>
      </w:pPr>
      <w:r>
        <w:rPr>
          <w:rFonts w:ascii="Arial" w:cs="Arial" w:eastAsia="Arial" w:hAnsi="Arial"/>
          <w:color w:val="2E75B6"/>
          <w:sz w:val="22"/>
          <w:szCs w:val="22"/>
        </w:rPr>
        <w:t xml:space="preserve">Hasil: AUROC 0,719 ± 0,062 (setara Wav2Vec2: 0,718)</w:t>
      </w:r>
    </w:p>
    <w:p>
      <w:pPr>
        <w:spacing w:after="80"/>
        <w:jc w:val="center"/>
      </w:pPr>
      <w:r>
        <w:rPr>
          <w:rFonts w:ascii="Arial" w:cs="Arial" w:eastAsia="Arial" w:hAnsi="Arial"/>
          <w:color w:val="404040"/>
          <w:sz w:val="22"/>
          <w:szCs w:val="22"/>
        </w:rPr>
        <w:t xml:space="preserve">Temuan Kunci: Health-Specific Model ≠ Otomatis Lebih Baik</w:t>
      </w:r>
    </w:p>
    <w:p>
      <w:pPr>
        <w:spacing w:after="400"/>
        <w:jc w:val="center"/>
      </w:pPr>
      <w:r>
        <w:rPr>
          <w:rFonts w:ascii="Arial" w:cs="Arial" w:eastAsia="Arial" w:hAnsi="Arial"/>
          <w:color w:val="808080"/>
          <w:sz w:val="22"/>
          <w:szCs w:val="22"/>
        </w:rPr>
        <w:t xml:space="preserve">Februari 2026 | Dokumen Internal</w:t>
      </w:r>
    </w:p>
    <w:p>
      <w:r>
        <w:br w:type="page"/>
      </w:r>
    </w:p>
    <w:p>
      <w:pPr>
        <w:pStyle w:val="Heading1"/>
      </w:pPr>
      <w:r>
        <w:t xml:space="preserve">Ringkasan Eksekutif</w:t>
      </w:r>
    </w:p>
    <w:p>
      <w:pPr>
        <w:spacing w:after="200"/>
      </w:pPr>
      <w:r>
        <w:t xml:space="preserve">Trial 5 menandai langkah besar dalam eksperimen RespiraHub: beralih dari Wav2Vec2 (model speech) ke </w:t>
      </w:r>
      <w:r>
        <w:rPr>
          <w:b/>
          <w:bCs/>
        </w:rPr>
        <w:t xml:space="preserve">HeAR (Health Acoustic Representations)</w:t>
      </w:r>
      <w:r>
        <w:t xml:space="preserve"> dari Google — model yang dilatih khusus pada 313 juta clips suara kesehatan termasuk batuk, napas, dan suara paru.</w:t>
      </w:r>
    </w:p>
    <w:p>
      <w:pPr>
        <w:spacing w:after="200"/>
      </w:pPr>
      <w:r>
        <w:t xml:space="preserve">Hasilnya mengejutkan: HeAR mencapai AUROC </w:t>
      </w:r>
      <w:r>
        <w:rPr>
          <w:b/>
          <w:bCs/>
        </w:rPr>
        <w:t xml:space="preserve">0,719 ± 0,062</w:t>
      </w:r>
      <w:r>
        <w:t xml:space="preserve">, praktis identik dengan Wav2Vec2 (0,718 ± 0,067). Model yang didesain khusus untuk suara kesehatan </w:t>
      </w:r>
      <w:r>
        <w:rPr>
          <w:b/>
          <w:bCs/>
        </w:rPr>
        <w:t xml:space="preserve">tidak otomatis lebih baik</w:t>
      </w:r>
      <w:r>
        <w:t xml:space="preserve"> daripada model speech umum untuk task ini.</w:t>
      </w:r>
    </w:p>
    <w:p>
      <w:pPr>
        <w:spacing w:after="200"/>
      </w:pPr>
      <w:r>
        <w:t xml:space="preserve">Temuan ini sangat valuable untuk komunitas riset: ini menunjukkan bahwa bottleneck performa di CODA TB bukan pada jenis backbone model, melainkan pada faktor lain seperti ukuran dataset, kualitas rekaman, dan kompleksitas task (membedakan TB dari penyakit pernapasan lain yang gejalanya mirip).</w:t>
      </w:r>
    </w:p>
    <w:p>
      <w:pPr>
        <w:pStyle w:val="Heading1"/>
      </w:pPr>
      <w:r>
        <w:t xml:space="preserve">Apa itu HeAR?</w:t>
      </w:r>
    </w:p>
    <w:p>
      <w:pPr>
        <w:spacing w:after="200"/>
      </w:pPr>
      <w:r>
        <w:t xml:space="preserve">HeAR (Health Acoustic Representations) adalah foundation model dari Google yang dirancang khusus untuk menganalisis suara kesehatan. Berbeda dari Wav2Vec2 yang dilatih pada 960 jam percakapan bahasa Inggris, HeAR dilatih pada 313 juta clip audio kesehatan (setara ~174.000 jam) dari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35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Wav2Vec2 (Trial 1–4)</w:t>
            </w:r>
          </w:p>
        </w:tc>
        <w:tc>
          <w:tcPr>
            <w:tcW w:type="dxa" w:w="35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HeAR (Trial 5)</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Dilatih untuk</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Speech recognition (bicara)</w:t>
            </w:r>
          </w:p>
        </w:tc>
        <w:tc>
          <w:tcPr>
            <w:tcW w:type="dxa" w:w="3510"/>
            <w:tcBorders>
              <w:top w:val="single" w:color="D9D9D9" w:sz="1"/>
              <w:left w:val="single" w:color="D9D9D9" w:sz="1"/>
              <w:bottom w:val="single" w:color="D9D9D9" w:sz="1"/>
              <w:right w:val="single" w:color="D9D9D9" w:sz="1"/>
            </w:tcBorders>
            <w:shd w:fill="E8F0E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Health acoustics (batuk, napas, paru)</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 pre-training</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960 jam Librispeech</w:t>
            </w:r>
          </w:p>
        </w:tc>
        <w:tc>
          <w:tcPr>
            <w:tcW w:type="dxa" w:w="3510"/>
            <w:tcBorders>
              <w:top w:val="single" w:color="D9D9D9" w:sz="1"/>
              <w:left w:val="single" w:color="D9D9D9" w:sz="1"/>
              <w:bottom w:val="single" w:color="D9D9D9" w:sz="1"/>
              <w:right w:val="single" w:color="D9D9D9" w:sz="1"/>
            </w:tcBorders>
            <w:shd w:fill="E8F0E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313 juta health audio clips (~174K jam)</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Arsitektur</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Wav2Vec2-base (Transformer)</w:t>
            </w:r>
          </w:p>
        </w:tc>
        <w:tc>
          <w:tcPr>
            <w:tcW w:type="dxa" w:w="3510"/>
            <w:tcBorders>
              <w:top w:val="single" w:color="D9D9D9" w:sz="1"/>
              <w:left w:val="single" w:color="D9D9D9" w:sz="1"/>
              <w:bottom w:val="single" w:color="D9D9D9" w:sz="1"/>
              <w:right w:val="single" w:color="D9D9D9" w:sz="1"/>
            </w:tcBorders>
            <w:shd w:fill="E8F0E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ViT-L (Vision Transformer on spectrograms)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Input</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Raw waveform 3 detik</w:t>
            </w:r>
          </w:p>
        </w:tc>
        <w:tc>
          <w:tcPr>
            <w:tcW w:type="dxa" w:w="3510"/>
            <w:tcBorders>
              <w:top w:val="single" w:color="D9D9D9" w:sz="1"/>
              <w:left w:val="single" w:color="D9D9D9" w:sz="1"/>
              <w:bottom w:val="single" w:color="D9D9D9" w:sz="1"/>
              <w:right w:val="single" w:color="D9D9D9" w:sz="1"/>
            </w:tcBorders>
            <w:shd w:fill="E8F0E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Spectrogram dari 2 detik audio</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Output embedding</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768 dimensi</w:t>
            </w:r>
          </w:p>
        </w:tc>
        <w:tc>
          <w:tcPr>
            <w:tcW w:type="dxa" w:w="3510"/>
            <w:tcBorders>
              <w:top w:val="single" w:color="D9D9D9" w:sz="1"/>
              <w:left w:val="single" w:color="D9D9D9" w:sz="1"/>
              <w:bottom w:val="single" w:color="D9D9D9" w:sz="1"/>
              <w:right w:val="single" w:color="D9D9D9" w:sz="1"/>
            </w:tcBorders>
            <w:shd w:fill="E8F0E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1024 dimensi</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Approach</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End-to-end fine-tuning</w:t>
            </w:r>
          </w:p>
        </w:tc>
        <w:tc>
          <w:tcPr>
            <w:tcW w:type="dxa" w:w="3510"/>
            <w:tcBorders>
              <w:top w:val="single" w:color="D9D9D9" w:sz="1"/>
              <w:left w:val="single" w:color="D9D9D9" w:sz="1"/>
              <w:bottom w:val="single" w:color="D9D9D9" w:sz="1"/>
              <w:right w:val="single" w:color="D9D9D9" w:sz="1"/>
            </w:tcBorders>
            <w:shd w:fill="E8F0E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Extract frozen embeddings + train classifier</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Training speed</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 jam per fold</w:t>
            </w:r>
          </w:p>
        </w:tc>
        <w:tc>
          <w:tcPr>
            <w:tcW w:type="dxa" w:w="3510"/>
            <w:tcBorders>
              <w:top w:val="single" w:color="D9D9D9" w:sz="1"/>
              <w:left w:val="single" w:color="D9D9D9" w:sz="1"/>
              <w:bottom w:val="single" w:color="D9D9D9" w:sz="1"/>
              <w:right w:val="single" w:color="D9D9D9" w:sz="1"/>
            </w:tcBorders>
            <w:shd w:fill="E8F0E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~detik per fold</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Device robustness</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Standar</w:t>
            </w:r>
          </w:p>
        </w:tc>
        <w:tc>
          <w:tcPr>
            <w:tcW w:type="dxa" w:w="3510"/>
            <w:tcBorders>
              <w:top w:val="single" w:color="D9D9D9" w:sz="1"/>
              <w:left w:val="single" w:color="D9D9D9" w:sz="1"/>
              <w:bottom w:val="single" w:color="D9D9D9" w:sz="1"/>
              <w:right w:val="single" w:color="D9D9D9" w:sz="1"/>
            </w:tcBorders>
            <w:shd w:fill="E8F0E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Superior (MRR=0,745 vs 0,497)</w:t>
            </w:r>
          </w:p>
        </w:tc>
      </w:tr>
    </w:tbl>
    <w:p>
      <w:pPr>
        <w:spacing w:before="200" w:after="200"/>
      </w:pPr>
    </w:p>
    <w:p>
      <w:pPr>
        <w:pStyle w:val="Heading1"/>
      </w:pPr>
      <w:r>
        <w:t xml:space="preserve">Pipeline Trial 5</w:t>
      </w:r>
    </w:p>
    <w:p>
      <w:pPr>
        <w:spacing w:after="200"/>
      </w:pPr>
      <w:r>
        <w:t xml:space="preserve">Pipeline Trial 5 fundamental berbeda dari Trial 1–4. Alih-alih melatih model end-to-end, kami menggunakan HeAR sebagai </w:t>
      </w:r>
      <w:r>
        <w:rPr>
          <w:i/>
          <w:iCs/>
        </w:rPr>
        <w:t xml:space="preserve">feature extractor</w:t>
      </w:r>
      <w:r>
        <w:t xml:space="preserve"> — meng-ekstrak representasi (embedding) dari setiap segmen audio, lalu melatih classifier ringan di atas embedding tersebut.</w:t>
      </w:r>
    </w:p>
    <w:p>
      <w:pPr>
        <w:pStyle w:val="ListParagraph"/>
        <w:numPr>
          <w:ilvl w:val="0"/>
          <w:numId w:val="2"/>
        </w:numPr>
        <w:spacing w:after="100"/>
      </w:pPr>
      <w:r>
        <w:rPr>
          <w:b/>
          <w:bCs/>
        </w:rPr>
        <w:t xml:space="preserve">Langkah 1: Segmentasi. </w:t>
      </w:r>
      <w:r>
        <w:t xml:space="preserve">Concatenate semua cough files per pasien, potong menjadi segmen 2 detik (HeAR native). Menghasilkan 2.216 segmen dari 1.082 pasien (rata-rata 2,0 segmen per pasien).</w:t>
      </w:r>
    </w:p>
    <w:p>
      <w:pPr>
        <w:pStyle w:val="ListParagraph"/>
        <w:numPr>
          <w:ilvl w:val="0"/>
          <w:numId w:val="2"/>
        </w:numPr>
        <w:spacing w:after="100"/>
      </w:pPr>
      <w:r>
        <w:rPr>
          <w:b/>
          <w:bCs/>
        </w:rPr>
        <w:t xml:space="preserve">Langkah 2: Ekstrak embeddings. </w:t>
      </w:r>
      <w:r>
        <w:t xml:space="preserve">Setiap segmen 2 detik di-pass melalui HeAR (frozen) untuk menghasilkan vector 1.024 dimensi. Proses ini hanya dilakukan sekali (~1 menit untuk semua 2.216 segmen).</w:t>
      </w:r>
    </w:p>
    <w:p>
      <w:pPr>
        <w:pStyle w:val="ListParagraph"/>
        <w:numPr>
          <w:ilvl w:val="0"/>
          <w:numId w:val="2"/>
        </w:numPr>
        <w:spacing w:after="100"/>
      </w:pPr>
      <w:r>
        <w:rPr>
          <w:b/>
          <w:bCs/>
        </w:rPr>
        <w:t xml:space="preserve">Langkah 3: Train classifier. </w:t>
      </w:r>
      <w:r>
        <w:t xml:space="preserve">MLP ringan (1024→128→1, ~131K parameter) dilatih di atas embeddings. 30 epochs dengan early stopping. Training per fold hanya hitungan detik.</w:t>
      </w:r>
    </w:p>
    <w:p>
      <w:pPr>
        <w:pStyle w:val="ListParagraph"/>
        <w:numPr>
          <w:ilvl w:val="0"/>
          <w:numId w:val="2"/>
        </w:numPr>
        <w:spacing w:after="200"/>
      </w:pPr>
      <w:r>
        <w:rPr>
          <w:b/>
          <w:bCs/>
        </w:rPr>
        <w:t xml:space="preserve">Langkah 4: Soft voting. </w:t>
      </w:r>
      <w:r>
        <w:t xml:space="preserve">Prediksi dari semua segmen per pasien dirata-ratakan untuk mendapat satu skor prediksi per pasien.</w:t>
      </w:r>
    </w:p>
    <w:p>
      <w:pPr>
        <w:pStyle w:val="Heading1"/>
      </w:pPr>
      <w:r>
        <w:t xml:space="preserve">Hasil Trial Kelima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1560"/>
        <w:gridCol w:w="1400"/>
        <w:gridCol w:w="1400"/>
      </w:tblGrid>
      <w:t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AUROC</w:t>
            </w:r>
          </w:p>
        </w:tc>
        <w:tc>
          <w:tcPr>
            <w:tcW w:type="dxa" w:w="2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Interpretasi</w:t>
            </w:r>
          </w:p>
        </w:tc>
        <w:tc>
          <w:tcPr>
            <w:tcW w:type="dxa" w:w="1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Early Stop</w:t>
            </w:r>
          </w:p>
        </w:tc>
        <w:tc>
          <w:tcPr>
            <w:tcW w:type="dxa" w:w="1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w:t>
            </w:r>
          </w:p>
        </w:tc>
        <w:tc>
          <w:tcPr>
            <w:tcW w:type="dxa" w:w="1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0,6888</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Kurang</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8</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1.985</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231</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0,7097</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Cukup</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13</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1.989</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227</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0,7556</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Baik</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17</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2.000</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216</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8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0,8699</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Sangat Baik</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10</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1.979</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237</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8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0,6189</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Kurang</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11</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2.026</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0,7189</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Cukup</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6</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1.995</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221</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0,7385</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Cukup</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19</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2.001</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215</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0,6814</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Kurang</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6</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1.981</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235</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0,6883</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Kurang</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21</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1.992</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224</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0,7176</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Cukup</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12</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1.996</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220</w:t>
            </w:r>
          </w:p>
        </w:tc>
      </w:tr>
      <w:tr>
        <w:tc>
          <w:tcPr>
            <w:tcW w:type="dxa" w:w="1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Rata-rata</w:t>
            </w:r>
          </w:p>
        </w:tc>
        <w:tc>
          <w:tcPr>
            <w:tcW w:type="dxa" w:w="18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0,719 ± 0,062</w:t>
            </w:r>
          </w:p>
        </w:tc>
        <w:tc>
          <w:tcPr>
            <w:tcW w:type="dxa" w:w="20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Setara Wav2Vec2</w:t>
            </w:r>
          </w:p>
        </w:tc>
        <w:tc>
          <w:tcPr>
            <w:tcW w:type="dxa" w:w="15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~1.994</w:t>
            </w:r>
          </w:p>
        </w:tc>
        <w:tc>
          <w:tcPr>
            <w:tcW w:type="dxa" w:w="1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~222</w:t>
            </w:r>
          </w:p>
        </w:tc>
      </w:tr>
    </w:tbl>
    <w:p>
      <w:pPr>
        <w:spacing w:before="200" w:after="200"/>
      </w:pPr>
    </w:p>
    <w:p>
      <w:pPr>
        <w:pStyle w:val="Heading1"/>
      </w:pPr>
      <w:r>
        <w:t xml:space="preserve">Perbandingan: Wav2Vec2 vs HeAR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Metrik</w:t>
            </w:r>
          </w:p>
        </w:tc>
        <w:tc>
          <w:tcPr>
            <w:tcW w:type="dxa" w:w="35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Wav2Vec2 (Trial 1 re-run)</w:t>
            </w:r>
          </w:p>
        </w:tc>
        <w:tc>
          <w:tcPr>
            <w:tcW w:type="dxa" w:w="35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HeAR (Trial 5)</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Mean AUROC</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0,718 ± 0,067</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0,719 ± 0,062</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Best fold</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0,861 (Fold 4)</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0,870 (Fold 4)</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Worst fold</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0,660 (Fold 2)</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0,619 (Fold 5)</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Segment duration</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 detik</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 detik</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Total segments</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1.818</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2.216</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Seg/patient</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Training time/fold</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 jam</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~detik</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Trainable params</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~100K (head)</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~131K (head)</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Delta</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+0,001 (negligible)</w:t>
            </w:r>
          </w:p>
        </w:tc>
      </w:tr>
    </w:tbl>
    <w:p>
      <w:pPr>
        <w:spacing w:before="200" w:after="200"/>
      </w:pPr>
    </w:p>
    <w:p>
      <w:pPr>
        <w:spacing w:after="200"/>
      </w:pPr>
      <w:r>
        <w:t xml:space="preserve">Kedua model mencapai performa yang </w:t>
      </w:r>
      <w:r>
        <w:rPr>
          <w:b/>
          <w:bCs/>
        </w:rPr>
        <w:t xml:space="preserve">secara statistik tidak berbeda</w:t>
      </w:r>
      <w:r>
        <w:t xml:space="preserve"> (delta hanya 0,001 AUROC). Pola per-fold juga sangat mirip: Fold 4 selalu jadi yang terbaik di kedua model, menunjukkan bahwa variasi performa lebih ditentukan oleh komposisi data per fold daripada kemampuan model.</w:t>
      </w:r>
    </w:p>
    <w:p>
      <w:r>
        <w:br w:type="page"/>
      </w:r>
    </w:p>
    <w:p>
      <w:pPr>
        <w:pStyle w:val="Heading1"/>
      </w:pPr>
      <w:r>
        <w:t xml:space="preserve">Mengapa HeAR Tidak Lebih Baik?</w:t>
      </w:r>
    </w:p>
    <w:p>
      <w:pPr>
        <w:pStyle w:val="Heading2"/>
      </w:pPr>
      <w:r>
        <w:t xml:space="preserve">Bottleneck Bukan di Model</w:t>
      </w:r>
    </w:p>
    <w:p>
      <w:pPr>
        <w:spacing w:after="200"/>
      </w:pPr>
      <w:r>
        <w:t xml:space="preserve">Setelah 5 trial dengan variasi preprocessing, segmentasi, fine-tuning depth, dan sekarang backbone model yang fundamental berbeda, AUROC konsisten di band 0,69–0,73. Ini mengkonfirmasi bahwa </w:t>
      </w:r>
      <w:r>
        <w:rPr>
          <w:b/>
          <w:bCs/>
        </w:rPr>
        <w:t xml:space="preserve">ceiling performa ditentukan oleh dataset dan task, bukan model.</w:t>
      </w:r>
    </w:p>
    <w:p>
      <w:pPr>
        <w:spacing w:after="200"/>
      </w:pPr>
      <w:r>
        <w:t xml:space="preserve">CODA TB adalah dataset yang sangat challenging: semua pasien sudah symptomatic (batuk, demam, dll). Task-nya bukan membedakan "orang sakit vs sehat" (yang mudah), melainkan "TB vs penyakit pernapasan lain yang gejalanya mirip" (yang sulit). DREAM Challenge winner pun hanya mencapai 0,743 pada dataset ini.</w:t>
      </w:r>
    </w:p>
    <w:p>
      <w:pPr>
        <w:pStyle w:val="Heading2"/>
      </w:pPr>
      <w:r>
        <w:t xml:space="preserve">HeAR Pre-training Domain</w:t>
      </w:r>
    </w:p>
    <w:p>
      <w:pPr>
        <w:spacing w:after="200"/>
      </w:pPr>
      <w:r>
        <w:t xml:space="preserve">HeAR dilatih pada YouTube audio yang dideteksi sebagai suara kesehatan. Meskipun ini termasuk batuk, kualitas dan konteks rekaman YouTube sangat berbeda dari rekaman klinik CODA TB. Possible domain gap antara "YouTube health sounds" dan "clinical cough recordings from 7 countries" bisa menjelaskan mengapa HeAR tidak superior.</w:t>
      </w:r>
    </w:p>
    <w:p>
      <w:pPr>
        <w:pStyle w:val="Heading2"/>
      </w:pPr>
      <w:r>
        <w:t xml:space="preserve">Keuntungan Praktis HeAR</w:t>
      </w:r>
    </w:p>
    <w:p>
      <w:pPr>
        <w:spacing w:after="200"/>
      </w:pPr>
      <w:r>
        <w:t xml:space="preserve">Meskipun tidak superior dalam AUROC, HeAR memiliki keuntungan praktis yang signifikan:</w:t>
      </w:r>
    </w:p>
    <w:p>
      <w:pPr>
        <w:pStyle w:val="ListParagraph"/>
        <w:numPr>
          <w:ilvl w:val="0"/>
          <w:numId w:val="2"/>
        </w:numPr>
        <w:spacing w:after="100"/>
      </w:pPr>
      <w:r>
        <w:rPr>
          <w:b/>
          <w:bCs/>
        </w:rPr>
        <w:t xml:space="preserve">Training 100x lebih cepat. </w:t>
      </w:r>
      <w:r>
        <w:t xml:space="preserve">Detik per fold vs jam per fold. Ini memungkinkan iterasi dan eksperimen lebih cepat.</w:t>
      </w:r>
    </w:p>
    <w:p>
      <w:pPr>
        <w:pStyle w:val="ListParagraph"/>
        <w:numPr>
          <w:ilvl w:val="0"/>
          <w:numId w:val="2"/>
        </w:numPr>
        <w:spacing w:after="100"/>
      </w:pPr>
      <w:r>
        <w:rPr>
          <w:b/>
          <w:bCs/>
        </w:rPr>
        <w:t xml:space="preserve">Device generalizability superior. </w:t>
      </w:r>
      <w:r>
        <w:t xml:space="preserve">HeAR paper menunjukkan MRR=0,745 untuk generalisasi antar perangkat, jauh di atas model lain. Ini krusial untuk deployment di puskesmas Indonesia dengan beragam smartphone.</w:t>
      </w:r>
    </w:p>
    <w:p>
      <w:pPr>
        <w:pStyle w:val="ListParagraph"/>
        <w:numPr>
          <w:ilvl w:val="0"/>
          <w:numId w:val="2"/>
        </w:numPr>
        <w:spacing w:after="200"/>
      </w:pPr>
      <w:r>
        <w:rPr>
          <w:b/>
          <w:bCs/>
        </w:rPr>
        <w:t xml:space="preserve">Data efficient. </w:t>
      </w:r>
      <w:r>
        <w:t xml:space="preserve">HeAR bisa mencapai performa yang sama dengan hanya 6,25% data training. Penting ketika kita mulai dengan dataset Indonesia yang kecil.</w:t>
      </w:r>
    </w:p>
    <w:p>
      <w:pPr>
        <w:pStyle w:val="Heading1"/>
      </w:pPr>
      <w:r>
        <w:t xml:space="preserve">Rangkuman: Lima Trial RespiraHub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100"/>
        <w:gridCol w:w="1500"/>
        <w:gridCol w:w="1560"/>
        <w:gridCol w:w="1600"/>
      </w:tblGrid>
      <w:tr>
        <w:tc>
          <w:tcPr>
            <w:tcW w:type="dxa" w:w="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Trial</w:t>
            </w:r>
          </w:p>
        </w:tc>
        <w:tc>
          <w:tcPr>
            <w:tcW w:type="dxa" w:w="17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1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Perubahan</w:t>
            </w:r>
          </w:p>
        </w:tc>
        <w:tc>
          <w:tcPr>
            <w:tcW w:type="dxa" w:w="1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AUROC</w:t>
            </w:r>
          </w:p>
        </w:tc>
        <w:tc>
          <w:tcPr>
            <w:tcW w:type="dxa" w:w="1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Variance</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w:t>
            </w:r>
          </w:p>
        </w:tc>
      </w:tr>
      <w:tr>
        <w:tc>
          <w:tcPr>
            <w:tcW w:type="dxa" w:w="9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17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Wav2Vec2</w:t>
            </w:r>
          </w:p>
        </w:tc>
        <w:tc>
          <w:tcPr>
            <w:tcW w:type="dxa" w:w="21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Baseline (freeze, 3s)</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0,718</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±0,067</w:t>
            </w:r>
          </w:p>
        </w:tc>
        <w:tc>
          <w:tcPr>
            <w:tcW w:type="dxa" w:w="1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Re-run baseline</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w:t>
            </w:r>
          </w:p>
        </w:tc>
        <w:tc>
          <w:tcPr>
            <w:tcW w:type="dxa" w:w="1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Wav2Vec2</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Per-file padding</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0,693</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±0,044</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Terlalu banyak silence</w:t>
            </w:r>
          </w:p>
        </w:tc>
      </w:tr>
      <w:tr>
        <w:tc>
          <w:tcPr>
            <w:tcW w:type="dxa" w:w="9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w:t>
            </w:r>
          </w:p>
        </w:tc>
        <w:tc>
          <w:tcPr>
            <w:tcW w:type="dxa" w:w="17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Wav2Vec2</w:t>
            </w:r>
          </w:p>
        </w:tc>
        <w:tc>
          <w:tcPr>
            <w:tcW w:type="dxa" w:w="21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files/segment</w:t>
            </w:r>
          </w:p>
        </w:tc>
        <w:tc>
          <w:tcPr>
            <w:tcW w:type="dxa" w:w="15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0,725</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±0,072</w:t>
            </w:r>
          </w:p>
        </w:tc>
        <w:tc>
          <w:tcPr>
            <w:tcW w:type="dxa" w:w="1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Konten terbaik</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w:t>
            </w:r>
          </w:p>
        </w:tc>
        <w:tc>
          <w:tcPr>
            <w:tcW w:type="dxa" w:w="1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Wav2Vec2</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Unfreeze 2 layers</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0,696</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±0,074</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Overfitting</w:t>
            </w:r>
          </w:p>
        </w:tc>
      </w:tr>
      <w:tr>
        <w:tc>
          <w:tcPr>
            <w:tcW w:type="dxa" w:w="9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5</w:t>
            </w:r>
          </w:p>
        </w:tc>
        <w:tc>
          <w:tcPr>
            <w:tcW w:type="dxa" w:w="17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HeAR</w:t>
            </w:r>
          </w:p>
        </w:tc>
        <w:tc>
          <w:tcPr>
            <w:tcW w:type="dxa" w:w="21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Health acoustic model</w:t>
            </w:r>
          </w:p>
        </w:tc>
        <w:tc>
          <w:tcPr>
            <w:tcW w:type="dxa" w:w="1500"/>
            <w:tcBorders>
              <w:top w:val="single" w:color="D9D9D9" w:sz="1"/>
              <w:left w:val="single" w:color="D9D9D9" w:sz="1"/>
              <w:bottom w:val="single" w:color="D9D9D9" w:sz="1"/>
              <w:right w:val="single" w:color="D9D9D9" w:sz="1"/>
            </w:tcBorders>
            <w:shd w:fill="E8F0FE"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0,719</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±0,062</w:t>
            </w:r>
          </w:p>
        </w:tc>
        <w:tc>
          <w:tcPr>
            <w:tcW w:type="dxa" w:w="1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Setara W2V</w:t>
            </w:r>
          </w:p>
        </w:tc>
      </w:tr>
      <w:tr>
        <w:tc>
          <w:tcPr>
            <w:tcW w:type="dxa" w:w="9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DREAM</w:t>
            </w:r>
          </w:p>
        </w:tc>
        <w:tc>
          <w:tcPr>
            <w:tcW w:type="dxa" w:w="21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Challenge Winner</w:t>
            </w:r>
          </w:p>
        </w:tc>
        <w:tc>
          <w:tcPr>
            <w:tcW w:type="dxa" w:w="15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0,743</w:t>
            </w:r>
          </w:p>
        </w:tc>
        <w:tc>
          <w:tcPr>
            <w:tcW w:type="dxa" w:w="15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N/A</w:t>
            </w:r>
          </w:p>
        </w:tc>
        <w:tc>
          <w:tcPr>
            <w:tcW w:type="dxa" w:w="1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Rank 1 dunia</w:t>
            </w:r>
          </w:p>
        </w:tc>
      </w:tr>
    </w:tbl>
    <w:p>
      <w:pPr>
        <w:spacing w:before="200" w:after="200"/>
      </w:pPr>
    </w:p>
    <w:p>
      <w:pPr>
        <w:pStyle w:val="Heading1"/>
      </w:pPr>
      <w:r>
        <w:t xml:space="preserve">Langkah Selanjutnya: Dual-Backbone Ensemble (Trial 6)</w:t>
      </w:r>
    </w:p>
    <w:p>
      <w:pPr>
        <w:spacing w:after="200"/>
      </w:pPr>
      <w:r>
        <w:t xml:space="preserve">Meskipun Wav2Vec2 dan HeAR mencapai AUROC yang sama, mereka kemungkinan menangkap aspek yang berbeda dari sinyal audio. Wav2Vec2 belajar pola temporal speech, sementara HeAR belajar fitur akustik kesehatan. </w:t>
      </w:r>
      <w:r>
        <w:rPr>
          <w:b/>
          <w:bCs/>
        </w:rPr>
        <w:t xml:space="preserve">Menggabungkan keduanya bisa memberikan representasi yang lebih kaya.</w:t>
      </w:r>
    </w:p>
    <w:p>
      <w:pPr>
        <w:spacing w:after="200"/>
      </w:pPr>
      <w:r>
        <w:t xml:space="preserve">Trial 6 akan meng-concatenate embeddings dari kedua model (768 + 1024 = 1.792 dimensi) dan melatih classifier di atas representasi gabungan. Teknik ensemble seperti ini sering memberikan peningkatan 2–5% AUROC dalam literatur machine learning.</w:t>
      </w:r>
    </w:p>
    <w:p>
      <w:pPr>
        <w:spacing w:after="200"/>
      </w:pPr>
      <w:r>
        <w:t xml:space="preserve">Selain itu, performa setara antara dua backbone yang sangat berbeda ini menjadi </w:t>
      </w:r>
      <w:r>
        <w:rPr>
          <w:b/>
          <w:bCs/>
        </w:rPr>
        <w:t xml:space="preserve">temuan utama untuk benchmark paper</w:t>
      </w:r>
      <w:r>
        <w:t xml:space="preserve">: systematic comparison antara speech vs health-specific foundation model pada task TB screening — sesuatu yang belum pernah dilaporkan sebelumnya.</w:t>
      </w:r>
    </w:p>
    <w:p>
      <w:pPr>
        <w:spacing w:before="400"/>
      </w:pPr>
    </w:p>
    <w:p>
      <w:pPr>
        <w:pBdr>
          <w:top w:val="single" w:color="2E75B6" w:sz="6" w:space="1"/>
        </w:pBdr>
        <w:spacing w:before="200" w:after="200"/>
      </w:pPr>
    </w:p>
    <w:p>
      <w:pPr>
        <w:jc w:val="center"/>
      </w:pPr>
      <w:r>
        <w:rPr>
          <w:i/>
          <w:iCs/>
          <w:color w:val="808080"/>
          <w:sz w:val="20"/>
          <w:szCs w:val="20"/>
        </w:rPr>
        <w:t xml:space="preserve">Dokumen ini bersifat internal. </w:t>
      </w:r>
      <w:r>
        <w:rPr>
          <w:i/>
          <w:iCs/>
          <w:color w:val="808080"/>
          <w:sz w:val="20"/>
          <w:szCs w:val="20"/>
        </w:rPr>
        <w:t xml:space="preserve">Disiapkan oleh Tim Engineering RespiraHub, Februari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Halaman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2E75B6"/>
        <w:sz w:val="18"/>
        <w:szCs w:val="18"/>
      </w:rPr>
      <w:t xml:space="preserve">RespiraHub </w:t>
    </w:r>
    <w:r>
      <w:rPr>
        <w:rFonts w:ascii="Arial" w:cs="Arial" w:eastAsia="Arial" w:hAnsi="Arial"/>
        <w:color w:val="808080"/>
        <w:sz w:val="18"/>
        <w:szCs w:val="18"/>
      </w:rPr>
      <w:t xml:space="preserve">| Trial Kelima — Dokumen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2026-02-22T10:21:13.443Z</dcterms:created>
  <dcterms:modified xsi:type="dcterms:W3CDTF">2026-02-22T10:21:13.444Z</dcterms:modified>
</cp:coreProperties>
</file>

<file path=docProps/custom.xml><?xml version="1.0" encoding="utf-8"?>
<Properties xmlns="http://schemas.openxmlformats.org/officeDocument/2006/custom-properties" xmlns:vt="http://schemas.openxmlformats.org/officeDocument/2006/docPropsVTypes"/>
</file>