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2FDD" w14:textId="4998ABEC" w:rsidR="00E95F6D" w:rsidRPr="000E1450" w:rsidRDefault="001D50C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Cost</w:t>
      </w:r>
      <w:r w:rsidRPr="000E145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-Effectiveness of Watchful Waiting vs Immediate </w:t>
      </w:r>
      <w:r w:rsidR="000A5E52" w:rsidRPr="000E145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Emergency Department </w:t>
      </w:r>
      <w:r w:rsidRPr="000E145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Transfer After Epinephrine Autoinjector Use in </w:t>
      </w:r>
      <w:r w:rsidRPr="000E145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Canada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25EE429D" w14:textId="77777777" w:rsidR="001D50C3" w:rsidRPr="000E1450" w:rsidRDefault="001D50C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0BA289AA" w14:textId="709DD3E5" w:rsidR="001D50C3" w:rsidRPr="000E1450" w:rsidRDefault="00241EE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Rational</w:t>
      </w:r>
      <w:r w:rsidR="00E91E1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: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B74CE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Patients experiencing food-related anaphylactic reactions frequently undergo immediate emergency department (ED) transfer following epinephrine administration, even though most of them are stable on presentation and do not require further medical intervention. 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We aimed</w:t>
      </w:r>
      <w:r w:rsidR="002B74CE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to evaluate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the cost-effectiveness of watchful and wait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approach 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compared to immediate ED transfer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after receiving outpatient e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pinephrine 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a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utoinjector</w:t>
      </w:r>
      <w:r w:rsidR="004936D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6CCAA64B" w14:textId="77777777" w:rsidR="00241EE3" w:rsidRPr="000E1450" w:rsidRDefault="00241EE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6CF2548A" w14:textId="5C08685D" w:rsidR="00241EE3" w:rsidRPr="000E1450" w:rsidRDefault="00E91E1C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Methods</w:t>
      </w:r>
      <w:r w:rsidR="000C6B7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2EE31FA4" w14:textId="0AFFEE58" w:rsidR="00C43C79" w:rsidRPr="000E1450" w:rsidRDefault="00E91E1C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We performed a cost-effectiveness analysis through Markov modeling simulation 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over a 20-years horizon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to compare </w:t>
      </w:r>
      <w:r w:rsidR="0041066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the watchful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waiting approach with immediate transfer to the Emergency Department (ED) following a severe allergic reaction and the use of an epinephrine autoinjector (EAI) in a non-medical setting.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The base-case model assumes </w:t>
      </w:r>
      <w:r w:rsidR="00176AD2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a 10-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fold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increase in food allergy-related 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fatality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risk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6B0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for patients who adopt the "watchful waiting" approach</w:t>
      </w:r>
      <w:r w:rsidR="00C43C79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.</w:t>
      </w:r>
      <w:r w:rsidR="00C43C79" w:rsidRPr="000E1450">
        <w:rPr>
          <w:rFonts w:ascii="Times New Roman" w:hAnsi="Times New Roman" w:cs="Times New Roman"/>
        </w:rPr>
        <w:t xml:space="preserve"> </w:t>
      </w:r>
      <w:r w:rsidR="00140954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Outcomes </w:t>
      </w:r>
      <w:r w:rsidR="00140954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quality-adjusted life-years (QALY), costs, </w:t>
      </w:r>
      <w:r w:rsidR="00140954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C43C79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incremental cost per life year saved. Additionally, </w:t>
      </w:r>
      <w:r w:rsidR="007B31B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one-way deterministic sensitivity analyses</w:t>
      </w:r>
      <w:r w:rsidR="00C43C79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B31B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were</w:t>
      </w:r>
      <w:r w:rsidR="00C43C79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performed.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530C983" w14:textId="77777777" w:rsidR="00C43C79" w:rsidRPr="000E1450" w:rsidRDefault="00C43C79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7AF77E61" w14:textId="508146FE" w:rsidR="001D50C3" w:rsidRPr="000E1450" w:rsidRDefault="001D50C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Results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50D7886F" w14:textId="1064F7B7" w:rsidR="001D50C3" w:rsidRPr="000E1450" w:rsidRDefault="000B5580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The benefit of immediate ED transfer for reducing allergy-related fatalities is minimal,</w:t>
      </w:r>
      <w:r w:rsidR="0041066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with a 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reduction in 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pre-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patient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1066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allergy related fatality 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rate of 5</w:t>
      </w:r>
      <m:oMath>
        <m:r>
          <w:rPr>
            <w:rStyle w:val="eop"/>
            <w:rFonts w:ascii="Cambria Math" w:hAnsi="Cambria Math" w:cs="Times New Roman"/>
            <w:color w:val="000000"/>
            <w:shd w:val="clear" w:color="auto" w:fill="FFFFFF"/>
          </w:rPr>
          <m:t>×</m:t>
        </m:r>
        <m:sSup>
          <m:sSupPr>
            <m:ctrlPr>
              <w:rPr>
                <w:rStyle w:val="eop"/>
                <w:rFonts w:ascii="Cambria Math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Style w:val="eop"/>
                <w:rFonts w:ascii="Cambria Math" w:hAnsi="Cambria Math" w:cs="Times New Roman"/>
                <w:color w:val="000000"/>
                <w:shd w:val="clear" w:color="auto" w:fill="FFFFFF"/>
              </w:rPr>
              <m:t>10</m:t>
            </m:r>
          </m:e>
          <m:sup>
            <m:r>
              <w:rPr>
                <w:rStyle w:val="eop"/>
                <w:rFonts w:ascii="Cambria Math" w:hAnsi="Cambria Math" w:cs="Times New Roman"/>
                <w:color w:val="000000"/>
                <w:shd w:val="clear" w:color="auto" w:fill="FFFFFF"/>
              </w:rPr>
              <m:t>-8</m:t>
            </m:r>
          </m:sup>
        </m:sSup>
      </m:oMath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over 20-year horizon 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compared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to watch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ful and wait. 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The incremental cost per life year saved was 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$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5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741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</w:t>
      </w:r>
      <w:r w:rsidR="00FF561B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910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for immediate ED transfer v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ersus </w:t>
      </w:r>
      <w:r w:rsidR="0077116C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watchful and wait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, which 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decrease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d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to $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521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94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8 if a 100-fold fatality risk was assumed, and 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further decreased to 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$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103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51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4 and $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51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680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for 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500-fold and 1000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-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fold increase in fatality risk</w:t>
      </w:r>
      <w:r w:rsidR="001848CD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, respectively.</w:t>
      </w:r>
    </w:p>
    <w:p w14:paraId="690DC667" w14:textId="77777777" w:rsidR="00775D9F" w:rsidRPr="000E1450" w:rsidRDefault="00775D9F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6454A221" w14:textId="6B1586BB" w:rsidR="001D50C3" w:rsidRPr="000E1450" w:rsidRDefault="001D50C3" w:rsidP="000E1450">
      <w:pPr>
        <w:spacing w:line="360" w:lineRule="auto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Conclusion</w:t>
      </w:r>
      <w:r w:rsidR="00775D9F"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13A244FB" w14:textId="24466B0D" w:rsidR="000B5580" w:rsidRPr="000E1450" w:rsidRDefault="00522C4E" w:rsidP="000E1450">
      <w:pPr>
        <w:spacing w:line="360" w:lineRule="auto"/>
        <w:rPr>
          <w:rFonts w:ascii="Times New Roman" w:hAnsi="Times New Roman" w:cs="Times New Roman"/>
        </w:rPr>
      </w:pP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For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patients with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food-related anaphylactic reactions who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received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epinephrine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outside medical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 settings,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Immediate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transfer to ED offers minimal benefits considering the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excessive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 xml:space="preserve">costs. Given this context, immediate ED transfer might not 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be cost-effective</w:t>
      </w:r>
      <w:r w:rsidRPr="000E1450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.</w:t>
      </w:r>
    </w:p>
    <w:sectPr w:rsidR="000B5580" w:rsidRPr="000E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C3"/>
    <w:rsid w:val="0003031B"/>
    <w:rsid w:val="00031654"/>
    <w:rsid w:val="00037760"/>
    <w:rsid w:val="00040960"/>
    <w:rsid w:val="0005791F"/>
    <w:rsid w:val="00062F67"/>
    <w:rsid w:val="00067547"/>
    <w:rsid w:val="00073262"/>
    <w:rsid w:val="00073A90"/>
    <w:rsid w:val="00081712"/>
    <w:rsid w:val="00083C10"/>
    <w:rsid w:val="000A5E52"/>
    <w:rsid w:val="000B5580"/>
    <w:rsid w:val="000C6B7D"/>
    <w:rsid w:val="000D2868"/>
    <w:rsid w:val="000D787B"/>
    <w:rsid w:val="000E1450"/>
    <w:rsid w:val="00133D14"/>
    <w:rsid w:val="00140954"/>
    <w:rsid w:val="00145E0A"/>
    <w:rsid w:val="00176AD2"/>
    <w:rsid w:val="001848CD"/>
    <w:rsid w:val="001C3A68"/>
    <w:rsid w:val="001D50C3"/>
    <w:rsid w:val="001E173D"/>
    <w:rsid w:val="00206438"/>
    <w:rsid w:val="00212AFE"/>
    <w:rsid w:val="00241EE3"/>
    <w:rsid w:val="00242FAB"/>
    <w:rsid w:val="00283199"/>
    <w:rsid w:val="002B74CE"/>
    <w:rsid w:val="002D1F18"/>
    <w:rsid w:val="002F4580"/>
    <w:rsid w:val="003138DB"/>
    <w:rsid w:val="00352B3F"/>
    <w:rsid w:val="00354F2F"/>
    <w:rsid w:val="0035532D"/>
    <w:rsid w:val="00381063"/>
    <w:rsid w:val="003E4DC1"/>
    <w:rsid w:val="0041066D"/>
    <w:rsid w:val="00415163"/>
    <w:rsid w:val="00433921"/>
    <w:rsid w:val="004535D2"/>
    <w:rsid w:val="004601DD"/>
    <w:rsid w:val="004936DC"/>
    <w:rsid w:val="00493D0E"/>
    <w:rsid w:val="004B010E"/>
    <w:rsid w:val="004C4992"/>
    <w:rsid w:val="00507A13"/>
    <w:rsid w:val="005136D0"/>
    <w:rsid w:val="00522C4E"/>
    <w:rsid w:val="00533E1F"/>
    <w:rsid w:val="00535940"/>
    <w:rsid w:val="00536659"/>
    <w:rsid w:val="0054287A"/>
    <w:rsid w:val="0055040F"/>
    <w:rsid w:val="00550FCF"/>
    <w:rsid w:val="005728C5"/>
    <w:rsid w:val="00586B0F"/>
    <w:rsid w:val="005A0B24"/>
    <w:rsid w:val="005A1A45"/>
    <w:rsid w:val="005A1B8E"/>
    <w:rsid w:val="005B1CD4"/>
    <w:rsid w:val="005D6114"/>
    <w:rsid w:val="005E1677"/>
    <w:rsid w:val="00613145"/>
    <w:rsid w:val="0061382A"/>
    <w:rsid w:val="00653667"/>
    <w:rsid w:val="0066651C"/>
    <w:rsid w:val="00676E2C"/>
    <w:rsid w:val="006824D9"/>
    <w:rsid w:val="00693896"/>
    <w:rsid w:val="006B2FEE"/>
    <w:rsid w:val="006C1D36"/>
    <w:rsid w:val="00701FF2"/>
    <w:rsid w:val="00717234"/>
    <w:rsid w:val="007433E8"/>
    <w:rsid w:val="007528C9"/>
    <w:rsid w:val="00762205"/>
    <w:rsid w:val="007639FB"/>
    <w:rsid w:val="0077116C"/>
    <w:rsid w:val="00775D9F"/>
    <w:rsid w:val="00776787"/>
    <w:rsid w:val="007934BE"/>
    <w:rsid w:val="007B31BB"/>
    <w:rsid w:val="007B57DC"/>
    <w:rsid w:val="007C7CDC"/>
    <w:rsid w:val="007E24AE"/>
    <w:rsid w:val="007F5963"/>
    <w:rsid w:val="008042BC"/>
    <w:rsid w:val="0080440A"/>
    <w:rsid w:val="008075E8"/>
    <w:rsid w:val="00810E03"/>
    <w:rsid w:val="00815E0E"/>
    <w:rsid w:val="0083041A"/>
    <w:rsid w:val="00836C2F"/>
    <w:rsid w:val="008772E8"/>
    <w:rsid w:val="00881714"/>
    <w:rsid w:val="008866C8"/>
    <w:rsid w:val="008C156E"/>
    <w:rsid w:val="008D2EC9"/>
    <w:rsid w:val="00900256"/>
    <w:rsid w:val="009019BF"/>
    <w:rsid w:val="009715A7"/>
    <w:rsid w:val="0098611F"/>
    <w:rsid w:val="009A371F"/>
    <w:rsid w:val="009C24FC"/>
    <w:rsid w:val="009C7745"/>
    <w:rsid w:val="009E27BA"/>
    <w:rsid w:val="009E3D53"/>
    <w:rsid w:val="009E4159"/>
    <w:rsid w:val="009F0E0C"/>
    <w:rsid w:val="00A03797"/>
    <w:rsid w:val="00A72A1F"/>
    <w:rsid w:val="00A86D84"/>
    <w:rsid w:val="00AD173C"/>
    <w:rsid w:val="00AD5BC8"/>
    <w:rsid w:val="00AE4A72"/>
    <w:rsid w:val="00B26D15"/>
    <w:rsid w:val="00B327B7"/>
    <w:rsid w:val="00B6116A"/>
    <w:rsid w:val="00B8308F"/>
    <w:rsid w:val="00C3655F"/>
    <w:rsid w:val="00C43C79"/>
    <w:rsid w:val="00CB0CEC"/>
    <w:rsid w:val="00CB0EF0"/>
    <w:rsid w:val="00D41C7C"/>
    <w:rsid w:val="00D44482"/>
    <w:rsid w:val="00D8519C"/>
    <w:rsid w:val="00DB7E8B"/>
    <w:rsid w:val="00E057DC"/>
    <w:rsid w:val="00E435C6"/>
    <w:rsid w:val="00E53811"/>
    <w:rsid w:val="00E642F7"/>
    <w:rsid w:val="00E74954"/>
    <w:rsid w:val="00E82320"/>
    <w:rsid w:val="00E91E1C"/>
    <w:rsid w:val="00E93EDD"/>
    <w:rsid w:val="00E95F6D"/>
    <w:rsid w:val="00EF0F6D"/>
    <w:rsid w:val="00F27FF1"/>
    <w:rsid w:val="00F52F68"/>
    <w:rsid w:val="00F57BB2"/>
    <w:rsid w:val="00F80841"/>
    <w:rsid w:val="00FA3A55"/>
    <w:rsid w:val="00FD0A8D"/>
    <w:rsid w:val="00FF435F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179FC"/>
  <w15:chartTrackingRefBased/>
  <w15:docId w15:val="{3082D16D-5E11-A841-B7BE-C9CAB85F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D50C3"/>
  </w:style>
  <w:style w:type="character" w:customStyle="1" w:styleId="eop">
    <w:name w:val="eop"/>
    <w:basedOn w:val="DefaultParagraphFont"/>
    <w:rsid w:val="001D50C3"/>
  </w:style>
  <w:style w:type="character" w:styleId="PlaceholderText">
    <w:name w:val="Placeholder Text"/>
    <w:basedOn w:val="DefaultParagraphFont"/>
    <w:uiPriority w:val="99"/>
    <w:semiHidden/>
    <w:rsid w:val="00FF5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yinyiwei@student.ubc.ca</dc:creator>
  <cp:keywords/>
  <dc:description/>
  <cp:lastModifiedBy>yinyiwei@student.ubc.ca</cp:lastModifiedBy>
  <cp:revision>2</cp:revision>
  <dcterms:created xsi:type="dcterms:W3CDTF">2023-08-09T23:16:00Z</dcterms:created>
  <dcterms:modified xsi:type="dcterms:W3CDTF">2023-08-09T23:16:00Z</dcterms:modified>
</cp:coreProperties>
</file>