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860B"/>
          <w:spacing w:val="80"/>
          <w:sz w:val="18"/>
          <w:szCs w:val="18"/>
        </w:rPr>
        <w:t xml:space="preserve">MIGRATION RISK NOTE</w:t>
      </w:r>
    </w:p>
    <w:p>
      <w:pPr>
        <w:spacing w:after="80"/>
      </w:pPr>
      <w:r>
        <w:rPr>
          <w:rFonts w:ascii="Calibri" w:cs="Calibri" w:eastAsia="Calibri" w:hAnsi="Calibri"/>
          <w:b/>
          <w:bCs/>
          <w:color w:val="2C2C2C"/>
          <w:sz w:val="40"/>
          <w:szCs w:val="40"/>
        </w:rPr>
        <w:t xml:space="preserve">SharePoint SE, Document Sets and Nintex Forms</w:t>
      </w:r>
    </w:p>
    <w:p>
      <w:pPr>
        <w:spacing w:after="200"/>
      </w:pPr>
      <w:r>
        <w:rPr>
          <w:rFonts w:ascii="Calibri" w:cs="Calibri" w:eastAsia="Calibri" w:hAnsi="Calibri"/>
          <w:i/>
          <w:iCs/>
          <w:color w:val="555555"/>
          <w:sz w:val="22"/>
          <w:szCs w:val="22"/>
        </w:rPr>
        <w:t xml:space="preserve">Compatibility gap found during SharePoint 2019 → SE migration testing</w:t>
      </w:r>
    </w:p>
    <w:p>
      <w:pPr>
        <w:pBdr>
          <w:bottom w:val="single" w:color="B8860B" w:sz="16" w:space="1"/>
        </w:pBdr>
        <w:spacing w:after="200" w:before="0"/>
      </w:pPr>
    </w:p>
    <w:p>
      <w:pPr>
        <w:spacing w:after="40"/>
      </w:pPr>
      <w:r>
        <w:rPr>
          <w:rFonts w:ascii="Calibri" w:cs="Calibri" w:eastAsia="Calibri" w:hAnsi="Calibri"/>
          <w:b/>
          <w:bCs/>
          <w:color w:val="555555"/>
          <w:sz w:val="18"/>
          <w:szCs w:val="18"/>
        </w:rPr>
        <w:t xml:space="preserve">Prepared by</w:t>
      </w:r>
      <w:r>
        <w:rPr>
          <w:rFonts w:ascii="Calibri" w:cs="Calibri" w:eastAsia="Calibri" w:hAnsi="Calibri"/>
          <w:color w:val="2C2C2C"/>
          <w:sz w:val="18"/>
          <w:szCs w:val="18"/>
        </w:rPr>
        <w:t xml:space="preserve">  Joel, M365 Platform / SharePoint</w:t>
      </w:r>
    </w:p>
    <w:p>
      <w:pPr>
        <w:spacing w:after="40"/>
      </w:pPr>
      <w:r>
        <w:rPr>
          <w:rFonts w:ascii="Calibri" w:cs="Calibri" w:eastAsia="Calibri" w:hAnsi="Calibri"/>
          <w:b/>
          <w:bCs/>
          <w:color w:val="555555"/>
          <w:sz w:val="18"/>
          <w:szCs w:val="18"/>
        </w:rPr>
        <w:t xml:space="preserve">Date</w:t>
      </w:r>
      <w:r>
        <w:rPr>
          <w:rFonts w:ascii="Calibri" w:cs="Calibri" w:eastAsia="Calibri" w:hAnsi="Calibri"/>
          <w:color w:val="2C2C2C"/>
          <w:sz w:val="18"/>
          <w:szCs w:val="18"/>
        </w:rPr>
        <w:t xml:space="preserve">  July 2026</w:t>
      </w:r>
    </w:p>
    <w:p>
      <w:pPr>
        <w:spacing w:after="40"/>
      </w:pPr>
      <w:r>
        <w:rPr>
          <w:rFonts w:ascii="Calibri" w:cs="Calibri" w:eastAsia="Calibri" w:hAnsi="Calibri"/>
          <w:b/>
          <w:bCs/>
          <w:color w:val="555555"/>
          <w:sz w:val="18"/>
          <w:szCs w:val="18"/>
        </w:rPr>
        <w:t xml:space="preserve">Status</w:t>
      </w:r>
      <w:r>
        <w:rPr>
          <w:rFonts w:ascii="Calibri" w:cs="Calibri" w:eastAsia="Calibri" w:hAnsi="Calibri"/>
          <w:color w:val="2C2C2C"/>
          <w:sz w:val="18"/>
          <w:szCs w:val="18"/>
        </w:rPr>
        <w:t xml:space="preserve">  For review · Does not block the migration</w:t>
      </w:r>
    </w:p>
    <w:p>
      <w:pPr>
        <w:spacing w:after="240"/>
      </w:pPr>
    </w:p>
    <w:p>
      <w:pPr>
        <w:pStyle w:val="Heading2"/>
        <w:spacing w:after="140" w:before="320"/>
      </w:pPr>
      <w:r>
        <w:rPr>
          <w:rFonts w:ascii="Calibri" w:cs="Calibri" w:eastAsia="Calibri" w:hAnsi="Calibri"/>
          <w:b/>
          <w:bCs/>
          <w:color w:val="2C2C2C"/>
          <w:sz w:val="26"/>
          <w:szCs w:val="26"/>
        </w:rPr>
        <w:t xml:space="preserve">Why we’re migrating</w:t>
      </w:r>
    </w:p>
    <w:p>
      <w:pPr>
        <w:spacing w:after="180" w:line="300"/>
        <w:jc w:val="both"/>
      </w:pPr>
      <w:r>
        <w:rPr>
          <w:color w:val="2C2C2C"/>
          <w:sz w:val="22"/>
          <w:szCs w:val="22"/>
        </w:rPr>
        <w:t xml:space="preserve">The migration to SharePoint Server Subscription Edition (SE) isn’t a choice. SharePoint Server 2019 reaches end of support on 14 July 2026. Running a platform this size on an unsupported version isn’t defensible, and SE is Microsoft’s only supported forward path for on-premises SharePoint.</w:t>
      </w:r>
    </w:p>
    <w:p>
      <w:pPr>
        <w:spacing w:after="180" w:line="300"/>
        <w:jc w:val="both"/>
      </w:pPr>
      <w:r>
        <w:rPr>
          <w:color w:val="2C2C2C"/>
          <w:sz w:val="22"/>
          <w:szCs w:val="22"/>
        </w:rPr>
        <w:t xml:space="preserve">Like-for-like was the plan, and it holds for most of the estate. It doesn’t hold everywhere. SE is Microsoft’s evergreen on-prem product. It keeps adding modern capabilities while tightening support for older customisation patterns. That’s Microsoft’s direction, not ours to influence. A migration this size will find libraries where legacy behaviour can’t be reproduced exactly, because Microsoft has moved the platform forward on purpose.</w:t>
      </w:r>
    </w:p>
    <w:p>
      <w:pPr>
        <w:spacing w:after="180" w:line="300"/>
        <w:jc w:val="both"/>
      </w:pPr>
      <w:r>
        <w:rPr>
          <w:color w:val="2C2C2C"/>
          <w:sz w:val="22"/>
          <w:szCs w:val="22"/>
        </w:rPr>
        <w:t xml:space="preserve">This note is about one of those.</w:t>
      </w:r>
    </w:p>
    <w:p>
      <w:pPr>
        <w:pStyle w:val="Heading2"/>
        <w:spacing w:after="140" w:before="320"/>
      </w:pPr>
      <w:r>
        <w:rPr>
          <w:rFonts w:ascii="Calibri" w:cs="Calibri" w:eastAsia="Calibri" w:hAnsi="Calibri"/>
          <w:b/>
          <w:bCs/>
          <w:color w:val="2C2C2C"/>
          <w:sz w:val="26"/>
          <w:szCs w:val="26"/>
        </w:rPr>
        <w:t xml:space="preserve">What we found</w:t>
      </w:r>
    </w:p>
    <w:p>
      <w:pPr>
        <w:spacing w:after="180" w:line="300"/>
        <w:jc w:val="both"/>
      </w:pPr>
      <w:r>
        <w:rPr>
          <w:color w:val="2C2C2C"/>
          <w:sz w:val="22"/>
          <w:szCs w:val="22"/>
        </w:rPr>
        <w:t xml:space="preserve">Libraries that combine Document Sets, multiple content types and Nintex Forms in the Modern library experience don’t behave the same on SE as they did on SP 2019. This isn’t a defect in our farm. It follows from a deliberate platform change by Microsoft and a known limitation in Nintex Forms.</w:t>
      </w:r>
    </w:p>
    <w:p>
      <w:pPr>
        <w:spacing w:after="100" w:before="260"/>
      </w:pPr>
      <w:r>
        <w:rPr>
          <w:rFonts w:ascii="Calibri" w:cs="Calibri" w:eastAsia="Calibri" w:hAnsi="Calibri"/>
          <w:b/>
          <w:bCs/>
          <w:color w:val="B8860B"/>
          <w:sz w:val="22"/>
          <w:szCs w:val="22"/>
        </w:rPr>
        <w:t xml:space="preserve">1 · Microsoft changed how Document Sets render</w:t>
      </w:r>
    </w:p>
    <w:p>
      <w:pPr>
        <w:spacing w:after="180" w:line="300"/>
        <w:jc w:val="both"/>
      </w:pPr>
      <w:r>
        <w:rPr>
          <w:color w:val="2C2C2C"/>
          <w:sz w:val="22"/>
          <w:szCs w:val="22"/>
        </w:rPr>
        <w:t xml:space="preserve">SP SE renders Document Sets in the Modern experience. SP 2019 didn’t. Microsoft’s own release notes:</w:t>
      </w:r>
    </w:p>
    <w:p>
      <w:pPr>
        <w:pBdr>
          <w:left w:val="single" w:color="B8860B" w:sz="12" w:space="12"/>
        </w:pBdr>
        <w:spacing w:after="200" w:before="120" w:line="300"/>
        <w:ind w:left="480"/>
      </w:pPr>
      <w:r>
        <w:rPr>
          <w:i/>
          <w:iCs/>
          <w:color w:val="555555"/>
          <w:sz w:val="22"/>
          <w:szCs w:val="22"/>
        </w:rPr>
        <w:t xml:space="preserve">“In previous versions of SharePoint Server, document sets only supported the classic UX. Now in SharePoint Server Subscription Edition, Document Sets have been enhanced to support the modern experience in document libraries.” [1]</w:t>
      </w:r>
    </w:p>
    <w:p>
      <w:pPr>
        <w:spacing w:after="180" w:line="300"/>
        <w:jc w:val="both"/>
      </w:pPr>
      <w:r>
        <w:rPr>
          <w:color w:val="2C2C2C"/>
          <w:sz w:val="22"/>
          <w:szCs w:val="22"/>
        </w:rPr>
        <w:t xml:space="preserve">On SP 2019, opening a Document Set forced the library back to Classic rendering via </w:t>
      </w:r>
      <w:r>
        <w:rPr>
          <w:rFonts w:ascii="Consolas" w:cs="Consolas" w:eastAsia="Consolas" w:hAnsi="Consolas"/>
          <w:color w:val="2C2C2C"/>
          <w:sz w:val="22"/>
          <w:szCs w:val="22"/>
        </w:rPr>
        <w:t xml:space="preserve">docsethomepage.aspx</w:t>
      </w:r>
      <w:r>
        <w:rPr>
          <w:color w:val="2C2C2C"/>
          <w:sz w:val="22"/>
          <w:szCs w:val="22"/>
        </w:rPr>
        <w:t xml:space="preserve">. Our customisations on </w:t>
      </w:r>
      <w:r>
        <w:rPr>
          <w:rFonts w:ascii="Consolas" w:cs="Consolas" w:eastAsia="Consolas" w:hAnsi="Consolas"/>
          <w:color w:val="2C2C2C"/>
          <w:sz w:val="22"/>
          <w:szCs w:val="22"/>
        </w:rPr>
        <w:t xml:space="preserve">NewForm.aspx</w:t>
      </w:r>
      <w:r>
        <w:rPr>
          <w:color w:val="2C2C2C"/>
          <w:sz w:val="22"/>
          <w:szCs w:val="22"/>
        </w:rPr>
        <w:t xml:space="preserve">, </w:t>
      </w:r>
      <w:r>
        <w:rPr>
          <w:rFonts w:ascii="Consolas" w:cs="Consolas" w:eastAsia="Consolas" w:hAnsi="Consolas"/>
          <w:color w:val="2C2C2C"/>
          <w:sz w:val="22"/>
          <w:szCs w:val="22"/>
        </w:rPr>
        <w:t xml:space="preserve">EditForm.aspx</w:t>
      </w:r>
      <w:r>
        <w:rPr>
          <w:color w:val="2C2C2C"/>
          <w:sz w:val="22"/>
          <w:szCs w:val="22"/>
        </w:rPr>
        <w:t xml:space="preserve">, </w:t>
      </w:r>
      <w:r>
        <w:rPr>
          <w:rFonts w:ascii="Consolas" w:cs="Consolas" w:eastAsia="Consolas" w:hAnsi="Consolas"/>
          <w:color w:val="2C2C2C"/>
          <w:sz w:val="22"/>
          <w:szCs w:val="22"/>
        </w:rPr>
        <w:t xml:space="preserve">DispForm.aspx</w:t>
      </w:r>
      <w:r>
        <w:rPr>
          <w:color w:val="2C2C2C"/>
          <w:sz w:val="22"/>
          <w:szCs w:val="22"/>
        </w:rPr>
        <w:t xml:space="preserve"> and </w:t>
      </w:r>
      <w:r>
        <w:rPr>
          <w:rFonts w:ascii="Consolas" w:cs="Consolas" w:eastAsia="Consolas" w:hAnsi="Consolas"/>
          <w:color w:val="2C2C2C"/>
          <w:sz w:val="22"/>
          <w:szCs w:val="22"/>
        </w:rPr>
        <w:t xml:space="preserve">NewDocSet.aspx</w:t>
      </w:r>
      <w:r>
        <w:rPr>
          <w:color w:val="2C2C2C"/>
          <w:sz w:val="22"/>
          <w:szCs w:val="22"/>
        </w:rPr>
        <w:t xml:space="preserve"> were always reached, because SharePoint had already dropped back to Classic. On SE, the library and the Document Set both render Modern by default. That silent fallback is gone.</w:t>
      </w:r>
    </w:p>
    <w:p>
      <w:pPr>
        <w:spacing w:after="100" w:before="260"/>
      </w:pPr>
      <w:r>
        <w:rPr>
          <w:rFonts w:ascii="Calibri" w:cs="Calibri" w:eastAsia="Calibri" w:hAnsi="Calibri"/>
          <w:b/>
          <w:bCs/>
          <w:color w:val="B8860B"/>
          <w:sz w:val="22"/>
          <w:szCs w:val="22"/>
        </w:rPr>
        <w:t xml:space="preserve">2 · The Modern-to-Classic fallback has been tightened</w:t>
      </w:r>
    </w:p>
    <w:p>
      <w:pPr>
        <w:spacing w:after="180" w:line="300"/>
        <w:jc w:val="both"/>
      </w:pPr>
      <w:r>
        <w:rPr>
          <w:color w:val="2C2C2C"/>
          <w:sz w:val="22"/>
          <w:szCs w:val="22"/>
        </w:rPr>
        <w:t xml:space="preserve">Microsoft’s </w:t>
      </w:r>
      <w:r>
        <w:rPr>
          <w:i/>
          <w:iCs/>
          <w:color w:val="2C2C2C"/>
          <w:sz w:val="22"/>
          <w:szCs w:val="22"/>
        </w:rPr>
        <w:t xml:space="preserve">“Differences between modern and classic experiences for lists and libraries”</w:t>
      </w:r>
      <w:r>
        <w:rPr>
          <w:color w:val="2C2C2C"/>
          <w:sz w:val="22"/>
          <w:szCs w:val="22"/>
        </w:rPr>
        <w:t xml:space="preserve"> article lists the customisations that still force a fallback to Classic: setting </w:t>
      </w:r>
      <w:r>
        <w:rPr>
          <w:rFonts w:ascii="Consolas" w:cs="Consolas" w:eastAsia="Consolas" w:hAnsi="Consolas"/>
          <w:color w:val="2C2C2C"/>
          <w:sz w:val="22"/>
          <w:szCs w:val="22"/>
        </w:rPr>
        <w:t xml:space="preserve">ContentType.NewFormUrl</w:t>
      </w:r>
      <w:r>
        <w:rPr>
          <w:color w:val="2C2C2C"/>
          <w:sz w:val="22"/>
          <w:szCs w:val="22"/>
        </w:rPr>
        <w:t xml:space="preserve"> or </w:t>
      </w:r>
      <w:r>
        <w:rPr>
          <w:rFonts w:ascii="Consolas" w:cs="Consolas" w:eastAsia="Consolas" w:hAnsi="Consolas"/>
          <w:color w:val="2C2C2C"/>
          <w:sz w:val="22"/>
          <w:szCs w:val="22"/>
        </w:rPr>
        <w:t xml:space="preserve">EditFormUrl</w:t>
      </w:r>
      <w:r>
        <w:rPr>
          <w:color w:val="2C2C2C"/>
          <w:sz w:val="22"/>
          <w:szCs w:val="22"/>
        </w:rPr>
        <w:t xml:space="preserve"> to a custom URL, Document Set welcome page customisations, and specific JSLink or CustomAction cases. [2]</w:t>
      </w:r>
    </w:p>
    <w:p>
      <w:pPr>
        <w:spacing w:after="180" w:line="300"/>
        <w:jc w:val="both"/>
      </w:pPr>
      <w:r>
        <w:rPr>
          <w:color w:val="2C2C2C"/>
          <w:sz w:val="22"/>
          <w:szCs w:val="22"/>
        </w:rPr>
        <w:t xml:space="preserve">That list has been trimmed over time. Since a change in October 2020, only the </w:t>
      </w:r>
      <w:r>
        <w:rPr>
          <w:rFonts w:ascii="Consolas" w:cs="Consolas" w:eastAsia="Consolas" w:hAnsi="Consolas"/>
          <w:color w:val="2C2C2C"/>
          <w:sz w:val="22"/>
          <w:szCs w:val="22"/>
        </w:rPr>
        <w:t xml:space="preserve">ContentType.NewFormUrl</w:t>
      </w:r>
      <w:r>
        <w:rPr>
          <w:color w:val="2C2C2C"/>
          <w:sz w:val="22"/>
          <w:szCs w:val="22"/>
        </w:rPr>
        <w:t xml:space="preserve"> / </w:t>
      </w:r>
      <w:r>
        <w:rPr>
          <w:rFonts w:ascii="Consolas" w:cs="Consolas" w:eastAsia="Consolas" w:hAnsi="Consolas"/>
          <w:color w:val="2C2C2C"/>
          <w:sz w:val="22"/>
          <w:szCs w:val="22"/>
        </w:rPr>
        <w:t xml:space="preserve">EditFormUrl</w:t>
      </w:r>
      <w:r>
        <w:rPr>
          <w:color w:val="2C2C2C"/>
          <w:sz w:val="22"/>
          <w:szCs w:val="22"/>
        </w:rPr>
        <w:t xml:space="preserve"> route is a reliable fallback trigger. Even that becomes unreliable when several content types on the same library each set their own custom form URL. The Modern “New” button, the details pane and drag-and-drop upload all route differently and can land on different content types’ forms. This is the direction Microsoft is heading, and more tightening is likely.</w:t>
      </w:r>
    </w:p>
    <w:p>
      <w:pPr>
        <w:spacing w:after="100" w:before="260"/>
      </w:pPr>
      <w:r>
        <w:rPr>
          <w:rFonts w:ascii="Calibri" w:cs="Calibri" w:eastAsia="Calibri" w:hAnsi="Calibri"/>
          <w:b/>
          <w:bCs/>
          <w:color w:val="B8860B"/>
          <w:sz w:val="22"/>
          <w:szCs w:val="22"/>
        </w:rPr>
        <w:t xml:space="preserve">3 · Nintex Forms depends on the Classic path</w:t>
      </w:r>
    </w:p>
    <w:p>
      <w:pPr>
        <w:spacing w:after="180" w:line="300"/>
        <w:jc w:val="both"/>
      </w:pPr>
      <w:r>
        <w:rPr>
          <w:color w:val="2C2C2C"/>
          <w:sz w:val="22"/>
          <w:szCs w:val="22"/>
        </w:rPr>
        <w:t xml:space="preserve">Nintex for SharePoint SE is the SharePoint 2019 codebase recompiled for SE. No new engineering was done for the SE Modern experience.</w:t>
      </w:r>
    </w:p>
    <w:p>
      <w:pPr>
        <w:spacing w:after="180" w:line="300"/>
        <w:jc w:val="both"/>
      </w:pPr>
      <w:r>
        <w:rPr>
          <w:color w:val="2C2C2C"/>
          <w:sz w:val="22"/>
          <w:szCs w:val="22"/>
        </w:rPr>
        <w:t xml:space="preserve">Nintex Forms works by writing custom </w:t>
      </w:r>
      <w:r>
        <w:rPr>
          <w:rFonts w:ascii="Consolas" w:cs="Consolas" w:eastAsia="Consolas" w:hAnsi="Consolas"/>
          <w:color w:val="2C2C2C"/>
          <w:sz w:val="22"/>
          <w:szCs w:val="22"/>
        </w:rPr>
        <w:t xml:space="preserve">.aspx</w:t>
      </w:r>
      <w:r>
        <w:rPr>
          <w:color w:val="2C2C2C"/>
          <w:sz w:val="22"/>
          <w:szCs w:val="22"/>
        </w:rPr>
        <w:t xml:space="preserve"> pages and pointing the content type’s </w:t>
      </w:r>
      <w:r>
        <w:rPr>
          <w:rFonts w:ascii="Consolas" w:cs="Consolas" w:eastAsia="Consolas" w:hAnsi="Consolas"/>
          <w:color w:val="2C2C2C"/>
          <w:sz w:val="22"/>
          <w:szCs w:val="22"/>
        </w:rPr>
        <w:t xml:space="preserve">NewFormUrl</w:t>
      </w:r>
      <w:r>
        <w:rPr>
          <w:color w:val="2C2C2C"/>
          <w:sz w:val="22"/>
          <w:szCs w:val="22"/>
        </w:rPr>
        <w:t xml:space="preserve">, </w:t>
      </w:r>
      <w:r>
        <w:rPr>
          <w:rFonts w:ascii="Consolas" w:cs="Consolas" w:eastAsia="Consolas" w:hAnsi="Consolas"/>
          <w:color w:val="2C2C2C"/>
          <w:sz w:val="22"/>
          <w:szCs w:val="22"/>
        </w:rPr>
        <w:t xml:space="preserve">EditFormUrl</w:t>
      </w:r>
      <w:r>
        <w:rPr>
          <w:color w:val="2C2C2C"/>
          <w:sz w:val="22"/>
          <w:szCs w:val="22"/>
        </w:rPr>
        <w:t xml:space="preserve"> and </w:t>
      </w:r>
      <w:r>
        <w:rPr>
          <w:rFonts w:ascii="Consolas" w:cs="Consolas" w:eastAsia="Consolas" w:hAnsi="Consolas"/>
          <w:color w:val="2C2C2C"/>
          <w:sz w:val="22"/>
          <w:szCs w:val="22"/>
        </w:rPr>
        <w:t xml:space="preserve">DisplayFormUrl</w:t>
      </w:r>
      <w:r>
        <w:rPr>
          <w:color w:val="2C2C2C"/>
          <w:sz w:val="22"/>
          <w:szCs w:val="22"/>
        </w:rPr>
        <w:t xml:space="preserve"> at them. It relies entirely on the Classic fallback path Microsoft has tightened. A Nintex staff member has stated on the Nintex Community forum that Nintex Forms doesn’t launch on document upload in Modern libraries, and that this is expected behaviour. [3] A Nintex engineer said in 2017 that Nintex customises the Document Set’s </w:t>
      </w:r>
      <w:r>
        <w:rPr>
          <w:rFonts w:ascii="Consolas" w:cs="Consolas" w:eastAsia="Consolas" w:hAnsi="Consolas"/>
          <w:color w:val="2C2C2C"/>
          <w:sz w:val="22"/>
          <w:szCs w:val="22"/>
        </w:rPr>
        <w:t xml:space="preserve">NewDocSet.aspx</w:t>
      </w:r>
      <w:r>
        <w:rPr>
          <w:color w:val="2C2C2C"/>
          <w:sz w:val="22"/>
          <w:szCs w:val="22"/>
        </w:rPr>
        <w:t xml:space="preserve"> New/Edit page but does not and will not customise the </w:t>
      </w:r>
      <w:r>
        <w:rPr>
          <w:rFonts w:ascii="Consolas" w:cs="Consolas" w:eastAsia="Consolas" w:hAnsi="Consolas"/>
          <w:color w:val="2C2C2C"/>
          <w:sz w:val="22"/>
          <w:szCs w:val="22"/>
        </w:rPr>
        <w:t xml:space="preserve">docsethomepage.aspx</w:t>
      </w:r>
      <w:r>
        <w:rPr>
          <w:color w:val="2C2C2C"/>
          <w:sz w:val="22"/>
          <w:szCs w:val="22"/>
        </w:rPr>
        <w:t xml:space="preserve"> welcome page. [4] That gap has never been closed.</w:t>
      </w:r>
    </w:p>
    <w:p>
      <w:pPr>
        <w:spacing w:after="180" w:line="300"/>
        <w:jc w:val="both"/>
      </w:pPr>
      <w:r>
        <w:rPr>
          <w:color w:val="2C2C2C"/>
          <w:sz w:val="22"/>
          <w:szCs w:val="22"/>
        </w:rPr>
        <w:t xml:space="preserve">The Nintex SE system requirements list supported OS, SQL and browser versions. They don’t say Modern library experience is a supported target for Nintex Forms.</w:t>
      </w:r>
    </w:p>
    <w:p>
      <w:pPr>
        <w:spacing w:after="100" w:before="260"/>
      </w:pPr>
      <w:r>
        <w:rPr>
          <w:rFonts w:ascii="Calibri" w:cs="Calibri" w:eastAsia="Calibri" w:hAnsi="Calibri"/>
          <w:b/>
          <w:bCs/>
          <w:color w:val="B8860B"/>
          <w:sz w:val="22"/>
          <w:szCs w:val="22"/>
        </w:rPr>
        <w:t xml:space="preserve">4 · Nintex is still patching content-type routing on SE</w:t>
      </w:r>
    </w:p>
    <w:p>
      <w:pPr>
        <w:spacing w:after="180" w:line="300"/>
        <w:jc w:val="both"/>
      </w:pPr>
      <w:r>
        <w:rPr>
          <w:color w:val="2C2C2C"/>
          <w:sz w:val="22"/>
          <w:szCs w:val="22"/>
        </w:rPr>
        <w:t xml:space="preserve">The Nintex SE release notes show a run of fixes in this exact area over the last 18 months. [5]</w:t>
      </w:r>
    </w:p>
    <w:p>
      <w:pPr>
        <w:spacing w:after="100" w:line="280"/>
        <w:ind w:left="360" w:hanging="240"/>
      </w:pPr>
      <w:r>
        <w:rPr>
          <w:b/>
          <w:bCs/>
          <w:color w:val="B8860B"/>
          <w:sz w:val="20"/>
          <w:szCs w:val="20"/>
        </w:rPr>
        <w:t xml:space="preserve">▸  </w:t>
      </w:r>
      <w:r>
        <w:rPr>
          <w:color w:val="2C2C2C"/>
          <w:sz w:val="22"/>
          <w:szCs w:val="22"/>
        </w:rPr>
        <w:t xml:space="preserve">v6.0.6.0, July 2024, case 00487029. Forms Web Part was creating items with the wrong content type.</w:t>
      </w:r>
    </w:p>
    <w:p>
      <w:pPr>
        <w:spacing w:after="100" w:line="280"/>
        <w:ind w:left="360" w:hanging="240"/>
      </w:pPr>
      <w:r>
        <w:rPr>
          <w:b/>
          <w:bCs/>
          <w:color w:val="B8860B"/>
          <w:sz w:val="20"/>
          <w:szCs w:val="20"/>
        </w:rPr>
        <w:t xml:space="preserve">▸  </w:t>
      </w:r>
      <w:r>
        <w:rPr>
          <w:color w:val="2C2C2C"/>
          <w:sz w:val="22"/>
          <w:szCs w:val="22"/>
        </w:rPr>
        <w:t xml:space="preserve">v6.0.7.0, October 2024. Content-type management fix in document libraries, so the correct content type is used on new items.</w:t>
      </w:r>
    </w:p>
    <w:p>
      <w:pPr>
        <w:spacing w:after="100" w:line="280"/>
        <w:ind w:left="360" w:hanging="240"/>
      </w:pPr>
      <w:r>
        <w:rPr>
          <w:b/>
          <w:bCs/>
          <w:color w:val="B8860B"/>
          <w:sz w:val="20"/>
          <w:szCs w:val="20"/>
        </w:rPr>
        <w:t xml:space="preserve">▸  </w:t>
      </w:r>
      <w:r>
        <w:rPr>
          <w:color w:val="2C2C2C"/>
          <w:sz w:val="22"/>
          <w:szCs w:val="22"/>
        </w:rPr>
        <w:t xml:space="preserve">v6.0.7.10, November 2024, case 00659930. Content-type change was failing after the previous release when Nintex Forms was used with read-only content types.</w:t>
      </w:r>
    </w:p>
    <w:p>
      <w:pPr>
        <w:spacing w:after="100" w:line="280"/>
        <w:ind w:left="360" w:hanging="240"/>
      </w:pPr>
      <w:r>
        <w:rPr>
          <w:b/>
          <w:bCs/>
          <w:color w:val="B8860B"/>
          <w:sz w:val="20"/>
          <w:szCs w:val="20"/>
        </w:rPr>
        <w:t xml:space="preserve">▸  </w:t>
      </w:r>
      <w:r>
        <w:rPr>
          <w:color w:val="2C2C2C"/>
          <w:sz w:val="22"/>
          <w:szCs w:val="22"/>
        </w:rPr>
        <w:t xml:space="preserve">v6.0.11.0, October 2025, case 00666062. Users couldn’t change the content type on document libraries.</w:t>
      </w:r>
    </w:p>
    <w:p>
      <w:pPr>
        <w:spacing w:after="180" w:line="300"/>
        <w:jc w:val="both"/>
      </w:pPr>
      <w:r>
        <w:rPr>
          <w:color w:val="2C2C2C"/>
          <w:sz w:val="22"/>
          <w:szCs w:val="22"/>
        </w:rPr>
        <w:t xml:space="preserve">So Nintex knows the area is fragile on SE, and they’re patching it as they go.</w:t>
      </w:r>
    </w:p>
    <w:p>
      <w:pPr>
        <w:spacing w:after="100" w:before="260"/>
      </w:pPr>
      <w:r>
        <w:rPr>
          <w:rFonts w:ascii="Calibri" w:cs="Calibri" w:eastAsia="Calibri" w:hAnsi="Calibri"/>
          <w:b/>
          <w:bCs/>
          <w:color w:val="B8860B"/>
          <w:sz w:val="22"/>
          <w:szCs w:val="22"/>
        </w:rPr>
        <w:t xml:space="preserve">5 · Why Classic experience fixes it</w:t>
      </w:r>
    </w:p>
    <w:p>
      <w:pPr>
        <w:spacing w:after="180" w:line="300"/>
        <w:jc w:val="both"/>
      </w:pPr>
      <w:r>
        <w:rPr>
          <w:color w:val="2C2C2C"/>
          <w:sz w:val="22"/>
          <w:szCs w:val="22"/>
        </w:rPr>
        <w:t xml:space="preserve">On SP 2019 we were relying on SharePoint dropping back to Classic whenever a Document Set was opened. That drop-back meant the Nintex classic-page hooks were always reached. SE removes that drop-back for Document Sets on purpose. Nintex Forms hasn’t been re-engineered to hook into the SE Modern rendering path. When several content types are in the same library, Modern per-content-type form routing on top of that is inconsistent between the “New” button, the details pane and the upload flow.</w:t>
      </w:r>
    </w:p>
    <w:p>
      <w:pPr>
        <w:spacing w:after="180" w:line="300"/>
        <w:jc w:val="both"/>
      </w:pPr>
      <w:r>
        <w:rPr>
          <w:color w:val="2C2C2C"/>
          <w:sz w:val="22"/>
          <w:szCs w:val="22"/>
        </w:rPr>
        <w:t xml:space="preserve">Setting the library to Classic experience through Advanced Settings puts the whole page back onto the old rendering path. That’s the code path Nintex Forms was designed for, so it works again.</w:t>
      </w:r>
    </w:p>
    <w:p>
      <w:pPr>
        <w:spacing w:after="100" w:before="260"/>
      </w:pPr>
      <w:r>
        <w:rPr>
          <w:rFonts w:ascii="Calibri" w:cs="Calibri" w:eastAsia="Calibri" w:hAnsi="Calibri"/>
          <w:b/>
          <w:bCs/>
          <w:color w:val="B8860B"/>
          <w:sz w:val="22"/>
          <w:szCs w:val="22"/>
        </w:rPr>
        <w:t xml:space="preserve">6 · What we do about it</w:t>
      </w:r>
    </w:p>
    <w:p>
      <w:pPr>
        <w:spacing w:after="180" w:line="300"/>
        <w:jc w:val="both"/>
      </w:pPr>
      <w:r>
        <w:rPr>
          <w:color w:val="2C2C2C"/>
          <w:sz w:val="22"/>
          <w:szCs w:val="22"/>
        </w:rPr>
        <w:t xml:space="preserve">For affected libraries the short-term position is:</w:t>
      </w:r>
    </w:p>
    <w:p>
      <w:pPr>
        <w:spacing w:after="100" w:line="280"/>
        <w:ind w:left="360" w:hanging="240"/>
      </w:pPr>
      <w:r>
        <w:rPr>
          <w:b/>
          <w:bCs/>
          <w:color w:val="B8860B"/>
          <w:sz w:val="20"/>
          <w:szCs w:val="20"/>
        </w:rPr>
        <w:t xml:space="preserve">▸  </w:t>
      </w:r>
      <w:r>
        <w:rPr>
          <w:color w:val="2C2C2C"/>
          <w:sz w:val="22"/>
          <w:szCs w:val="22"/>
        </w:rPr>
        <w:t xml:space="preserve">Set List experience = Classic explicitly in Advanced Settings, and record it as an interim design decision.</w:t>
      </w:r>
    </w:p>
    <w:p>
      <w:pPr>
        <w:spacing w:after="100" w:line="280"/>
        <w:ind w:left="360" w:hanging="240"/>
      </w:pPr>
      <w:r>
        <w:rPr>
          <w:b/>
          <w:bCs/>
          <w:color w:val="B8860B"/>
          <w:sz w:val="20"/>
          <w:szCs w:val="20"/>
        </w:rPr>
        <w:t xml:space="preserve">▸  </w:t>
      </w:r>
      <w:r>
        <w:rPr>
          <w:color w:val="2C2C2C"/>
          <w:sz w:val="22"/>
          <w:szCs w:val="22"/>
        </w:rPr>
        <w:t xml:space="preserve">Make sure the farm is on the latest Nintex for SharePoint SE cumulative update before any further diagnostic work.</w:t>
      </w:r>
    </w:p>
    <w:p>
      <w:pPr>
        <w:spacing w:after="100" w:line="280"/>
        <w:ind w:left="360" w:hanging="240"/>
      </w:pPr>
      <w:r>
        <w:rPr>
          <w:b/>
          <w:bCs/>
          <w:color w:val="B8860B"/>
          <w:sz w:val="20"/>
          <w:szCs w:val="20"/>
        </w:rPr>
        <w:t xml:space="preserve">▸  </w:t>
      </w:r>
      <w:r>
        <w:rPr>
          <w:color w:val="2C2C2C"/>
          <w:sz w:val="22"/>
          <w:szCs w:val="22"/>
        </w:rPr>
        <w:t xml:space="preserve">Raise support cases with Microsoft (SE Modern Document Set behaviour with multiple content types) and Nintex (Nintex Forms Modern parity on SE with Document Sets), to get written confirmation on what is and isn’t supported.</w:t>
      </w:r>
    </w:p>
    <w:p>
      <w:pPr>
        <w:spacing w:after="180" w:line="300"/>
        <w:jc w:val="both"/>
      </w:pPr>
      <w:r>
        <w:rPr>
          <w:color w:val="2C2C2C"/>
          <w:sz w:val="22"/>
          <w:szCs w:val="22"/>
        </w:rPr>
        <w:t xml:space="preserve">This doesn’t block the wider migration. A small number of libraries will need the Classic setting kept long-term, a redesign away from Document Sets or Nintex Forms, or a broader decision on Nintex’s role. That broader decision needs to factor in Microsoft’s 14 July 2026 end of support for the SharePoint 2010 workflow engine that Nintex Workflow depends on. That’s another Microsoft-driven date we don’t control.</w:t>
      </w:r>
    </w:p>
    <w:p>
      <w:pPr>
        <w:spacing w:after="240"/>
      </w:pPr>
    </w:p>
    <w:p>
      <w:pPr>
        <w:pBdr>
          <w:bottom w:val="single" w:color="B8860B" w:sz="12" w:space="1"/>
        </w:pBdr>
        <w:spacing w:after="200" w:before="0"/>
      </w:pPr>
    </w:p>
    <w:p>
      <w:pPr>
        <w:spacing w:after="100" w:before="260"/>
      </w:pPr>
      <w:r>
        <w:rPr>
          <w:rFonts w:ascii="Calibri" w:cs="Calibri" w:eastAsia="Calibri" w:hAnsi="Calibri"/>
          <w:b/>
          <w:bCs/>
          <w:color w:val="B8860B"/>
          <w:sz w:val="22"/>
          <w:szCs w:val="22"/>
        </w:rPr>
        <w:t xml:space="preserve">Evidence &amp; sources</w:t>
      </w:r>
    </w:p>
    <w:p>
      <w:pPr>
        <w:spacing w:after="80" w:line="260"/>
        <w:ind w:left="360" w:hanging="360"/>
      </w:pPr>
      <w:r>
        <w:rPr>
          <w:rFonts w:ascii="Calibri" w:cs="Calibri" w:eastAsia="Calibri" w:hAnsi="Calibri"/>
          <w:b/>
          <w:bCs/>
          <w:color w:val="B8860B"/>
          <w:sz w:val="18"/>
          <w:szCs w:val="18"/>
        </w:rPr>
        <w:t xml:space="preserve">[1]  </w:t>
      </w:r>
      <w:r>
        <w:rPr>
          <w:rFonts w:ascii="Calibri" w:cs="Calibri" w:eastAsia="Calibri" w:hAnsi="Calibri"/>
          <w:color w:val="555555"/>
          <w:sz w:val="18"/>
          <w:szCs w:val="18"/>
        </w:rPr>
        <w:t xml:space="preserve">Microsoft Learn. “New and improved features in SharePoint Server Subscription Edition”, Document Sets section. https://learn.microsoft.com/en-us/sharepoint/what-s-new/new-and-improved-features-in-sharepoint-server-subscription-edition</w:t>
      </w:r>
    </w:p>
    <w:p>
      <w:pPr>
        <w:spacing w:after="80" w:line="260"/>
        <w:ind w:left="360" w:hanging="360"/>
      </w:pPr>
      <w:r>
        <w:rPr>
          <w:rFonts w:ascii="Calibri" w:cs="Calibri" w:eastAsia="Calibri" w:hAnsi="Calibri"/>
          <w:b/>
          <w:bCs/>
          <w:color w:val="B8860B"/>
          <w:sz w:val="18"/>
          <w:szCs w:val="18"/>
        </w:rPr>
        <w:t xml:space="preserve">[2]  </w:t>
      </w:r>
      <w:r>
        <w:rPr>
          <w:rFonts w:ascii="Calibri" w:cs="Calibri" w:eastAsia="Calibri" w:hAnsi="Calibri"/>
          <w:color w:val="555555"/>
          <w:sz w:val="18"/>
          <w:szCs w:val="18"/>
        </w:rPr>
        <w:t xml:space="preserve">Microsoft Support. “Differences between modern and classic experiences for lists and libraries”, customisations that switch a form to classic. https://support.microsoft.com/en-us/office/differences-between-modern-and-classic-experiences-for-lists-and-libraries-30e1aab0-a5cc-4363-b7f2-09e2ae07d4dc</w:t>
      </w:r>
    </w:p>
    <w:p>
      <w:pPr>
        <w:spacing w:after="80" w:line="260"/>
        <w:ind w:left="360" w:hanging="360"/>
      </w:pPr>
      <w:r>
        <w:rPr>
          <w:rFonts w:ascii="Calibri" w:cs="Calibri" w:eastAsia="Calibri" w:hAnsi="Calibri"/>
          <w:b/>
          <w:bCs/>
          <w:color w:val="B8860B"/>
          <w:sz w:val="18"/>
          <w:szCs w:val="18"/>
        </w:rPr>
        <w:t xml:space="preserve">[3]  </w:t>
      </w:r>
      <w:r>
        <w:rPr>
          <w:rFonts w:ascii="Calibri" w:cs="Calibri" w:eastAsia="Calibri" w:hAnsi="Calibri"/>
          <w:color w:val="555555"/>
          <w:sz w:val="18"/>
          <w:szCs w:val="18"/>
        </w:rPr>
        <w:t xml:space="preserve">Nintex Community. “Nintex O365 Form for SharePoint Document Library”. Nintex staff reply on classic vs modern upload behaviour. https://community.nintex.com/nintex-for-office-365-15/nintex-o365-form-for-sharepoint-document-library-19136</w:t>
      </w:r>
    </w:p>
    <w:p>
      <w:pPr>
        <w:spacing w:after="80" w:line="260"/>
        <w:ind w:left="360" w:hanging="360"/>
      </w:pPr>
      <w:r>
        <w:rPr>
          <w:rFonts w:ascii="Calibri" w:cs="Calibri" w:eastAsia="Calibri" w:hAnsi="Calibri"/>
          <w:b/>
          <w:bCs/>
          <w:color w:val="B8860B"/>
          <w:sz w:val="18"/>
          <w:szCs w:val="18"/>
        </w:rPr>
        <w:t xml:space="preserve">[4]  </w:t>
      </w:r>
      <w:r>
        <w:rPr>
          <w:rFonts w:ascii="Calibri" w:cs="Calibri" w:eastAsia="Calibri" w:hAnsi="Calibri"/>
          <w:color w:val="555555"/>
          <w:sz w:val="18"/>
          <w:szCs w:val="18"/>
        </w:rPr>
        <w:t xml:space="preserve">Nintex Community. “Nintex Forms for SharePoint: Document Sets Workaround”. Nintex engineer reply on NewDocSet.aspx vs docsethomepage.aspx support scope. https://community.nintex.com/t5/Nintex-for-SharePoint/Nintex-Forms-for-SharePoint-Document-Sets-Workaround/td-p/75983</w:t>
      </w:r>
    </w:p>
    <w:p>
      <w:pPr>
        <w:spacing w:after="80" w:line="260"/>
        <w:ind w:left="360" w:hanging="360"/>
      </w:pPr>
      <w:r>
        <w:rPr>
          <w:rFonts w:ascii="Calibri" w:cs="Calibri" w:eastAsia="Calibri" w:hAnsi="Calibri"/>
          <w:b/>
          <w:bCs/>
          <w:color w:val="B8860B"/>
          <w:sz w:val="18"/>
          <w:szCs w:val="18"/>
        </w:rPr>
        <w:t xml:space="preserve">[5]  </w:t>
      </w:r>
      <w:r>
        <w:rPr>
          <w:rFonts w:ascii="Calibri" w:cs="Calibri" w:eastAsia="Calibri" w:hAnsi="Calibri"/>
          <w:color w:val="555555"/>
          <w:sz w:val="18"/>
          <w:szCs w:val="18"/>
        </w:rPr>
        <w:t xml:space="preserve">Nintex. “Nintex for SharePoint Subscription Edition release notes”. https://help.nintex.com/en-US/platform/ReleaseNotes/NintexSharePointSubscriptionEdition.htm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6"/>
      </w:pBdr>
      <w:spacing w:before="200"/>
      <w:jc w:val="center"/>
    </w:pPr>
    <w:r>
      <w:rPr>
        <w:rFonts w:ascii="Calibri" w:cs="Calibri" w:eastAsia="Calibri" w:hAnsi="Calibri"/>
        <w:color w:val="555555"/>
        <w:sz w:val="16"/>
        <w:szCs w:val="16"/>
      </w:rPr>
      <w:t xml:space="preserve">Migration Risk Note · SharePoint SE, Document Sets &amp; Nintex Forms</w:t>
    </w:r>
    <w:r>
      <w:rPr>
        <w:rFonts w:ascii="Calibri" w:cs="Calibri" w:eastAsia="Calibri" w:hAnsi="Calibri"/>
        <w:color w:val="B8860B"/>
        <w:sz w:val="16"/>
        <w:szCs w:val="16"/>
      </w:rPr>
      <w:t xml:space="preserve">   ·   </w:t>
    </w: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SharePoint SE / Document Sets / Nintex Forms Migration Risk Note</dc:title>
  <dc:creator>Joel</dc:creator>
  <cp:lastModifiedBy>Un-named</cp:lastModifiedBy>
  <cp:revision>1</cp:revision>
  <dcterms:created xsi:type="dcterms:W3CDTF">2026-07-10T11:07:18.839Z</dcterms:created>
  <dcterms:modified xsi:type="dcterms:W3CDTF">2026-07-10T11:07:18.851Z</dcterms:modified>
</cp:coreProperties>
</file>

<file path=docProps/custom.xml><?xml version="1.0" encoding="utf-8"?>
<Properties xmlns="http://schemas.openxmlformats.org/officeDocument/2006/custom-properties" xmlns:vt="http://schemas.openxmlformats.org/officeDocument/2006/docPropsVTypes"/>
</file>