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9"/>
        <w:pBdr/>
        <w:spacing/>
        <w:ind/>
        <w:jc w:val="center"/>
        <w:rPr/>
      </w:pPr>
      <w:r>
        <w:rPr>
          <w:rFonts w:ascii="Calibri" w:hAnsi="Calibri"/>
        </w:rPr>
        <w:t xml:space="preserve">Microsoft Power Platform</w:t>
        <w:br/>
        <w:t xml:space="preserve">Implementation Plan</w:t>
      </w:r>
      <w:r/>
    </w:p>
    <w:p>
      <w:pPr>
        <w:pBdr/>
        <w:spacing w:after="80"/>
        <w:ind/>
        <w:jc w:val="center"/>
        <w:rPr/>
      </w:pPr>
      <w:r>
        <w:rPr>
          <w:rFonts w:ascii="Calibri" w:hAnsi="Calibri"/>
          <w:b/>
        </w:rPr>
        <w:t xml:space="preserve">Work Breakdown, Resource Plan and Delivery Timeframe</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b/>
                <w:sz w:val="20"/>
              </w:rPr>
              <w:t xml:space="preserve">Document item</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Prepared for</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Management review</w:t>
            </w:r>
            <w:r/>
          </w:p>
        </w:tc>
      </w:tr>
      <w:tr>
        <w:trPr>
          <w:cantSplit/>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Prepared by</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Joel and the delivery team</w:t>
            </w:r>
            <w:r/>
          </w:p>
        </w:tc>
      </w:tr>
      <w:tr>
        <w:trPr>
          <w:cantSplit/>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Date</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5 August 2026</w:t>
            </w:r>
            <w:r/>
          </w:p>
        </w:tc>
      </w:tr>
      <w:tr>
        <w:trPr>
          <w:cantSplit/>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Working delivery plan</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17 weeks</w:t>
            </w:r>
            <w:r/>
          </w:p>
        </w:tc>
      </w:tr>
      <w:tr>
        <w:trPr>
          <w:cantSplit/>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Management commitment</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19 weeks including contingency</w:t>
            </w:r>
            <w:r/>
          </w:p>
        </w:tc>
      </w:tr>
      <w:tr>
        <w:trPr>
          <w:cantSplit/>
        </w:trPr>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Internal delivery capacity</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1.65 FTE</w:t>
            </w:r>
            <w:r/>
          </w:p>
        </w:tc>
      </w:tr>
    </w:tbl>
    <w:p>
      <w:pPr>
        <w:pBdr/>
        <w:spacing w:after="80"/>
        <w:ind/>
        <w:rPr/>
      </w:pPr>
      <w:r/>
      <w:r/>
    </w:p>
    <w:p>
      <w:pPr>
        <w:pBdr/>
        <w:spacing w:after="80" w:line="259" w:lineRule="auto"/>
        <w:ind/>
        <w:rPr/>
      </w:pPr>
      <w:r>
        <w:rPr>
          <w:rFonts w:ascii="Calibri" w:hAnsi="Calibri"/>
        </w:rPr>
        <w:t xml:space="preserve">This is a plain working document intended to provide a realistic implementation timeframe, clear responsibilities, external dependencies and an achievable delivery sequence.</w:t>
      </w:r>
      <w:r/>
    </w:p>
    <w:p>
      <w:pPr>
        <w:pBdr/>
        <w:spacing w:after="80"/>
        <w:ind/>
        <w:rPr/>
      </w:pPr>
      <w:r>
        <w:rPr>
          <w:rFonts w:ascii="Calibri" w:hAnsi="Calibri"/>
        </w:rPr>
        <w:br w:type="page" w:clear="all"/>
      </w:r>
      <w:r/>
    </w:p>
    <w:p>
      <w:pPr>
        <w:pStyle w:val="703"/>
        <w:keepNext w:val="true"/>
        <w:pBdr/>
        <w:spacing w:after="80" w:before="200"/>
        <w:ind/>
        <w:rPr/>
      </w:pPr>
      <w:r>
        <w:rPr>
          <w:rFonts w:ascii="Calibri" w:hAnsi="Calibri"/>
        </w:rPr>
        <w:t xml:space="preserve">1. Executive Summary</w:t>
      </w:r>
      <w:r/>
    </w:p>
    <w:p>
      <w:pPr>
        <w:pBdr/>
        <w:spacing w:after="80" w:line="259" w:lineRule="auto"/>
        <w:ind/>
        <w:rPr/>
      </w:pPr>
      <w:r>
        <w:rPr>
          <w:rFonts w:ascii="Calibri" w:hAnsi="Calibri"/>
        </w:rPr>
        <w:t xml:space="preserve">NGA will implement Microsoft Power Platform from a clean starting position. There are currently no supported business applications or production flows that need to be migrated or remediated.</w:t>
      </w:r>
      <w:r/>
    </w:p>
    <w:p>
      <w:pPr>
        <w:pBdr/>
        <w:spacing w:after="80" w:line="259" w:lineRule="auto"/>
        <w:ind/>
        <w:rPr/>
      </w:pPr>
      <w:r>
        <w:rPr>
          <w:rFonts w:ascii="Calibri" w:hAnsi="Calibri"/>
        </w:rPr>
        <w:t xml:space="preserve">The delivery team consists of Joel at 65% allocation, Chris at 50% and Martin at 50%. This provides a combined capacity of approximately 1.65 FTE, or 8.25 person-days per week.</w:t>
      </w:r>
      <w:r/>
    </w:p>
    <w:p>
      <w:pPr>
        <w:pBdr/>
        <w:spacing w:after="80" w:line="259" w:lineRule="auto"/>
        <w:ind/>
        <w:rPr/>
      </w:pPr>
      <w:r>
        <w:rPr>
          <w:rFonts w:ascii="Calibri" w:hAnsi="Calibri"/>
        </w:rPr>
        <w:t xml:space="preserve">The recommended</w:t>
      </w:r>
      <w:r>
        <w:rPr>
          <w:rFonts w:ascii="Calibri" w:hAnsi="Calibri"/>
        </w:rPr>
        <w:t xml:space="preserve"> working plan is 17 weeks. Management should be given a 19-week committed window, with the final two weeks held as contingency for Azure billing, Infrastructure delivery, licensing, CSOC review, Application team availability, UAT and normal project delays.</w:t>
      </w:r>
      <w:r/>
    </w:p>
    <w:p>
      <w:pPr>
        <w:pBdr/>
        <w:spacing w:after="80" w:line="259" w:lineRule="auto"/>
        <w:ind/>
        <w:rPr/>
      </w:pPr>
      <w:r>
        <w:rPr>
          <w:rFonts w:ascii="Calibri" w:hAnsi="Calibri"/>
        </w:rPr>
        <w:t xml:space="preserve">The implementation will establish the governed platform, deliver one pilot application through Development, Test/UAT and Production, with the Application team operating the platform on an ongoing basis.</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b/>
                <w:sz w:val="20"/>
              </w:rPr>
              <w:t xml:space="preserve">Measure</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b/>
                <w:sz w:val="20"/>
              </w:rPr>
              <w:t xml:space="preserve">Estimate</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Joel allocation</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65% (approximately 3.25 person-days per week)</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Chris allocation</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50% (approximately 2.5 person-days per week)</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Martin allocation</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50% (approximately 2.5 person-days per week)</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Combined internal capacity</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1.65 FTE / approximately 8.25 person-days per week</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Estimated internal effort</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Approximately 90-100 person-days</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Estimated Cam's team effort</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Approximately 8-12 person-days</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Planned delivery duration</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17 calendar weeks</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Recommended management commitment</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19 calendar weeks</w:t>
            </w:r>
            <w:r/>
          </w:p>
        </w:tc>
      </w:tr>
      <w:tr>
        <w:trPr>
          <w:cantSplit/>
        </w:trPr>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Pilot scope</w:t>
            </w:r>
            <w:r/>
          </w:p>
        </w:tc>
        <w:tc>
          <w:tcPr>
            <w:tcBorders/>
            <w:tcMar>
              <w:left w:w="80" w:type="dxa"/>
              <w:top w:w="60" w:type="dxa"/>
              <w:right w:w="80" w:type="dxa"/>
              <w:bottom w:w="60" w:type="dxa"/>
            </w:tcMar>
            <w:tcW w:w="5669" w:type="dxa"/>
            <w:vAlign w:val="center"/>
          </w:tcPr>
          <w:p>
            <w:pPr>
              <w:pBdr/>
              <w:spacing w:after="0" w:line="240" w:lineRule="auto"/>
              <w:ind/>
              <w:rPr/>
            </w:pPr>
            <w:r>
              <w:rPr>
                <w:rFonts w:ascii="Calibri" w:hAnsi="Calibri"/>
                <w:sz w:val="20"/>
              </w:rPr>
            </w:r>
            <w:r>
              <w:rPr>
                <w:rFonts w:ascii="Calibri" w:hAnsi="Calibri"/>
                <w:b w:val="0"/>
                <w:sz w:val="20"/>
              </w:rPr>
              <w:t xml:space="preserve">One moderately complex application</w:t>
            </w:r>
            <w:r/>
          </w:p>
        </w:tc>
      </w:tr>
    </w:tbl>
    <w:p>
      <w:pPr>
        <w:pBdr/>
        <w:spacing w:after="80"/>
        <w:ind/>
        <w:rPr/>
      </w:pPr>
      <w:r/>
      <w:r/>
    </w:p>
    <w:p>
      <w:pPr>
        <w:pStyle w:val="703"/>
        <w:keepNext w:val="true"/>
        <w:pBdr/>
        <w:spacing w:after="80" w:before="200"/>
        <w:ind/>
        <w:rPr/>
      </w:pPr>
      <w:r>
        <w:rPr>
          <w:rFonts w:ascii="Calibri" w:hAnsi="Calibri"/>
        </w:rPr>
        <w:t xml:space="preserve">2. Confirmed Starting Position and Scope</w:t>
      </w:r>
      <w:r/>
    </w:p>
    <w:p>
      <w:pPr>
        <w:pStyle w:val="704"/>
        <w:keepNext w:val="true"/>
        <w:pBdr/>
        <w:spacing w:after="80" w:before="200"/>
        <w:ind/>
        <w:rPr/>
      </w:pPr>
      <w:r>
        <w:rPr>
          <w:rFonts w:ascii="Calibri" w:hAnsi="Calibri"/>
        </w:rPr>
        <w:t xml:space="preserve">2.1 Confirmed starting position</w:t>
      </w:r>
      <w:r/>
    </w:p>
    <w:p>
      <w:pPr>
        <w:pStyle w:val="733"/>
        <w:pBdr/>
        <w:spacing w:after="40"/>
        <w:ind/>
        <w:rPr/>
      </w:pPr>
      <w:r>
        <w:rPr>
          <w:rFonts w:ascii="Calibri" w:hAnsi="Calibri"/>
        </w:rPr>
        <w:t xml:space="preserve">NGA is starting from scratch with no existing supported Power Platform business applications.</w:t>
      </w:r>
      <w:r/>
    </w:p>
    <w:p>
      <w:pPr>
        <w:pStyle w:val="733"/>
        <w:pBdr/>
        <w:spacing w:after="40"/>
        <w:ind/>
        <w:rPr/>
      </w:pPr>
      <w:r>
        <w:rPr>
          <w:rFonts w:ascii="Calibri" w:hAnsi="Calibri"/>
        </w:rPr>
        <w:t xml:space="preserve">There are no production flows or applications requiring migration.</w:t>
      </w:r>
      <w:r/>
    </w:p>
    <w:p>
      <w:pPr>
        <w:pStyle w:val="733"/>
        <w:pBdr/>
        <w:spacing w:after="40"/>
        <w:ind/>
        <w:rPr/>
      </w:pPr>
      <w:r>
        <w:rPr>
          <w:rFonts w:ascii="Calibri" w:hAnsi="Calibri"/>
        </w:rPr>
        <w:t xml:space="preserve">Azure billing is required and will be established as part of the project.</w:t>
      </w:r>
      <w:r/>
    </w:p>
    <w:p>
      <w:pPr>
        <w:pStyle w:val="733"/>
        <w:pBdr/>
        <w:spacing w:after="40"/>
        <w:ind/>
        <w:rPr/>
      </w:pPr>
      <w:r>
        <w:rPr>
          <w:rFonts w:ascii="Calibri" w:hAnsi="Calibri"/>
        </w:rPr>
        <w:t xml:space="preserve">Cam's team will complete the Azure and Infrastructure work.</w:t>
      </w:r>
      <w:r/>
    </w:p>
    <w:p>
      <w:pPr>
        <w:pStyle w:val="733"/>
        <w:pBdr/>
        <w:spacing w:after="40"/>
        <w:ind/>
        <w:rPr/>
      </w:pPr>
      <w:r>
        <w:rPr>
          <w:rFonts w:ascii="Calibri" w:hAnsi="Calibri"/>
        </w:rPr>
        <w:t xml:space="preserve">The Application team will own the platform after implementation.</w:t>
      </w:r>
      <w:r/>
    </w:p>
    <w:p>
      <w:pPr>
        <w:pStyle w:val="733"/>
        <w:pBdr/>
        <w:spacing w:after="40"/>
        <w:ind/>
        <w:rPr/>
      </w:pPr>
      <w:r>
        <w:rPr>
          <w:rFonts w:ascii="Calibri" w:hAnsi="Calibri"/>
        </w:rPr>
        <w:t xml:space="preserve">The Application team will be involved throughout implementation, since they are also the platform's ongoing operators.</w:t>
      </w:r>
      <w:r/>
    </w:p>
    <w:p>
      <w:pPr>
        <w:pStyle w:val="704"/>
        <w:keepNext w:val="true"/>
        <w:pBdr/>
        <w:spacing w:after="80" w:before="200"/>
        <w:ind/>
        <w:rPr/>
      </w:pPr>
      <w:r>
        <w:rPr>
          <w:rFonts w:ascii="Calibri" w:hAnsi="Calibri"/>
        </w:rPr>
        <w:t xml:space="preserve">2.2 Included in the initial implementation</w:t>
      </w:r>
      <w:r/>
    </w:p>
    <w:p>
      <w:pPr>
        <w:pStyle w:val="733"/>
        <w:pBdr/>
        <w:spacing w:after="40"/>
        <w:ind/>
        <w:rPr/>
      </w:pPr>
      <w:r>
        <w:rPr>
          <w:rFonts w:ascii="Calibri" w:hAnsi="Calibri"/>
        </w:rPr>
        <w:t xml:space="preserve">Tenant baseline review and confirmation of current settings.</w:t>
      </w:r>
      <w:r/>
    </w:p>
    <w:p>
      <w:pPr>
        <w:pStyle w:val="733"/>
        <w:pBdr/>
        <w:spacing w:after="40"/>
        <w:ind/>
        <w:rPr/>
      </w:pPr>
      <w:r>
        <w:rPr>
          <w:rFonts w:ascii="Calibri" w:hAnsi="Calibri"/>
        </w:rPr>
        <w:t xml:space="preserve">Governance and platform architecture.</w:t>
      </w:r>
      <w:r/>
    </w:p>
    <w:p>
      <w:pPr>
        <w:pStyle w:val="733"/>
        <w:pBdr/>
        <w:spacing w:after="40"/>
        <w:ind/>
        <w:rPr/>
      </w:pPr>
      <w:r>
        <w:rPr>
          <w:rFonts w:ascii="Calibri" w:hAnsi="Calibri"/>
        </w:rPr>
        <w:t xml:space="preserve">Azure subscription and Power Platform billing setup.</w:t>
      </w:r>
      <w:r/>
    </w:p>
    <w:p>
      <w:pPr>
        <w:pStyle w:val="733"/>
        <w:pBdr/>
        <w:spacing w:after="40"/>
        <w:ind/>
        <w:rPr/>
      </w:pPr>
      <w:r>
        <w:rPr>
          <w:rFonts w:ascii="Calibri" w:hAnsi="Calibri"/>
        </w:rPr>
        <w:t xml:space="preserve">Microsoft Entra security groups and administrator access.</w:t>
      </w:r>
      <w:r/>
    </w:p>
    <w:p>
      <w:pPr>
        <w:pStyle w:val="733"/>
        <w:pBdr/>
        <w:spacing w:after="40"/>
        <w:ind/>
        <w:rPr/>
      </w:pPr>
      <w:r>
        <w:rPr>
          <w:rFonts w:ascii="Calibri" w:hAnsi="Calibri"/>
        </w:rPr>
        <w:t xml:space="preserve">Controlled Development, Test/UAT and Production environments.</w:t>
      </w:r>
      <w:r/>
    </w:p>
    <w:p>
      <w:pPr>
        <w:pStyle w:val="733"/>
        <w:pBdr/>
        <w:spacing/>
        <w:ind/>
        <w:rPr/>
      </w:pPr>
      <w:r>
        <w:t xml:space="preserve">Documented criteria for deciding when a department, such as People and Culture, requires dedicated environments and security boundaries.</w:t>
      </w:r>
      <w:r/>
    </w:p>
    <w:p>
      <w:pPr>
        <w:pStyle w:val="733"/>
        <w:pBdr/>
        <w:spacing w:after="40"/>
        <w:ind/>
        <w:rPr/>
      </w:pPr>
      <w:r>
        <w:rPr>
          <w:rFonts w:ascii="Calibri" w:hAnsi="Calibri"/>
        </w:rPr>
        <w:t xml:space="preserve">Default environment restrictions.</w:t>
      </w:r>
      <w:r/>
    </w:p>
    <w:p>
      <w:pPr>
        <w:pStyle w:val="733"/>
        <w:pBdr/>
        <w:spacing w:after="40"/>
        <w:ind/>
        <w:rPr/>
      </w:pPr>
      <w:r>
        <w:rPr>
          <w:rFonts w:ascii="Calibri" w:hAnsi="Calibri"/>
        </w:rPr>
        <w:t xml:space="preserve">Data Loss Prevention and connector policies.</w:t>
      </w:r>
      <w:r/>
    </w:p>
    <w:p>
      <w:pPr>
        <w:pStyle w:val="733"/>
        <w:pBdr/>
        <w:spacing w:after="40"/>
        <w:ind/>
        <w:rPr/>
      </w:pPr>
      <w:r>
        <w:rPr>
          <w:rFonts w:ascii="Calibri" w:hAnsi="Calibri"/>
        </w:rPr>
        <w:t xml:space="preserve">Licensing, capacity and cost controls.</w:t>
      </w:r>
      <w:r/>
    </w:p>
    <w:p>
      <w:pPr>
        <w:pStyle w:val="733"/>
        <w:pBdr/>
        <w:spacing w:after="40"/>
        <w:ind/>
        <w:rPr/>
      </w:pPr>
      <w:r>
        <w:rPr>
          <w:rFonts w:ascii="Calibri" w:hAnsi="Calibri"/>
        </w:rPr>
        <w:t xml:space="preserve">Application lifecycle and deployment process.</w:t>
      </w:r>
      <w:r/>
    </w:p>
    <w:p>
      <w:pPr>
        <w:pStyle w:val="733"/>
        <w:pBdr/>
        <w:spacing w:after="40"/>
        <w:ind/>
        <w:rPr/>
      </w:pPr>
      <w:r>
        <w:rPr>
          <w:rFonts w:ascii="Calibri" w:hAnsi="Calibri"/>
        </w:rPr>
        <w:t xml:space="preserve">Operational registers, request processes and support documentation.</w:t>
      </w:r>
      <w:r/>
    </w:p>
    <w:p>
      <w:pPr>
        <w:pStyle w:val="733"/>
        <w:pBdr/>
        <w:spacing w:after="40"/>
        <w:ind/>
        <w:rPr/>
      </w:pPr>
      <w:r>
        <w:rPr>
          <w:rFonts w:ascii="Calibri" w:hAnsi="Calibri"/>
        </w:rPr>
        <w:t xml:space="preserve">ServiceNow (SNOW) as the ticketing system for all Power Platform access, change and development requests, except citizen developers.</w:t>
      </w:r>
      <w:r/>
    </w:p>
    <w:p>
      <w:pPr>
        <w:pStyle w:val="733"/>
        <w:pBdr/>
        <w:spacing w:after="40"/>
        <w:ind/>
        <w:rPr/>
      </w:pPr>
      <w:r>
        <w:rPr>
          <w:rFonts w:ascii="Calibri" w:hAnsi="Calibri"/>
        </w:rPr>
        <w:t xml:space="preserve">One pilot application delivered through the full lifecycle.</w:t>
      </w:r>
      <w:r/>
    </w:p>
    <w:p>
      <w:pPr>
        <w:pStyle w:val="733"/>
        <w:pBdr/>
        <w:spacing w:after="40"/>
        <w:ind/>
        <w:rPr/>
      </w:pPr>
      <w:r>
        <w:rPr>
          <w:rFonts w:ascii="Calibri" w:hAnsi="Calibri"/>
        </w:rPr>
        <w:t xml:space="preserve">Application team training, documentation and operational acceptance.</w:t>
      </w:r>
      <w:r/>
    </w:p>
    <w:p>
      <w:pPr>
        <w:pStyle w:val="733"/>
        <w:pBdr/>
        <w:spacing w:after="40"/>
        <w:ind/>
        <w:rPr/>
      </w:pPr>
      <w:r>
        <w:rPr>
          <w:rFonts w:ascii="Calibri" w:hAnsi="Calibri"/>
        </w:rPr>
        <w:t xml:space="preserve">Hypercare and project closure.</w:t>
      </w:r>
      <w:r/>
    </w:p>
    <w:p>
      <w:pPr>
        <w:pStyle w:val="704"/>
        <w:keepNext w:val="true"/>
        <w:pBdr/>
        <w:spacing w:after="80" w:before="200"/>
        <w:ind/>
        <w:rPr/>
      </w:pPr>
      <w:r>
        <w:rPr>
          <w:rFonts w:ascii="Calibri" w:hAnsi="Calibri"/>
        </w:rPr>
        <w:t xml:space="preserve">2.3 Excluded unless separately approved</w:t>
      </w:r>
      <w:r/>
    </w:p>
    <w:p>
      <w:pPr>
        <w:pStyle w:val="733"/>
        <w:pBdr/>
        <w:spacing w:after="40"/>
        <w:ind/>
        <w:rPr/>
      </w:pPr>
      <w:r>
        <w:rPr>
          <w:rFonts w:ascii="Calibri" w:hAnsi="Calibri"/>
        </w:rPr>
        <w:t xml:space="preserve">A broad citizen-developer rollout across NGA.</w:t>
      </w:r>
      <w:r/>
    </w:p>
    <w:p>
      <w:pPr>
        <w:pStyle w:val="733"/>
        <w:pBdr/>
        <w:spacing w:after="40"/>
        <w:ind/>
        <w:rPr/>
      </w:pPr>
      <w:r>
        <w:rPr>
          <w:rFonts w:ascii="Calibri" w:hAnsi="Calibri"/>
        </w:rPr>
        <w:t xml:space="preserve">Migration or remediation of existing applications, as none currently exist.</w:t>
      </w:r>
      <w:r/>
    </w:p>
    <w:p>
      <w:pPr>
        <w:pStyle w:val="733"/>
        <w:pBdr/>
        <w:spacing w:after="40"/>
        <w:ind/>
        <w:rPr/>
      </w:pPr>
      <w:r>
        <w:rPr>
          <w:rFonts w:ascii="Calibri" w:hAnsi="Calibri"/>
        </w:rPr>
        <w:t xml:space="preserve">Full deployment of the Center of Excellence Starter Kit.</w:t>
      </w:r>
      <w:r/>
    </w:p>
    <w:p>
      <w:pPr>
        <w:pStyle w:val="733"/>
        <w:pBdr/>
        <w:spacing w:after="40"/>
        <w:ind/>
        <w:rPr/>
      </w:pPr>
      <w:r>
        <w:t xml:space="preserve">A broad set of department-specific environments. A dedicated People and Culture environment set may be approved where confidential data, restricted administration, distinct DLP requirements or a separate support owner justify it.</w:t>
      </w:r>
      <w:r/>
    </w:p>
    <w:p>
      <w:pPr>
        <w:pStyle w:val="733"/>
        <w:pBdr/>
        <w:spacing w:after="40"/>
        <w:ind/>
        <w:rPr/>
      </w:pPr>
      <w:r>
        <w:rPr>
          <w:rFonts w:ascii="Calibri" w:hAnsi="Calibri"/>
        </w:rPr>
        <w:t xml:space="preserve">Delivery of more than one production pilot application.</w:t>
      </w:r>
      <w:r/>
    </w:p>
    <w:p>
      <w:pPr>
        <w:pStyle w:val="733"/>
        <w:pBdr/>
        <w:spacing w:after="40"/>
        <w:ind/>
        <w:rPr/>
      </w:pPr>
      <w:r>
        <w:rPr>
          <w:rFonts w:ascii="Calibri" w:hAnsi="Calibri"/>
        </w:rPr>
        <w:t xml:space="preserve">Large custom Azure integration, custom APIs or on-premises gateway work unless required by the approved pilot.</w:t>
      </w:r>
      <w:r/>
    </w:p>
    <w:p>
      <w:pPr>
        <w:pStyle w:val="733"/>
        <w:pBdr/>
        <w:spacing w:after="40"/>
        <w:ind/>
        <w:rPr/>
      </w:pPr>
      <w:r>
        <w:rPr>
          <w:rFonts w:ascii="Calibri" w:hAnsi="Calibri"/>
        </w:rPr>
        <w:t xml:space="preserve">Ongoing Application team operational work after project closure.</w:t>
      </w:r>
      <w:r/>
    </w:p>
    <w:p>
      <w:pPr>
        <w:pStyle w:val="703"/>
        <w:keepNext w:val="true"/>
        <w:pBdr/>
        <w:spacing w:after="80" w:before="200"/>
        <w:ind/>
        <w:rPr/>
      </w:pPr>
      <w:r>
        <w:rPr>
          <w:rFonts w:ascii="Calibri" w:hAnsi="Calibri"/>
        </w:rPr>
        <w:t xml:space="preserve">3. Resource and Ownership Model</w:t>
      </w:r>
      <w:r/>
    </w:p>
    <w:tbl>
      <w:tblPr>
        <w:tblStyle w:val="763"/>
        <w:jc w:val="center"/>
        <w:tblW w:w="0" w:type="auto"/>
        <w:tblBorders/>
        <w:tblLayout w:type="autofit"/>
        <w:tblLook w:val="04A0" w:firstRow="1" w:lastRow="0" w:firstColumn="1" w:lastColumn="0" w:noHBand="0" w:noVBand="1"/>
      </w:tblPr>
      <w:tblGrid>
        <w:gridCol w:w="3137"/>
        <w:gridCol w:w="3137"/>
        <w:gridCol w:w="3137"/>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Role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b/>
                <w:sz w:val="20"/>
              </w:rPr>
              <w:t xml:space="preserve">Allocation</w:t>
            </w:r>
            <w:r/>
          </w:p>
        </w:tc>
        <w:tc>
          <w:tcPr>
            <w:tcBorders/>
            <w:tcMar>
              <w:left w:w="80" w:type="dxa"/>
              <w:top w:w="60" w:type="dxa"/>
              <w:right w:w="80" w:type="dxa"/>
              <w:bottom w:w="60" w:type="dxa"/>
            </w:tcMar>
            <w:tcW w:w="5953" w:type="dxa"/>
            <w:vAlign w:val="center"/>
          </w:tcPr>
          <w:p>
            <w:pPr>
              <w:pBdr/>
              <w:spacing w:after="0" w:line="240" w:lineRule="auto"/>
              <w:ind/>
              <w:rPr/>
            </w:pPr>
            <w:r>
              <w:rPr>
                <w:rFonts w:ascii="Calibri" w:hAnsi="Calibri"/>
                <w:b/>
                <w:sz w:val="20"/>
              </w:rPr>
              <w:t xml:space="preserve">Primary responsibilities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Joel - Implementation Lead</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65%</w:t>
            </w:r>
            <w:r/>
          </w:p>
        </w:tc>
        <w:tc>
          <w:tcPr>
            <w:tcBorders/>
            <w:tcMar>
              <w:left w:w="80" w:type="dxa"/>
              <w:top w:w="60" w:type="dxa"/>
              <w:right w:w="80" w:type="dxa"/>
              <w:bottom w:w="60" w:type="dxa"/>
            </w:tcMar>
            <w:tcW w:w="5953" w:type="dxa"/>
            <w:vAlign w:val="center"/>
          </w:tcPr>
          <w:p>
            <w:pPr>
              <w:numPr>
                <w:ilvl w:val="0"/>
                <w:numId w:val="1"/>
              </w:numPr>
              <w:pBdr/>
              <w:spacing w:after="20" w:line="240" w:lineRule="auto"/>
              <w:ind/>
              <w:contextualSpacing w:val="true"/>
              <w:rPr/>
            </w:pPr>
            <w:r>
              <w:rPr>
                <w:rFonts w:ascii="Calibri" w:hAnsi="Calibri"/>
                <w:sz w:val="20"/>
              </w:rPr>
              <w:t xml:space="preserve">Overall delivery and architecture</w:t>
            </w:r>
            <w:r/>
          </w:p>
          <w:p>
            <w:pPr>
              <w:numPr>
                <w:ilvl w:val="0"/>
                <w:numId w:val="1"/>
              </w:numPr>
              <w:pBdr/>
              <w:spacing w:after="20" w:line="240" w:lineRule="auto"/>
              <w:ind/>
              <w:contextualSpacing w:val="true"/>
              <w:rPr/>
            </w:pPr>
            <w:r>
              <w:rPr>
                <w:rFonts w:ascii="Calibri" w:hAnsi="Calibri"/>
                <w:sz w:val="20"/>
              </w:rPr>
              <w:t xml:space="preserve">Governance and management reporting</w:t>
            </w:r>
            <w:r/>
          </w:p>
          <w:p>
            <w:pPr>
              <w:numPr>
                <w:ilvl w:val="0"/>
                <w:numId w:val="1"/>
              </w:numPr>
              <w:pBdr/>
              <w:spacing w:after="20" w:line="240" w:lineRule="auto"/>
              <w:ind/>
              <w:contextualSpacing w:val="true"/>
              <w:rPr/>
            </w:pPr>
            <w:r>
              <w:rPr>
                <w:rFonts w:ascii="Calibri" w:hAnsi="Calibri"/>
                <w:sz w:val="20"/>
              </w:rPr>
              <w:t xml:space="preserve">Decisions and coordination with Cam's team, CSOC and Application team</w:t>
            </w:r>
            <w:r/>
          </w:p>
          <w:p>
            <w:pPr>
              <w:numPr>
                <w:ilvl w:val="0"/>
                <w:numId w:val="1"/>
              </w:numPr>
              <w:pBdr/>
              <w:spacing w:after="20" w:line="240" w:lineRule="auto"/>
              <w:ind/>
              <w:contextualSpacing w:val="true"/>
              <w:rPr/>
            </w:pPr>
            <w:r>
              <w:rPr>
                <w:rFonts w:ascii="Calibri" w:hAnsi="Calibri"/>
                <w:sz w:val="20"/>
              </w:rPr>
              <w:t xml:space="preserve">Risk management and final acceptance</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Chris - Technical </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50%</w:t>
            </w:r>
            <w:r/>
          </w:p>
        </w:tc>
        <w:tc>
          <w:tcPr>
            <w:tcBorders/>
            <w:tcMar>
              <w:left w:w="80" w:type="dxa"/>
              <w:top w:w="60" w:type="dxa"/>
              <w:right w:w="80" w:type="dxa"/>
              <w:bottom w:w="60" w:type="dxa"/>
            </w:tcMar>
            <w:tcW w:w="5953" w:type="dxa"/>
            <w:vAlign w:val="center"/>
          </w:tcPr>
          <w:p>
            <w:pPr>
              <w:numPr>
                <w:ilvl w:val="0"/>
                <w:numId w:val="1"/>
              </w:numPr>
              <w:pBdr/>
              <w:spacing w:after="20" w:line="240" w:lineRule="auto"/>
              <w:ind/>
              <w:contextualSpacing w:val="true"/>
              <w:rPr/>
            </w:pPr>
            <w:r>
              <w:rPr>
                <w:rFonts w:ascii="Calibri" w:hAnsi="Calibri"/>
                <w:sz w:val="20"/>
              </w:rPr>
              <w:t xml:space="preserve">Tenant configuration, environments and Dataverse</w:t>
            </w:r>
            <w:r/>
          </w:p>
          <w:p>
            <w:pPr>
              <w:numPr>
                <w:ilvl w:val="0"/>
                <w:numId w:val="1"/>
              </w:numPr>
              <w:pBdr/>
              <w:spacing w:after="20" w:line="240" w:lineRule="auto"/>
              <w:ind/>
              <w:contextualSpacing w:val="true"/>
              <w:rPr/>
            </w:pPr>
            <w:r>
              <w:rPr>
                <w:rFonts w:ascii="Calibri" w:hAnsi="Calibri"/>
                <w:sz w:val="20"/>
              </w:rPr>
              <w:t xml:space="preserve">DLP and connector controls</w:t>
            </w:r>
            <w:r/>
          </w:p>
          <w:p>
            <w:pPr>
              <w:numPr>
                <w:ilvl w:val="0"/>
                <w:numId w:val="1"/>
              </w:numPr>
              <w:pBdr/>
              <w:spacing w:after="20" w:line="240" w:lineRule="auto"/>
              <w:ind/>
              <w:contextualSpacing w:val="true"/>
              <w:rPr/>
            </w:pPr>
            <w:r>
              <w:rPr>
                <w:rFonts w:ascii="Calibri" w:hAnsi="Calibri"/>
                <w:sz w:val="20"/>
              </w:rPr>
              <w:t xml:space="preserve">Azure billing linkage, solutions, ALM and pipelines</w:t>
            </w:r>
            <w:r/>
          </w:p>
          <w:p>
            <w:pPr>
              <w:numPr>
                <w:ilvl w:val="0"/>
                <w:numId w:val="1"/>
              </w:numPr>
              <w:pBdr/>
              <w:spacing w:after="20" w:line="240" w:lineRule="auto"/>
              <w:ind/>
              <w:contextualSpacing w:val="true"/>
              <w:rPr/>
            </w:pPr>
            <w:r>
              <w:rPr>
                <w:rFonts w:ascii="Calibri" w:hAnsi="Calibri"/>
                <w:sz w:val="20"/>
              </w:rPr>
              <w:t xml:space="preserve">Technical pilot delivery and production deployment</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Martin - </w:t>
            </w:r>
            <w:r>
              <w:rPr>
                <w:rFonts w:ascii="Calibri" w:hAnsi="Calibri"/>
                <w:b w:val="0"/>
                <w:sz w:val="20"/>
                <w:lang w:val="en-AU"/>
              </w:rPr>
              <w:t xml:space="preserve">Technical</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50%</w:t>
            </w:r>
            <w:r/>
          </w:p>
        </w:tc>
        <w:tc>
          <w:tcPr>
            <w:tcBorders/>
            <w:tcMar>
              <w:left w:w="80" w:type="dxa"/>
              <w:top w:w="60" w:type="dxa"/>
              <w:right w:w="80" w:type="dxa"/>
              <w:bottom w:w="60" w:type="dxa"/>
            </w:tcMar>
            <w:tcW w:w="5953" w:type="dxa"/>
            <w:vAlign w:val="center"/>
          </w:tcPr>
          <w:p>
            <w:pPr>
              <w:numPr>
                <w:ilvl w:val="0"/>
                <w:numId w:val="1"/>
              </w:numPr>
              <w:pBdr/>
              <w:spacing w:after="20" w:line="240" w:lineRule="auto"/>
              <w:ind/>
              <w:contextualSpacing w:val="true"/>
              <w:rPr/>
            </w:pPr>
            <w:r>
              <w:rPr>
                <w:rFonts w:ascii="Calibri" w:hAnsi="Calibri"/>
                <w:sz w:val="20"/>
              </w:rPr>
              <w:t xml:space="preserve">Documentation, registers and test planning</w:t>
            </w:r>
            <w:r/>
          </w:p>
          <w:p>
            <w:pPr>
              <w:numPr>
                <w:ilvl w:val="0"/>
                <w:numId w:val="1"/>
              </w:numPr>
              <w:pBdr/>
              <w:spacing w:after="20" w:line="240" w:lineRule="auto"/>
              <w:ind/>
              <w:contextualSpacing w:val="true"/>
              <w:rPr/>
            </w:pPr>
            <w:r>
              <w:rPr>
                <w:rFonts w:ascii="Calibri" w:hAnsi="Calibri"/>
                <w:sz w:val="20"/>
              </w:rPr>
              <w:t xml:space="preserve">UAT coordination and operational processes</w:t>
            </w:r>
            <w:r/>
          </w:p>
          <w:p>
            <w:pPr>
              <w:numPr>
                <w:ilvl w:val="0"/>
                <w:numId w:val="1"/>
              </w:numPr>
              <w:pBdr/>
              <w:spacing w:after="20" w:line="240" w:lineRule="auto"/>
              <w:ind/>
              <w:contextualSpacing w:val="true"/>
              <w:rPr/>
            </w:pPr>
            <w:r>
              <w:rPr>
                <w:rFonts w:ascii="Calibri" w:hAnsi="Calibri"/>
                <w:sz w:val="20"/>
              </w:rPr>
              <w:t xml:space="preserve">Maker guidance and support model</w:t>
            </w:r>
            <w:r/>
          </w:p>
          <w:p>
            <w:pPr>
              <w:numPr>
                <w:ilvl w:val="0"/>
                <w:numId w:val="1"/>
              </w:numPr>
              <w:pBdr/>
              <w:spacing w:after="20" w:line="240" w:lineRule="auto"/>
              <w:ind/>
              <w:contextualSpacing w:val="true"/>
              <w:rPr/>
            </w:pPr>
            <w:r>
              <w:rPr>
                <w:rFonts w:ascii="Calibri" w:hAnsi="Calibri"/>
                <w:sz w:val="20"/>
              </w:rPr>
              <w:t xml:space="preserve">Training and Application team readiness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Cam's team - Infrastructure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External</w:t>
            </w:r>
            <w:r/>
          </w:p>
        </w:tc>
        <w:tc>
          <w:tcPr>
            <w:tcBorders/>
            <w:tcMar>
              <w:left w:w="80" w:type="dxa"/>
              <w:top w:w="60" w:type="dxa"/>
              <w:right w:w="80" w:type="dxa"/>
              <w:bottom w:w="60" w:type="dxa"/>
            </w:tcMar>
            <w:tcW w:w="5953" w:type="dxa"/>
            <w:vAlign w:val="center"/>
          </w:tcPr>
          <w:p>
            <w:pPr>
              <w:numPr>
                <w:ilvl w:val="0"/>
                <w:numId w:val="1"/>
              </w:numPr>
              <w:pBdr/>
              <w:spacing w:after="20" w:line="240" w:lineRule="auto"/>
              <w:ind/>
              <w:contextualSpacing w:val="true"/>
              <w:rPr/>
            </w:pPr>
            <w:r>
              <w:rPr>
                <w:rFonts w:ascii="Calibri" w:hAnsi="Calibri"/>
                <w:sz w:val="20"/>
              </w:rPr>
              <w:t xml:space="preserve">Azure subscription and billing readiness</w:t>
            </w:r>
            <w:r/>
          </w:p>
          <w:p>
            <w:pPr>
              <w:numPr>
                <w:ilvl w:val="0"/>
                <w:numId w:val="1"/>
              </w:numPr>
              <w:pBdr/>
              <w:spacing w:after="20" w:line="240" w:lineRule="auto"/>
              <w:ind/>
              <w:contextualSpacing w:val="true"/>
              <w:rPr/>
            </w:pPr>
            <w:r>
              <w:rPr>
                <w:rFonts w:ascii="Calibri" w:hAnsi="Calibri"/>
                <w:sz w:val="20"/>
              </w:rPr>
              <w:t xml:space="preserve">RBAC, resource groups and tagging</w:t>
            </w:r>
            <w:r/>
          </w:p>
          <w:p>
            <w:pPr>
              <w:numPr>
                <w:ilvl w:val="0"/>
                <w:numId w:val="1"/>
              </w:numPr>
              <w:pBdr/>
              <w:spacing w:after="20" w:line="240" w:lineRule="auto"/>
              <w:ind/>
              <w:contextualSpacing w:val="true"/>
              <w:rPr/>
            </w:pPr>
            <w:r>
              <w:rPr>
                <w:rFonts w:ascii="Calibri" w:hAnsi="Calibri"/>
                <w:sz w:val="20"/>
              </w:rPr>
              <w:t xml:space="preserve">Budgets, cost alerts and networking</w:t>
            </w:r>
            <w:r/>
          </w:p>
          <w:p>
            <w:pPr>
              <w:numPr>
                <w:ilvl w:val="0"/>
                <w:numId w:val="1"/>
              </w:numPr>
              <w:pBdr/>
              <w:spacing w:after="20" w:line="240" w:lineRule="auto"/>
              <w:ind/>
              <w:contextualSpacing w:val="true"/>
              <w:rPr/>
            </w:pPr>
            <w:r>
              <w:rPr>
                <w:rFonts w:ascii="Calibri" w:hAnsi="Calibri"/>
                <w:sz w:val="20"/>
              </w:rPr>
              <w:t xml:space="preserve">App registrations, service principals, gateways and related Infrastructure components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Application team - Platform owner</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External / participating</w:t>
            </w:r>
            <w:r/>
          </w:p>
        </w:tc>
        <w:tc>
          <w:tcPr>
            <w:tcBorders/>
            <w:tcMar>
              <w:left w:w="80" w:type="dxa"/>
              <w:top w:w="60" w:type="dxa"/>
              <w:right w:w="80" w:type="dxa"/>
              <w:bottom w:w="60" w:type="dxa"/>
            </w:tcMar>
            <w:tcW w:w="5953" w:type="dxa"/>
            <w:vAlign w:val="center"/>
          </w:tcPr>
          <w:p>
            <w:pPr>
              <w:numPr>
                <w:ilvl w:val="0"/>
                <w:numId w:val="1"/>
              </w:numPr>
              <w:pBdr/>
              <w:spacing w:after="20" w:line="240" w:lineRule="auto"/>
              <w:ind/>
              <w:contextualSpacing w:val="true"/>
              <w:rPr/>
            </w:pPr>
            <w:r>
              <w:rPr>
                <w:rFonts w:ascii="Calibri" w:hAnsi="Calibri"/>
                <w:sz w:val="20"/>
              </w:rPr>
              <w:t xml:space="preserve">Participate in design and testing</w:t>
            </w:r>
            <w:r/>
          </w:p>
          <w:p>
            <w:pPr>
              <w:numPr>
                <w:ilvl w:val="0"/>
                <w:numId w:val="1"/>
              </w:numPr>
              <w:pBdr/>
              <w:spacing w:after="20" w:line="240" w:lineRule="auto"/>
              <w:ind/>
              <w:contextualSpacing w:val="true"/>
              <w:rPr/>
            </w:pPr>
            <w:r>
              <w:rPr>
                <w:rFonts w:ascii="Calibri" w:hAnsi="Calibri"/>
                <w:sz w:val="20"/>
              </w:rPr>
              <w:t xml:space="preserve">Accept administrator access</w:t>
            </w:r>
            <w:r/>
          </w:p>
          <w:p>
            <w:pPr>
              <w:numPr>
                <w:ilvl w:val="0"/>
                <w:numId w:val="1"/>
              </w:numPr>
              <w:pBdr/>
              <w:spacing w:after="20" w:line="240" w:lineRule="auto"/>
              <w:ind/>
              <w:contextualSpacing w:val="true"/>
              <w:rPr/>
            </w:pPr>
            <w:r>
              <w:rPr>
                <w:rFonts w:ascii="Calibri" w:hAnsi="Calibri"/>
                <w:sz w:val="20"/>
              </w:rPr>
              <w:t xml:space="preserve">Own environments, applications and DLP</w:t>
            </w:r>
            <w:r/>
          </w:p>
          <w:p>
            <w:pPr>
              <w:numPr>
                <w:ilvl w:val="0"/>
                <w:numId w:val="1"/>
              </w:numPr>
              <w:pBdr/>
              <w:spacing w:after="20" w:line="240" w:lineRule="auto"/>
              <w:ind/>
              <w:contextualSpacing w:val="true"/>
              <w:rPr/>
            </w:pPr>
            <w:r>
              <w:rPr>
                <w:rFonts w:ascii="Calibri" w:hAnsi="Calibri"/>
                <w:sz w:val="20"/>
              </w:rPr>
              <w:t xml:space="preserve">Own licensing processes, deployments, support, monitoring and ongoing governance</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CSOC / Entra / Licensing</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External as required</w:t>
            </w:r>
            <w:r/>
          </w:p>
        </w:tc>
        <w:tc>
          <w:tcPr>
            <w:tcBorders/>
            <w:tcMar>
              <w:left w:w="80" w:type="dxa"/>
              <w:top w:w="60" w:type="dxa"/>
              <w:right w:w="80" w:type="dxa"/>
              <w:bottom w:w="60" w:type="dxa"/>
            </w:tcMar>
            <w:tcW w:w="5953" w:type="dxa"/>
            <w:vAlign w:val="center"/>
          </w:tcPr>
          <w:p>
            <w:pPr>
              <w:numPr>
                <w:ilvl w:val="0"/>
                <w:numId w:val="1"/>
              </w:numPr>
              <w:pBdr/>
              <w:spacing w:after="20" w:line="240" w:lineRule="auto"/>
              <w:ind/>
              <w:contextualSpacing w:val="true"/>
              <w:rPr/>
            </w:pPr>
            <w:r>
              <w:rPr>
                <w:rFonts w:ascii="Calibri" w:hAnsi="Calibri"/>
                <w:sz w:val="20"/>
              </w:rPr>
              <w:t xml:space="preserve">CSOC review and connector/data-policy approval</w:t>
            </w:r>
            <w:r/>
          </w:p>
          <w:p>
            <w:pPr>
              <w:numPr>
                <w:ilvl w:val="0"/>
                <w:numId w:val="1"/>
              </w:numPr>
              <w:pBdr/>
              <w:spacing w:after="20" w:line="240" w:lineRule="auto"/>
              <w:ind/>
              <w:contextualSpacing w:val="true"/>
              <w:rPr/>
            </w:pPr>
            <w:r>
              <w:rPr>
                <w:rFonts w:ascii="Calibri" w:hAnsi="Calibri"/>
                <w:sz w:val="20"/>
              </w:rPr>
              <w:t xml:space="preserve">Entra roles and groups</w:t>
            </w:r>
            <w:r/>
          </w:p>
          <w:p>
            <w:pPr>
              <w:numPr>
                <w:ilvl w:val="0"/>
                <w:numId w:val="1"/>
              </w:numPr>
              <w:pBdr/>
              <w:spacing w:after="20" w:line="240" w:lineRule="auto"/>
              <w:ind/>
              <w:contextualSpacing w:val="true"/>
              <w:rPr/>
            </w:pPr>
            <w:r>
              <w:rPr>
                <w:rFonts w:ascii="Calibri" w:hAnsi="Calibri"/>
                <w:sz w:val="20"/>
              </w:rPr>
              <w:t xml:space="preserve">Licensing and procurement decisions</w:t>
            </w:r>
            <w:r/>
          </w:p>
        </w:tc>
      </w:tr>
    </w:tbl>
    <w:p>
      <w:pPr>
        <w:pBdr/>
        <w:spacing w:after="80"/>
        <w:ind/>
        <w:rPr/>
      </w:pPr>
      <w:r/>
      <w:r/>
    </w:p>
    <w:p>
      <w:pPr>
        <w:pStyle w:val="703"/>
        <w:keepNext w:val="true"/>
        <w:pBdr/>
        <w:spacing w:after="80" w:before="200"/>
        <w:ind/>
        <w:rPr/>
      </w:pPr>
      <w:r>
        <w:rPr>
          <w:rFonts w:ascii="Calibri" w:hAnsi="Calibri"/>
        </w:rPr>
        <w:t xml:space="preserve">4. Delivery Assumptions</w:t>
      </w:r>
      <w:r/>
    </w:p>
    <w:p>
      <w:pPr>
        <w:pStyle w:val="733"/>
        <w:pBdr/>
        <w:spacing w:after="40"/>
        <w:ind/>
        <w:rPr/>
      </w:pPr>
      <w:r>
        <w:rPr>
          <w:rFonts w:ascii="Calibri" w:hAnsi="Calibri"/>
        </w:rPr>
        <w:t xml:space="preserve">Joel, Chris and Martin retain their stated allocation throughout the project.</w:t>
      </w:r>
      <w:r/>
    </w:p>
    <w:p>
      <w:pPr>
        <w:pStyle w:val="733"/>
        <w:pBdr/>
        <w:spacing w:after="40"/>
        <w:ind/>
        <w:rPr/>
      </w:pPr>
      <w:r>
        <w:rPr>
          <w:rFonts w:ascii="Calibri" w:hAnsi="Calibri"/>
        </w:rPr>
        <w:t xml:space="preserve">Part-time allocation includes normal meetings, BAU interruptions and context switching; the plan does not assume every allocated hour becomes uninterrupted project work.</w:t>
      </w:r>
      <w:r/>
    </w:p>
    <w:p>
      <w:pPr>
        <w:pStyle w:val="733"/>
        <w:pBdr/>
        <w:spacing w:after="40"/>
        <w:ind/>
        <w:rPr/>
      </w:pPr>
      <w:r>
        <w:rPr>
          <w:rFonts w:ascii="Calibri" w:hAnsi="Calibri"/>
        </w:rPr>
        <w:t xml:space="preserve">Cam's team begins Azure work during the first two weeks.</w:t>
      </w:r>
      <w:r/>
    </w:p>
    <w:p>
      <w:pPr>
        <w:pStyle w:val="733"/>
        <w:pBdr/>
        <w:spacing w:after="40"/>
        <w:ind/>
        <w:rPr/>
      </w:pPr>
      <w:r>
        <w:rPr>
          <w:rFonts w:ascii="Calibri" w:hAnsi="Calibri"/>
        </w:rPr>
        <w:t xml:space="preserve">Azure billing is operational by the end of Week 6.</w:t>
      </w:r>
      <w:r/>
    </w:p>
    <w:p>
      <w:pPr>
        <w:pStyle w:val="733"/>
        <w:pBdr/>
        <w:spacing w:after="40"/>
        <w:ind/>
        <w:rPr/>
      </w:pPr>
      <w:r>
        <w:rPr>
          <w:rFonts w:ascii="Calibri" w:hAnsi="Calibri"/>
        </w:rPr>
        <w:t xml:space="preserve">Licensing and procurement decisions are completed by the end of Week 5.</w:t>
      </w:r>
      <w:r/>
    </w:p>
    <w:p>
      <w:pPr>
        <w:pStyle w:val="733"/>
        <w:pBdr/>
        <w:spacing w:after="40"/>
        <w:ind/>
        <w:rPr/>
      </w:pPr>
      <w:r>
        <w:rPr>
          <w:rFonts w:ascii="Calibri" w:hAnsi="Calibri"/>
        </w:rPr>
        <w:t xml:space="preserve">The pilot application is moderate in complexity and uses approved Microsoft 365, Dataverse or Azure services.</w:t>
      </w:r>
      <w:r/>
    </w:p>
    <w:p>
      <w:pPr>
        <w:pStyle w:val="733"/>
        <w:pBdr/>
        <w:spacing w:after="40"/>
        <w:ind/>
        <w:rPr/>
      </w:pPr>
      <w:r>
        <w:rPr>
          <w:rFonts w:ascii="Calibri" w:hAnsi="Calibri"/>
        </w:rPr>
        <w:t xml:space="preserve">Management decisions are generally provided within five working days.</w:t>
      </w:r>
      <w:r/>
    </w:p>
    <w:p>
      <w:pPr>
        <w:pStyle w:val="733"/>
        <w:pBdr/>
        <w:spacing w:after="40"/>
        <w:ind/>
        <w:rPr/>
      </w:pPr>
      <w:r>
        <w:rPr>
          <w:rFonts w:ascii="Calibri" w:hAnsi="Calibri"/>
        </w:rPr>
        <w:t xml:space="preserve">Business UAT participants are available during Weeks 13 to 15.</w:t>
      </w:r>
      <w:r/>
    </w:p>
    <w:p>
      <w:pPr>
        <w:pStyle w:val="733"/>
        <w:pBdr/>
        <w:spacing w:after="40"/>
        <w:ind/>
        <w:rPr/>
      </w:pPr>
      <w:r>
        <w:rPr>
          <w:rFonts w:ascii="Calibri" w:hAnsi="Calibri"/>
        </w:rPr>
        <w:t xml:space="preserve">Any requirement for a complex on-premises gateway, custom API or major network change will be assessed as a potential scope and schedule change.</w:t>
      </w:r>
      <w:r/>
    </w:p>
    <w:p>
      <w:pPr>
        <w:pStyle w:val="703"/>
        <w:keepNext w:val="true"/>
        <w:pBdr/>
        <w:spacing w:after="80" w:before="200"/>
        <w:ind/>
        <w:rPr/>
      </w:pPr>
      <w:r>
        <w:rPr>
          <w:rFonts w:ascii="Calibri" w:hAnsi="Calibri"/>
        </w:rPr>
        <w:t xml:space="preserve">5. Work Breakdown Structure Summary</w:t>
      </w:r>
      <w:r/>
    </w:p>
    <w:tbl>
      <w:tblPr>
        <w:tblStyle w:val="763"/>
        <w:jc w:val="center"/>
        <w:tblW w:w="0" w:type="auto"/>
        <w:tblBorders/>
        <w:tblLayout w:type="autofit"/>
        <w:tblLook w:val="04A0" w:firstRow="1" w:lastRow="0" w:firstColumn="1" w:lastColumn="0" w:noHBand="0" w:noVBand="1"/>
      </w:tblPr>
      <w:tblGrid>
        <w:gridCol w:w="1569"/>
        <w:gridCol w:w="1569"/>
        <w:gridCol w:w="1569"/>
        <w:gridCol w:w="1569"/>
        <w:gridCol w:w="1569"/>
        <w:gridCol w:w="1569"/>
      </w:tblGrid>
      <w:tr>
        <w:trPr>
          <w:cantSplit/>
          <w:tblHeader/>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b/>
                <w:sz w:val="20"/>
              </w:rPr>
              <w:t xml:space="preserve">WBS</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b/>
                <w:sz w:val="20"/>
              </w:rPr>
              <w:t xml:space="preserve">Work package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b/>
                <w:sz w:val="20"/>
              </w:rPr>
              <w:t xml:space="preserve">Lead</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b/>
                <w:sz w:val="20"/>
              </w:rPr>
              <w:t xml:space="preserve">Effort</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b/>
                <w:sz w:val="20"/>
              </w:rPr>
              <w:t xml:space="preserve">Timing</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Key dependency</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1.0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Mobilisation and project controls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Joel</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4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1-2</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Sponsor and team confirmation</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2.0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Tenant baseline review</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Martin</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3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1-2</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Admin access</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3.0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Governance and architecture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Joel</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8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2-4</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Baseline and Application team input</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4.0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Licensing, capacity and cost model</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Joel</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4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3-5</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Architecture decisions</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5.0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Azure billing and Infrastructure foundation</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Cam's team / </w:t>
            </w:r>
            <w:r>
              <w:rPr>
                <w:rFonts w:ascii="Calibri" w:hAnsi="Calibri"/>
                <w:b w:val="0"/>
                <w:sz w:val="20"/>
                <w:lang w:val="en-AU"/>
              </w:rPr>
              <w:t xml:space="preserve">Joel/</w:t>
            </w:r>
            <w:r>
              <w:rPr>
                <w:rFonts w:ascii="Calibri" w:hAnsi="Calibri"/>
                <w:b w:val="0"/>
                <w:sz w:val="20"/>
              </w:rPr>
              <w:t xml:space="preserve">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4 internal + 8-12 external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2-6</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Azure subscription and approvals</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6.0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Identity and tenant controls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5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4-5</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Governance approval and Entra support</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7.0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Environment foundation</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7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5-7</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Groups, licensing and Azure billing</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8.0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DLP and connector controls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9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6-9</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Environment foundation and CSOC review</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9.0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Application lifecycle and deployment</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9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7-10</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Dataverse, Managed Environments and pipeline decision</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10.0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Operational model and documentation</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Martin</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8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7-11</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Governance decisions and Application team input</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11.0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Pilot application design and build</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14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10-13</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Platform foundation and approved pilot</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12.0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UAT, CSOC review and production release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Martin / Chris</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8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13-15</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Pilot ready and business testers available</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13.0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Hypercare and closure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Joel</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11 days</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15-17</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Production release and operational readiness</w:t>
            </w:r>
            <w:r/>
          </w:p>
        </w:tc>
      </w:tr>
      <w:tr>
        <w:trPr>
          <w:cantSplit/>
        </w:trPr>
        <w:tc>
          <w:tcPr>
            <w:tcBorders/>
            <w:tcMar>
              <w:left w:w="80" w:type="dxa"/>
              <w:top w:w="60" w:type="dxa"/>
              <w:right w:w="80" w:type="dxa"/>
              <w:bottom w:w="60" w:type="dxa"/>
            </w:tcMar>
            <w:tcW w:w="737" w:type="dxa"/>
            <w:vAlign w:val="center"/>
          </w:tcPr>
          <w:p>
            <w:pPr>
              <w:pBdr/>
              <w:spacing w:after="0" w:line="240" w:lineRule="auto"/>
              <w:ind/>
              <w:rPr/>
            </w:pPr>
            <w:r>
              <w:rPr>
                <w:rFonts w:ascii="Calibri" w:hAnsi="Calibri"/>
                <w:sz w:val="20"/>
              </w:rPr>
            </w:r>
            <w:r>
              <w:rPr>
                <w:rFonts w:ascii="Calibri" w:hAnsi="Calibri"/>
                <w:b w:val="0"/>
                <w:sz w:val="20"/>
              </w:rPr>
              <w:t xml:space="preserve">14.0</w:t>
            </w:r>
            <w:r/>
          </w:p>
        </w:tc>
        <w:tc>
          <w:tcPr>
            <w:tcBorders/>
            <w:tcMar>
              <w:left w:w="80" w:type="dxa"/>
              <w:top w:w="60" w:type="dxa"/>
              <w:right w:w="80" w:type="dxa"/>
              <w:bottom w:w="60" w:type="dxa"/>
            </w:tcMar>
            <w:tcW w:w="2721" w:type="dxa"/>
            <w:vAlign w:val="center"/>
          </w:tcPr>
          <w:p>
            <w:pPr>
              <w:pBdr/>
              <w:spacing w:after="0" w:line="240" w:lineRule="auto"/>
              <w:ind/>
              <w:rPr/>
            </w:pPr>
            <w:r>
              <w:rPr>
                <w:rFonts w:ascii="Calibri" w:hAnsi="Calibri"/>
                <w:sz w:val="20"/>
              </w:rPr>
            </w:r>
            <w:r>
              <w:rPr>
                <w:rFonts w:ascii="Calibri" w:hAnsi="Calibri"/>
                <w:b w:val="0"/>
                <w:sz w:val="20"/>
              </w:rPr>
              <w:t xml:space="preserve">Management contingency</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Project reserve</w:t>
            </w:r>
            <w:r/>
          </w:p>
        </w:tc>
        <w:tc>
          <w:tcPr>
            <w:tcBorders/>
            <w:tcMar>
              <w:left w:w="80" w:type="dxa"/>
              <w:top w:w="60" w:type="dxa"/>
              <w:right w:w="80" w:type="dxa"/>
              <w:bottom w:w="60" w:type="dxa"/>
            </w:tcMar>
            <w:tcW w:w="1417" w:type="dxa"/>
            <w:vAlign w:val="center"/>
          </w:tcPr>
          <w:p>
            <w:pPr>
              <w:pBdr/>
              <w:spacing w:after="0" w:line="240" w:lineRule="auto"/>
              <w:ind/>
              <w:rPr/>
            </w:pPr>
            <w:r>
              <w:rPr>
                <w:rFonts w:ascii="Calibri" w:hAnsi="Calibri"/>
                <w:sz w:val="20"/>
              </w:rPr>
            </w:r>
            <w:r>
              <w:rPr>
                <w:rFonts w:ascii="Calibri" w:hAnsi="Calibri"/>
                <w:b w:val="0"/>
                <w:sz w:val="20"/>
              </w:rPr>
              <w:t xml:space="preserve">Not pre-allocated</w:t>
            </w:r>
            <w:r/>
          </w:p>
        </w:tc>
        <w:tc>
          <w:tcPr>
            <w:tcBorders/>
            <w:tcMar>
              <w:left w:w="80" w:type="dxa"/>
              <w:top w:w="60" w:type="dxa"/>
              <w:right w:w="80" w:type="dxa"/>
              <w:bottom w:w="60" w:type="dxa"/>
            </w:tcMar>
            <w:tcW w:w="1304" w:type="dxa"/>
            <w:vAlign w:val="center"/>
          </w:tcPr>
          <w:p>
            <w:pPr>
              <w:pBdr/>
              <w:spacing w:after="0" w:line="240" w:lineRule="auto"/>
              <w:ind/>
              <w:rPr/>
            </w:pPr>
            <w:r>
              <w:rPr>
                <w:rFonts w:ascii="Calibri" w:hAnsi="Calibri"/>
                <w:sz w:val="20"/>
              </w:rPr>
            </w:r>
            <w:r>
              <w:rPr>
                <w:rFonts w:ascii="Calibri" w:hAnsi="Calibri"/>
                <w:b w:val="0"/>
                <w:sz w:val="20"/>
              </w:rPr>
              <w:t xml:space="preserve">Weeks 18-19</w:t>
            </w:r>
            <w:r/>
          </w:p>
        </w:tc>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Used only where required</w:t>
            </w:r>
            <w:r/>
          </w:p>
        </w:tc>
      </w:tr>
    </w:tbl>
    <w:p>
      <w:pPr>
        <w:pBdr/>
        <w:spacing w:after="80"/>
        <w:ind/>
        <w:rPr/>
      </w:pPr>
      <w:r/>
      <w:r/>
    </w:p>
    <w:p>
      <w:pPr>
        <w:pStyle w:val="703"/>
        <w:keepNext w:val="true"/>
        <w:pBdr/>
        <w:spacing w:after="80" w:before="200"/>
        <w:ind/>
        <w:rPr/>
      </w:pPr>
      <w:r>
        <w:rPr>
          <w:rFonts w:ascii="Calibri" w:hAnsi="Calibri"/>
        </w:rPr>
        <w:t xml:space="preserve">6. Detailed Work Packages</w:t>
      </w:r>
      <w:r/>
    </w:p>
    <w:p>
      <w:pPr>
        <w:pStyle w:val="704"/>
        <w:keepNext w:val="true"/>
        <w:pBdr/>
        <w:spacing w:after="80" w:before="200"/>
        <w:ind/>
        <w:rPr/>
      </w:pPr>
      <w:r>
        <w:rPr>
          <w:rFonts w:ascii="Calibri" w:hAnsi="Calibri"/>
        </w:rPr>
        <w:t xml:space="preserve">6.1. Mobilisation and Project Controls</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1-2</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 Martin, Cam's team and Application team representatives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4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No material external effort</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Management approval and named representatives</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Establish the project, confirm ownership, protect resource allocation and create the controls needed to manage delivery.</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Confirm sponsor and decision-makers.</w:t>
      </w:r>
      <w:r/>
    </w:p>
    <w:p>
      <w:pPr>
        <w:pStyle w:val="733"/>
        <w:pBdr/>
        <w:spacing w:after="40"/>
        <w:ind/>
        <w:rPr/>
      </w:pPr>
      <w:r>
        <w:rPr>
          <w:rFonts w:ascii="Calibri" w:hAnsi="Calibri"/>
        </w:rPr>
        <w:t xml:space="preserve">Confirm Joel at 65%, Chris at 50% and Martin at 50%.</w:t>
      </w:r>
      <w:r/>
    </w:p>
    <w:p>
      <w:pPr>
        <w:pStyle w:val="733"/>
        <w:pBdr/>
        <w:spacing w:after="40"/>
        <w:ind/>
        <w:rPr/>
      </w:pPr>
      <w:r>
        <w:rPr>
          <w:rFonts w:ascii="Calibri" w:hAnsi="Calibri"/>
        </w:rPr>
        <w:t xml:space="preserve">Confirm Cam's team contacts and expected delivery dates.</w:t>
      </w:r>
      <w:r/>
    </w:p>
    <w:p>
      <w:pPr>
        <w:pStyle w:val="733"/>
        <w:pBdr/>
        <w:spacing w:after="40"/>
        <w:ind/>
        <w:rPr/>
      </w:pPr>
      <w:r>
        <w:rPr>
          <w:rFonts w:ascii="Calibri" w:hAnsi="Calibri"/>
        </w:rPr>
        <w:t xml:space="preserve">Confirm Application team representatives and future ownership.</w:t>
      </w:r>
      <w:r/>
    </w:p>
    <w:p>
      <w:pPr>
        <w:pStyle w:val="733"/>
        <w:pBdr/>
        <w:spacing w:after="40"/>
        <w:ind/>
        <w:rPr/>
      </w:pPr>
      <w:r>
        <w:rPr>
          <w:rFonts w:ascii="Calibri" w:hAnsi="Calibri"/>
        </w:rPr>
        <w:t xml:space="preserve">Create scope, schedule, risk, issue, action and decision registers.</w:t>
      </w:r>
      <w:r/>
    </w:p>
    <w:p>
      <w:pPr>
        <w:pStyle w:val="733"/>
        <w:pBdr/>
        <w:spacing w:after="40"/>
        <w:ind/>
        <w:rPr/>
      </w:pPr>
      <w:r>
        <w:rPr>
          <w:rFonts w:ascii="Calibri" w:hAnsi="Calibri"/>
        </w:rPr>
        <w:t xml:space="preserve">Confirm reporting frequency and management status format.</w:t>
      </w:r>
      <w:r/>
    </w:p>
    <w:p>
      <w:pPr>
        <w:pStyle w:val="733"/>
        <w:pBdr/>
        <w:spacing w:after="40"/>
        <w:ind/>
        <w:rPr/>
      </w:pPr>
      <w:r>
        <w:rPr>
          <w:rFonts w:ascii="Calibri" w:hAnsi="Calibri"/>
        </w:rPr>
        <w:t xml:space="preserve">Create the document repository and project working area.</w:t>
      </w:r>
      <w:r/>
    </w:p>
    <w:p>
      <w:pPr>
        <w:pStyle w:val="733"/>
        <w:pBdr/>
        <w:spacing w:after="40"/>
        <w:ind/>
        <w:rPr/>
      </w:pPr>
      <w:r>
        <w:rPr>
          <w:rFonts w:ascii="Calibri" w:hAnsi="Calibri"/>
        </w:rPr>
        <w:t xml:space="preserve">Confirm pilot selection criteria and approval process.</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Approved project scope</w:t>
      </w:r>
      <w:r/>
    </w:p>
    <w:p>
      <w:pPr>
        <w:pStyle w:val="733"/>
        <w:pBdr/>
        <w:spacing w:after="40"/>
        <w:ind/>
        <w:rPr/>
      </w:pPr>
      <w:r>
        <w:rPr>
          <w:rFonts w:ascii="Calibri" w:hAnsi="Calibri"/>
        </w:rPr>
        <w:t xml:space="preserve">Confirmed resource plan</w:t>
      </w:r>
      <w:r/>
    </w:p>
    <w:p>
      <w:pPr>
        <w:pStyle w:val="733"/>
        <w:pBdr/>
        <w:spacing w:after="40"/>
        <w:ind/>
        <w:rPr/>
      </w:pPr>
      <w:r>
        <w:rPr>
          <w:rFonts w:ascii="Calibri" w:hAnsi="Calibri"/>
        </w:rPr>
        <w:t xml:space="preserve">Project controls and reporting structure</w:t>
      </w:r>
      <w:r/>
    </w:p>
    <w:p>
      <w:pPr>
        <w:pStyle w:val="733"/>
        <w:pBdr/>
        <w:spacing w:after="40"/>
        <w:ind/>
        <w:rPr/>
      </w:pPr>
      <w:r>
        <w:rPr>
          <w:rFonts w:ascii="Calibri" w:hAnsi="Calibri"/>
        </w:rPr>
        <w:t xml:space="preserve">Initial schedule and dependency register</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All named teams accept their role.</w:t>
      </w:r>
      <w:r/>
    </w:p>
    <w:p>
      <w:pPr>
        <w:pStyle w:val="733"/>
        <w:pBdr/>
        <w:spacing w:after="40"/>
        <w:ind/>
        <w:rPr/>
      </w:pPr>
      <w:r>
        <w:rPr>
          <w:rFonts w:ascii="Calibri" w:hAnsi="Calibri"/>
        </w:rPr>
        <w:t xml:space="preserve">Resource allocation is confirmed.</w:t>
      </w:r>
      <w:r/>
    </w:p>
    <w:p>
      <w:pPr>
        <w:pStyle w:val="733"/>
        <w:pBdr/>
        <w:spacing w:after="40"/>
        <w:ind/>
        <w:rPr/>
      </w:pPr>
      <w:r>
        <w:rPr>
          <w:rFonts w:ascii="Calibri" w:hAnsi="Calibri"/>
        </w:rPr>
        <w:t xml:space="preserve">External dependencies have owners and target dates.</w:t>
      </w:r>
      <w:r/>
    </w:p>
    <w:p>
      <w:pPr>
        <w:pStyle w:val="704"/>
        <w:keepNext w:val="true"/>
        <w:pBdr/>
        <w:spacing w:after="80" w:before="200"/>
        <w:ind/>
        <w:rPr/>
      </w:pPr>
      <w:r>
        <w:rPr>
          <w:rFonts w:ascii="Calibri" w:hAnsi="Calibri"/>
        </w:rPr>
        <w:t xml:space="preserve">6.2. Tenant Baseline Review</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1-2</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Martin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 and Joel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3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No material external effort</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Power Platform administrator access</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Confirm the tenant is a clean starting point and record existing settings before changes are made.</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Confirm existing environments and the Default environment configuration.</w:t>
      </w:r>
      <w:r/>
    </w:p>
    <w:p>
      <w:pPr>
        <w:pStyle w:val="733"/>
        <w:pBdr/>
        <w:spacing w:after="40"/>
        <w:ind/>
        <w:rPr/>
      </w:pPr>
      <w:r>
        <w:rPr>
          <w:rFonts w:ascii="Calibri" w:hAnsi="Calibri"/>
        </w:rPr>
        <w:t xml:space="preserve">Confirm no supported production apps or flows exist.</w:t>
      </w:r>
      <w:r/>
    </w:p>
    <w:p>
      <w:pPr>
        <w:pStyle w:val="733"/>
        <w:pBdr/>
        <w:spacing w:after="40"/>
        <w:ind/>
        <w:rPr/>
      </w:pPr>
      <w:r>
        <w:rPr>
          <w:rFonts w:ascii="Calibri" w:hAnsi="Calibri"/>
        </w:rPr>
        <w:t xml:space="preserve">Review current administrator assignments.</w:t>
      </w:r>
      <w:r/>
    </w:p>
    <w:p>
      <w:pPr>
        <w:pStyle w:val="733"/>
        <w:pBdr/>
        <w:spacing w:after="40"/>
        <w:ind/>
        <w:rPr/>
      </w:pPr>
      <w:r>
        <w:rPr>
          <w:rFonts w:ascii="Calibri" w:hAnsi="Calibri"/>
        </w:rPr>
        <w:t xml:space="preserve">Review environment creation settings.</w:t>
      </w:r>
      <w:r/>
    </w:p>
    <w:p>
      <w:pPr>
        <w:pStyle w:val="733"/>
        <w:pBdr/>
        <w:spacing w:after="40"/>
        <w:ind/>
        <w:rPr/>
      </w:pPr>
      <w:r>
        <w:rPr>
          <w:rFonts w:ascii="Calibri" w:hAnsi="Calibri"/>
        </w:rPr>
        <w:t xml:space="preserve">Review current DLP policies and connector restrictions.</w:t>
      </w:r>
      <w:r/>
    </w:p>
    <w:p>
      <w:pPr>
        <w:pStyle w:val="733"/>
        <w:pBdr/>
        <w:spacing w:after="40"/>
        <w:ind/>
        <w:rPr/>
      </w:pPr>
      <w:r>
        <w:rPr>
          <w:rFonts w:ascii="Calibri" w:hAnsi="Calibri"/>
        </w:rPr>
        <w:t xml:space="preserve">Review current licensing, capacity and tenant settings.</w:t>
      </w:r>
      <w:r/>
    </w:p>
    <w:p>
      <w:pPr>
        <w:pStyle w:val="733"/>
        <w:pBdr/>
        <w:spacing w:after="40"/>
        <w:ind/>
        <w:rPr/>
      </w:pPr>
      <w:r>
        <w:rPr>
          <w:rFonts w:ascii="Calibri" w:hAnsi="Calibri"/>
        </w:rPr>
        <w:t xml:space="preserve">Record the baseline for later comparison and audit evidence.</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Tenant baseline report</w:t>
      </w:r>
      <w:r/>
    </w:p>
    <w:p>
      <w:pPr>
        <w:pStyle w:val="733"/>
        <w:pBdr/>
        <w:spacing w:after="40"/>
        <w:ind/>
        <w:rPr/>
      </w:pPr>
      <w:r>
        <w:rPr>
          <w:rFonts w:ascii="Calibri" w:hAnsi="Calibri"/>
        </w:rPr>
        <w:t xml:space="preserve">Configuration evidence</w:t>
      </w:r>
      <w:r/>
    </w:p>
    <w:p>
      <w:pPr>
        <w:pStyle w:val="733"/>
        <w:pBdr/>
        <w:spacing w:after="40"/>
        <w:ind/>
        <w:rPr/>
      </w:pPr>
      <w:r>
        <w:rPr>
          <w:rFonts w:ascii="Calibri" w:hAnsi="Calibri"/>
        </w:rPr>
        <w:t xml:space="preserve">Confirmed clean-start statement</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The current state is documented.</w:t>
      </w:r>
      <w:r/>
    </w:p>
    <w:p>
      <w:pPr>
        <w:pStyle w:val="733"/>
        <w:pBdr/>
        <w:spacing w:after="40"/>
        <w:ind/>
        <w:rPr/>
      </w:pPr>
      <w:r>
        <w:rPr>
          <w:rFonts w:ascii="Calibri" w:hAnsi="Calibri"/>
        </w:rPr>
        <w:t xml:space="preserve">No unexpected production dependency has been found.</w:t>
      </w:r>
      <w:r/>
    </w:p>
    <w:p>
      <w:pPr>
        <w:pStyle w:val="733"/>
        <w:pBdr/>
        <w:spacing w:after="40"/>
        <w:ind/>
        <w:rPr/>
      </w:pPr>
      <w:r>
        <w:rPr>
          <w:rFonts w:ascii="Calibri" w:hAnsi="Calibri"/>
        </w:rPr>
        <w:t xml:space="preserve">The team can proceed without migration planning.</w:t>
      </w:r>
      <w:r/>
    </w:p>
    <w:p>
      <w:pPr>
        <w:pStyle w:val="704"/>
        <w:keepNext w:val="true"/>
        <w:pBdr/>
        <w:spacing w:after="80" w:before="200"/>
        <w:ind/>
        <w:rPr/>
      </w:pPr>
      <w:r>
        <w:rPr>
          <w:rFonts w:ascii="Calibri" w:hAnsi="Calibri"/>
        </w:rPr>
        <w:t xml:space="preserve">6.3. Governance and Architecture</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2-4</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 Martin, Application team and CSOC</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8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Application team and CSOC participation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Tenant baseline and stakeholder availability</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Agree how the platform will be governed, secured, supported and owned before tenant-wide configuration begins.</w:t>
      </w:r>
      <w:r/>
    </w:p>
    <w:p>
      <w:pPr>
        <w:pBdr/>
        <w:spacing w:after="80"/>
        <w:ind/>
        <w:rPr/>
      </w:pPr>
      <w:r>
        <w:rPr>
          <w:b/>
        </w:rPr>
        <w:t xml:space="preserve">Why this matters: </w:t>
      </w:r>
      <w:r>
        <w:t xml:space="preserve">Power Platform can grow faster than the operating model around it. Agreeing ownership, maker rules, data boundaries and support before opening access prevents unsupported business-critical apps, unclear accountability and expensive clean-up later.</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Confirm user, maker and administrator roles.</w:t>
      </w:r>
      <w:r/>
    </w:p>
    <w:p>
      <w:pPr>
        <w:pStyle w:val="733"/>
        <w:pBdr/>
        <w:spacing w:after="40"/>
        <w:ind/>
        <w:rPr/>
      </w:pPr>
      <w:r>
        <w:rPr>
          <w:rFonts w:ascii="Calibri" w:hAnsi="Calibri"/>
        </w:rPr>
        <w:t xml:space="preserve">Confirm Application team ownership after project completion.</w:t>
      </w:r>
      <w:r/>
    </w:p>
    <w:p>
      <w:pPr>
        <w:pStyle w:val="733"/>
        <w:pBdr/>
        <w:spacing w:after="40"/>
        <w:ind/>
        <w:rPr/>
      </w:pPr>
      <w:r>
        <w:rPr>
          <w:rFonts w:ascii="Calibri" w:hAnsi="Calibri"/>
        </w:rPr>
        <w:t xml:space="preserve">Confirm environment model and naming standards.</w:t>
      </w:r>
      <w:r/>
    </w:p>
    <w:p>
      <w:pPr>
        <w:pStyle w:val="733"/>
        <w:pBdr/>
        <w:spacing w:after="40"/>
        <w:ind/>
        <w:rPr/>
      </w:pPr>
      <w:r>
        <w:rPr>
          <w:rFonts w:ascii="Calibri" w:hAnsi="Calibri"/>
        </w:rPr>
        <w:t xml:space="preserve">Confirm security-group naming and application sharing rules.</w:t>
      </w:r>
      <w:r/>
    </w:p>
    <w:p>
      <w:pPr>
        <w:pStyle w:val="733"/>
        <w:pBdr/>
        <w:spacing w:after="40"/>
        <w:ind/>
        <w:rPr/>
      </w:pPr>
      <w:r>
        <w:rPr>
          <w:rFonts w:ascii="Calibri" w:hAnsi="Calibri"/>
        </w:rPr>
        <w:t xml:space="preserve">Confirm business and technical ownership requirements.</w:t>
      </w:r>
      <w:r/>
    </w:p>
    <w:p>
      <w:pPr>
        <w:pStyle w:val="733"/>
        <w:pBdr/>
        <w:spacing w:after="40"/>
        <w:ind/>
        <w:rPr/>
      </w:pPr>
      <w:r>
        <w:rPr>
          <w:rFonts w:ascii="Calibri" w:hAnsi="Calibri"/>
        </w:rPr>
        <w:t xml:space="preserve">Confirm maker approval and environment request processes, routed through SNOW.</w:t>
      </w:r>
      <w:r/>
    </w:p>
    <w:p>
      <w:pPr>
        <w:pStyle w:val="733"/>
        <w:pBdr/>
        <w:spacing w:after="40"/>
        <w:ind/>
        <w:rPr/>
      </w:pPr>
      <w:r>
        <w:rPr>
          <w:rFonts w:ascii="Calibri" w:hAnsi="Calibri"/>
        </w:rPr>
        <w:t xml:space="preserve">Confirm connector exception and premium licensing processes.</w:t>
      </w:r>
      <w:r/>
    </w:p>
    <w:p>
      <w:pPr>
        <w:pStyle w:val="733"/>
        <w:pBdr/>
        <w:spacing w:after="40"/>
        <w:ind/>
        <w:rPr/>
      </w:pPr>
      <w:r>
        <w:rPr>
          <w:rFonts w:ascii="Calibri" w:hAnsi="Calibri"/>
        </w:rPr>
        <w:t xml:space="preserve">Confirm production release, support, review and retirement processes.</w:t>
      </w:r>
      <w:r/>
    </w:p>
    <w:p>
      <w:pPr>
        <w:pStyle w:val="733"/>
        <w:pBdr/>
        <w:spacing w:after="40"/>
        <w:ind/>
        <w:rPr/>
      </w:pPr>
      <w:r>
        <w:rPr>
          <w:rFonts w:ascii="Calibri" w:hAnsi="Calibri"/>
        </w:rPr>
        <w:t xml:space="preserve">Confirm data region, data classification and CSOC requirements.</w:t>
      </w:r>
      <w:r/>
    </w:p>
    <w:p>
      <w:pPr>
        <w:pStyle w:val="733"/>
        <w:pBdr/>
        <w:spacing w:after="40"/>
        <w:ind/>
        <w:rPr/>
      </w:pPr>
      <w:r>
        <w:rPr>
          <w:rFonts w:ascii="Calibri" w:hAnsi="Calibri"/>
        </w:rPr>
        <w:t xml:space="preserve">Confirm Managed Environment, environment routing and pipeline approach.</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Approved governance model</w:t>
      </w:r>
      <w:r/>
    </w:p>
    <w:p>
      <w:pPr>
        <w:pStyle w:val="733"/>
        <w:pBdr/>
        <w:spacing w:after="40"/>
        <w:ind/>
        <w:rPr/>
      </w:pPr>
      <w:r>
        <w:rPr>
          <w:rFonts w:ascii="Calibri" w:hAnsi="Calibri"/>
        </w:rPr>
        <w:t xml:space="preserve">Platform architecture</w:t>
      </w:r>
      <w:r/>
    </w:p>
    <w:p>
      <w:pPr>
        <w:pStyle w:val="733"/>
        <w:pBdr/>
        <w:spacing w:after="40"/>
        <w:ind/>
        <w:rPr/>
      </w:pPr>
      <w:r>
        <w:rPr>
          <w:rFonts w:ascii="Calibri" w:hAnsi="Calibri"/>
        </w:rPr>
        <w:t xml:space="preserve">Roles and responsibilities</w:t>
      </w:r>
      <w:r/>
    </w:p>
    <w:p>
      <w:pPr>
        <w:pStyle w:val="733"/>
        <w:pBdr/>
        <w:spacing w:after="40"/>
        <w:ind/>
        <w:rPr/>
      </w:pPr>
      <w:r>
        <w:rPr>
          <w:rFonts w:ascii="Calibri" w:hAnsi="Calibri"/>
        </w:rPr>
        <w:t xml:space="preserve">Naming standards</w:t>
      </w:r>
      <w:r/>
    </w:p>
    <w:p>
      <w:pPr>
        <w:pStyle w:val="733"/>
        <w:pBdr/>
        <w:spacing w:after="40"/>
        <w:ind/>
        <w:rPr/>
      </w:pPr>
      <w:r>
        <w:rPr>
          <w:rFonts w:ascii="Calibri" w:hAnsi="Calibri"/>
        </w:rPr>
        <w:t xml:space="preserve">Initial operating model</w:t>
      </w:r>
      <w:r/>
    </w:p>
    <w:p>
      <w:pPr>
        <w:pStyle w:val="733"/>
        <w:pBdr/>
        <w:spacing w:after="40"/>
        <w:ind/>
        <w:rPr/>
      </w:pPr>
      <w:r>
        <w:rPr>
          <w:rFonts w:ascii="Calibri" w:hAnsi="Calibri"/>
        </w:rPr>
        <w:t xml:space="preserve">SNOW request and ticketing process</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Architecture is approved.</w:t>
      </w:r>
      <w:r/>
    </w:p>
    <w:p>
      <w:pPr>
        <w:pStyle w:val="733"/>
        <w:pBdr/>
        <w:spacing w:after="40"/>
        <w:ind/>
        <w:rPr/>
      </w:pPr>
      <w:r>
        <w:rPr>
          <w:rFonts w:ascii="Calibri" w:hAnsi="Calibri"/>
        </w:rPr>
        <w:t xml:space="preserve">Application team accepts the future operating model.</w:t>
      </w:r>
      <w:r/>
    </w:p>
    <w:p>
      <w:pPr>
        <w:pStyle w:val="733"/>
        <w:pBdr/>
        <w:spacing w:after="40"/>
        <w:ind/>
        <w:rPr/>
      </w:pPr>
      <w:r>
        <w:rPr>
          <w:rFonts w:ascii="Calibri" w:hAnsi="Calibri"/>
        </w:rPr>
        <w:t xml:space="preserve">Licensing and Infrastructure requirements are clear.</w:t>
      </w:r>
      <w:r/>
    </w:p>
    <w:p>
      <w:pPr>
        <w:pStyle w:val="704"/>
        <w:keepNext w:val="true"/>
        <w:pBdr/>
        <w:spacing w:after="80" w:before="200"/>
        <w:ind/>
        <w:rPr/>
      </w:pPr>
      <w:r>
        <w:rPr>
          <w:rFonts w:ascii="Calibri" w:hAnsi="Calibri"/>
        </w:rPr>
        <w:t xml:space="preserve">6.4. Licensing, Capacity and Cost Model</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3-5</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 Licensing/Procurement and Cam's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4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Licensing and procurement effort as required</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Architecture decisions and procurement availability</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Confirm the licenses, Dataverse capacity, Azure billing model and cost ownership needed for the selected architecture.</w:t>
      </w:r>
      <w:r/>
    </w:p>
    <w:p>
      <w:pPr>
        <w:pBdr/>
        <w:spacing w:after="80"/>
        <w:ind/>
        <w:rPr/>
      </w:pPr>
      <w:r>
        <w:rPr>
          <w:b/>
        </w:rPr>
        <w:t xml:space="preserve">Why this matters: </w:t>
      </w:r>
      <w:r>
        <w:t xml:space="preserve">Power Platform licensing</w:t>
      </w:r>
      <w:r>
        <w:t xml:space="preserve"> is driven by how an app or flow is used, which connectors it uses, who invokes it, how it is owned and whether the environment is managed. Licensing only the makers is a common mistake because end users or the automation itself can also require licensing.</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Document existing Microsoft 365 and Power Platform entitlements.</w:t>
      </w:r>
      <w:r/>
    </w:p>
    <w:p>
      <w:pPr>
        <w:pStyle w:val="733"/>
        <w:pBdr/>
        <w:spacing w:after="40"/>
        <w:ind/>
        <w:rPr/>
      </w:pPr>
      <w:r>
        <w:rPr>
          <w:rFonts w:ascii="Calibri" w:hAnsi="Calibri"/>
        </w:rPr>
        <w:t xml:space="preserve">Confirm Power Apps and Power Automate licensing for administrators, makers and pilot users.</w:t>
      </w:r>
      <w:r/>
    </w:p>
    <w:p>
      <w:pPr>
        <w:pStyle w:val="733"/>
        <w:pBdr/>
        <w:spacing/>
        <w:ind/>
        <w:rPr/>
      </w:pPr>
      <w:r>
        <w:t xml:space="preserve">Create licensing scenarios for standard Microsoft 365 automation, premium Power Apps, company-wide premium workflows, service-principal-owned flows and Managed Environments.</w:t>
      </w:r>
      <w:r/>
    </w:p>
    <w:p>
      <w:pPr>
        <w:pStyle w:val="733"/>
        <w:pBdr/>
        <w:spacing/>
        <w:ind/>
        <w:rPr/>
      </w:pPr>
      <w:r>
        <w:t xml:space="preserve">Confirm whether company-wide processes are licensed per user, per app, by Power Automate Process capacity or by pay-as-you-go.</w:t>
      </w:r>
      <w:r/>
    </w:p>
    <w:p>
      <w:pPr>
        <w:pStyle w:val="733"/>
        <w:pBdr/>
        <w:spacing/>
        <w:ind/>
        <w:rPr/>
      </w:pPr>
      <w:r>
        <w:t xml:space="preserve">Account for separate Process licensing or capacity where the same licensed flow is deployed into Development, Test/UAT and Production.</w:t>
      </w:r>
      <w:r/>
    </w:p>
    <w:p>
      <w:pPr>
        <w:pStyle w:val="733"/>
        <w:pBdr/>
        <w:spacing w:after="40"/>
        <w:ind/>
        <w:rPr/>
      </w:pPr>
      <w:r>
        <w:rPr>
          <w:rFonts w:ascii="Calibri" w:hAnsi="Calibri"/>
        </w:rPr>
        <w:t xml:space="preserve">Confirm Managed Environment and pipeline licensing implications.</w:t>
      </w:r>
      <w:r/>
    </w:p>
    <w:p>
      <w:pPr>
        <w:pStyle w:val="733"/>
        <w:pBdr/>
        <w:spacing w:after="40"/>
        <w:ind/>
        <w:rPr/>
      </w:pPr>
      <w:r>
        <w:rPr>
          <w:rFonts w:ascii="Calibri" w:hAnsi="Calibri"/>
        </w:rPr>
        <w:t xml:space="preserve">Estimate Dataverse database, file and log capacity.</w:t>
      </w:r>
      <w:r/>
    </w:p>
    <w:p>
      <w:pPr>
        <w:pStyle w:val="733"/>
        <w:pBdr/>
        <w:spacing w:after="40"/>
        <w:ind/>
        <w:rPr/>
      </w:pPr>
      <w:r>
        <w:rPr>
          <w:rFonts w:ascii="Calibri" w:hAnsi="Calibri"/>
        </w:rPr>
        <w:t xml:space="preserve">Confirm pay-as-you-go and Azure billing use.</w:t>
      </w:r>
      <w:r/>
    </w:p>
    <w:p>
      <w:pPr>
        <w:pStyle w:val="733"/>
        <w:pBdr/>
        <w:spacing w:after="40"/>
        <w:ind/>
        <w:rPr/>
      </w:pPr>
      <w:r>
        <w:rPr>
          <w:rFonts w:ascii="Calibri" w:hAnsi="Calibri"/>
        </w:rPr>
        <w:t xml:space="preserve">Confirm cost centre, subscription owner and approval path.</w:t>
      </w:r>
      <w:r/>
    </w:p>
    <w:p>
      <w:pPr>
        <w:pStyle w:val="733"/>
        <w:pBdr/>
        <w:spacing w:after="40"/>
        <w:ind/>
        <w:rPr/>
      </w:pPr>
      <w:r>
        <w:rPr>
          <w:rFonts w:ascii="Calibri" w:hAnsi="Calibri"/>
        </w:rPr>
        <w:t xml:space="preserve">Define premium licence request and approval process.</w:t>
      </w:r>
      <w:r/>
    </w:p>
    <w:p>
      <w:pPr>
        <w:pStyle w:val="733"/>
        <w:pBdr/>
        <w:spacing w:after="40"/>
        <w:ind/>
        <w:rPr/>
      </w:pPr>
      <w:r>
        <w:rPr>
          <w:rFonts w:ascii="Calibri" w:hAnsi="Calibri"/>
        </w:rPr>
        <w:t xml:space="preserve">Create an initial cost and capacity register.</w:t>
      </w:r>
      <w:r/>
    </w:p>
    <w:p w14:paraId="2B9464BD">
      <w:pPr>
        <w:pBdr/>
        <w:shd w:val="nil"/>
        <w:spacing/>
        <w:ind/>
        <w:rPr/>
      </w:pPr>
      <w:r>
        <w:rPr>
          <w:rFonts w:ascii="Calibri" w:hAnsi="Calibri"/>
          <w:b/>
          <w:highlight w:val="none"/>
        </w:rPr>
        <w:br w:type="page" w:clear="all"/>
      </w:r>
      <w:r>
        <w:rPr>
          <w:rFonts w:ascii="Calibri" w:hAnsi="Calibri"/>
          <w:b/>
          <w:highlight w:val="none"/>
        </w:rPr>
      </w:r>
      <w:r>
        <w:rPr>
          <w:rFonts w:ascii="Calibri" w:hAnsi="Calibri"/>
          <w:b/>
          <w:highlight w:val="none"/>
        </w:rPr>
      </w:r>
    </w:p>
    <w:p>
      <w:pPr>
        <w:pBdr/>
        <w:spacing w:after="80" w:line="259" w:lineRule="auto"/>
        <w:ind/>
        <w:rPr>
          <w:rFonts w:ascii="Calibri" w:hAnsi="Calibri"/>
          <w:b/>
          <w:bCs/>
          <w:highlight w:val="none"/>
        </w:rPr>
      </w:pPr>
      <w:r>
        <w:rPr>
          <w:rFonts w:ascii="Calibri" w:hAnsi="Calibri"/>
          <w:b/>
        </w:rPr>
        <w:t xml:space="preserve">Deliverables</w:t>
      </w:r>
      <w:r/>
    </w:p>
    <w:p>
      <w:pPr>
        <w:pStyle w:val="733"/>
        <w:pBdr/>
        <w:spacing w:after="40"/>
        <w:ind/>
        <w:rPr/>
      </w:pPr>
      <w:r>
        <w:rPr>
          <w:rFonts w:ascii="Calibri" w:hAnsi="Calibri"/>
        </w:rPr>
        <w:t xml:space="preserve">Approved licensing approach</w:t>
      </w:r>
      <w:r/>
    </w:p>
    <w:p>
      <w:pPr>
        <w:pStyle w:val="733"/>
        <w:pBdr/>
        <w:spacing w:after="40"/>
        <w:ind/>
        <w:rPr/>
      </w:pPr>
      <w:r>
        <w:rPr>
          <w:rFonts w:ascii="Calibri" w:hAnsi="Calibri"/>
        </w:rPr>
        <w:t xml:space="preserve">Capacity estimate</w:t>
      </w:r>
      <w:r/>
    </w:p>
    <w:p>
      <w:pPr>
        <w:pStyle w:val="733"/>
        <w:pBdr/>
        <w:spacing w:after="40"/>
        <w:ind/>
        <w:rPr/>
      </w:pPr>
      <w:r>
        <w:rPr>
          <w:rFonts w:ascii="Calibri" w:hAnsi="Calibri"/>
        </w:rPr>
        <w:t xml:space="preserve">Cost ownership model</w:t>
      </w:r>
      <w:r/>
    </w:p>
    <w:p>
      <w:pPr>
        <w:pStyle w:val="733"/>
        <w:pBdr/>
        <w:spacing w:after="40"/>
        <w:ind/>
        <w:rPr/>
      </w:pPr>
      <w:r>
        <w:rPr>
          <w:rFonts w:ascii="Calibri" w:hAnsi="Calibri"/>
        </w:rPr>
        <w:t xml:space="preserve">License and capacity register</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Licensing is approved or procurement is underway.</w:t>
      </w:r>
      <w:r/>
    </w:p>
    <w:p>
      <w:pPr>
        <w:pStyle w:val="733"/>
        <w:pBdr/>
        <w:spacing w:after="40"/>
        <w:ind/>
        <w:rPr/>
      </w:pPr>
      <w:r>
        <w:rPr>
          <w:rFonts w:ascii="Calibri" w:hAnsi="Calibri"/>
        </w:rPr>
        <w:t xml:space="preserve">The selected platform features are financially supported.</w:t>
      </w:r>
      <w:r/>
    </w:p>
    <w:p>
      <w:pPr>
        <w:pStyle w:val="733"/>
        <w:pBdr/>
        <w:spacing w:after="40"/>
        <w:ind/>
        <w:rPr/>
      </w:pPr>
      <w:r>
        <w:rPr>
          <w:rFonts w:ascii="Calibri" w:hAnsi="Calibri"/>
        </w:rPr>
        <w:t xml:space="preserve">Cam's team has the required billing information.</w:t>
      </w:r>
      <w:r/>
    </w:p>
    <w:p>
      <w:pPr>
        <w:pStyle w:val="704"/>
        <w:keepNext w:val="true"/>
        <w:pBdr/>
        <w:spacing w:after="80" w:before="200"/>
        <w:ind/>
        <w:rPr/>
      </w:pPr>
      <w:r>
        <w:rPr>
          <w:rFonts w:ascii="Calibri" w:hAnsi="Calibri"/>
        </w:rPr>
        <w:t xml:space="preserve">6.5. Azure Billing and Infrastructure Foundation</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2-6</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Cam's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and 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4 internal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8-12 person-days by Cam's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Azure approvals, subscription availability and Cam's team capacity</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Provide the Azure subscription, billing controls, access and supporting Infrastructure required by the Power Platform implementation.</w:t>
      </w:r>
      <w:r/>
    </w:p>
    <w:p>
      <w:pPr>
        <w:pBdr/>
        <w:spacing w:after="80"/>
        <w:ind/>
        <w:rPr/>
      </w:pPr>
      <w:r>
        <w:rPr>
          <w:b/>
        </w:rPr>
        <w:t xml:space="preserve">Why this matters: </w:t>
      </w:r>
      <w:r>
        <w:t xml:space="preserve">Azure billing enables consumption-based Power Platform capacity, but it also creates an ongoing cost-management responsibility. Subscription ownership, budgets, alerts, RBAC and cost attribution need to exist before environments are linked.</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Confirm or create the Azure subscription.</w:t>
      </w:r>
      <w:r/>
    </w:p>
    <w:p>
      <w:pPr>
        <w:pStyle w:val="733"/>
        <w:pBdr/>
        <w:spacing w:after="40"/>
        <w:ind/>
        <w:rPr/>
      </w:pPr>
      <w:r>
        <w:rPr>
          <w:rFonts w:ascii="Calibri" w:hAnsi="Calibri"/>
        </w:rPr>
        <w:t xml:space="preserve">Confirm subscription ownership and management-group placement.</w:t>
      </w:r>
      <w:r/>
    </w:p>
    <w:p>
      <w:pPr>
        <w:pStyle w:val="733"/>
        <w:pBdr/>
        <w:spacing w:after="40"/>
        <w:ind/>
        <w:rPr/>
      </w:pPr>
      <w:r>
        <w:rPr>
          <w:rFonts w:ascii="Calibri" w:hAnsi="Calibri"/>
        </w:rPr>
        <w:t xml:space="preserve">Create the required resource group and apply naming and tagging.</w:t>
      </w:r>
      <w:r/>
    </w:p>
    <w:p>
      <w:pPr>
        <w:pStyle w:val="733"/>
        <w:pBdr/>
        <w:spacing w:after="40"/>
        <w:ind/>
        <w:rPr/>
      </w:pPr>
      <w:r>
        <w:rPr>
          <w:rFonts w:ascii="Calibri" w:hAnsi="Calibri"/>
        </w:rPr>
        <w:t xml:space="preserve">Configure Azure RBAC for approved administrators.</w:t>
      </w:r>
      <w:r/>
    </w:p>
    <w:p>
      <w:pPr>
        <w:pStyle w:val="733"/>
        <w:pBdr/>
        <w:spacing w:after="40"/>
        <w:ind/>
        <w:rPr/>
      </w:pPr>
      <w:r>
        <w:rPr>
          <w:rFonts w:ascii="Calibri" w:hAnsi="Calibri"/>
        </w:rPr>
        <w:t xml:space="preserve">Configure cost centre, budgets and alerts.</w:t>
      </w:r>
      <w:r/>
    </w:p>
    <w:p>
      <w:pPr>
        <w:pStyle w:val="733"/>
        <w:pBdr/>
        <w:spacing w:after="40"/>
        <w:ind/>
        <w:rPr/>
      </w:pPr>
      <w:r>
        <w:rPr>
          <w:rFonts w:ascii="Calibri" w:hAnsi="Calibri"/>
        </w:rPr>
        <w:t xml:space="preserve">Grant the permissions required to create and manage Power Platform billing policies.</w:t>
      </w:r>
      <w:r/>
    </w:p>
    <w:p>
      <w:pPr>
        <w:pStyle w:val="733"/>
        <w:pBdr/>
        <w:spacing w:after="40"/>
        <w:ind/>
        <w:rPr/>
      </w:pPr>
      <w:r>
        <w:rPr>
          <w:rFonts w:ascii="Calibri" w:hAnsi="Calibri"/>
        </w:rPr>
        <w:t xml:space="preserve">Create the Power Platform billing policy and link approved environments.</w:t>
      </w:r>
      <w:r/>
    </w:p>
    <w:p>
      <w:pPr>
        <w:pStyle w:val="733"/>
        <w:pBdr/>
        <w:spacing w:after="40"/>
        <w:ind/>
        <w:rPr/>
      </w:pPr>
      <w:r>
        <w:rPr>
          <w:rFonts w:ascii="Calibri" w:hAnsi="Calibri"/>
        </w:rPr>
        <w:t xml:space="preserve">Confirm logging and cost reporting.</w:t>
      </w:r>
      <w:r/>
    </w:p>
    <w:p>
      <w:pPr>
        <w:pStyle w:val="733"/>
        <w:pBdr/>
        <w:spacing w:after="40"/>
        <w:ind/>
        <w:rPr/>
      </w:pPr>
      <w:r>
        <w:rPr>
          <w:rFonts w:ascii="Calibri" w:hAnsi="Calibri"/>
        </w:rPr>
        <w:t xml:space="preserve">Create app registrations, service principals or Key Vault only where required by the approved design.</w:t>
      </w:r>
      <w:r/>
    </w:p>
    <w:p>
      <w:pPr>
        <w:pStyle w:val="733"/>
        <w:pBdr/>
        <w:spacing w:after="40"/>
        <w:ind/>
        <w:rPr/>
      </w:pPr>
      <w:r>
        <w:rPr>
          <w:rFonts w:ascii="Calibri" w:hAnsi="Calibri"/>
        </w:rPr>
        <w:t xml:space="preserve">Confirm network, firewall and gateway requirements for the pilot.</w:t>
      </w:r>
      <w:r/>
    </w:p>
    <w:p>
      <w:pPr>
        <w:pStyle w:val="733"/>
        <w:pBdr/>
        <w:spacing w:after="40"/>
        <w:ind/>
        <w:rPr/>
      </w:pPr>
      <w:r>
        <w:rPr>
          <w:rFonts w:ascii="Calibri" w:hAnsi="Calibri"/>
        </w:rPr>
        <w:t xml:space="preserve">Document operational ownership and support contacts.</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Azure subscription and billing readiness</w:t>
      </w:r>
      <w:r/>
    </w:p>
    <w:p>
      <w:pPr>
        <w:pStyle w:val="733"/>
        <w:pBdr/>
        <w:spacing w:after="40"/>
        <w:ind/>
        <w:rPr/>
      </w:pPr>
      <w:r>
        <w:rPr>
          <w:rFonts w:ascii="Calibri" w:hAnsi="Calibri"/>
        </w:rPr>
        <w:t xml:space="preserve">Power Platform billing policy</w:t>
      </w:r>
      <w:r/>
    </w:p>
    <w:p>
      <w:pPr>
        <w:pStyle w:val="733"/>
        <w:pBdr/>
        <w:spacing w:after="40"/>
        <w:ind/>
        <w:rPr/>
      </w:pPr>
      <w:r>
        <w:rPr>
          <w:rFonts w:ascii="Calibri" w:hAnsi="Calibri"/>
        </w:rPr>
        <w:t xml:space="preserve">RBAC and cost controls</w:t>
      </w:r>
      <w:r/>
    </w:p>
    <w:p>
      <w:pPr>
        <w:pStyle w:val="733"/>
        <w:pBdr/>
        <w:spacing w:after="40"/>
        <w:ind/>
        <w:rPr/>
      </w:pPr>
      <w:r>
        <w:rPr>
          <w:rFonts w:ascii="Calibri" w:hAnsi="Calibri"/>
        </w:rPr>
        <w:t xml:space="preserve">Infrastructure support record</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Azure billing is tested.</w:t>
      </w:r>
      <w:r/>
    </w:p>
    <w:p>
      <w:pPr>
        <w:pStyle w:val="733"/>
        <w:pBdr/>
        <w:spacing w:after="40"/>
        <w:ind/>
        <w:rPr/>
      </w:pPr>
      <w:r>
        <w:rPr>
          <w:rFonts w:ascii="Calibri" w:hAnsi="Calibri"/>
        </w:rPr>
        <w:t xml:space="preserve">Required administrators have access.</w:t>
      </w:r>
      <w:r/>
    </w:p>
    <w:p>
      <w:pPr>
        <w:pStyle w:val="733"/>
        <w:pBdr/>
        <w:spacing w:after="40"/>
        <w:ind/>
        <w:rPr/>
      </w:pPr>
      <w:r>
        <w:rPr>
          <w:rFonts w:ascii="Calibri" w:hAnsi="Calibri"/>
        </w:rPr>
        <w:t xml:space="preserve">Budgets and alerts are active.</w:t>
      </w:r>
      <w:r/>
    </w:p>
    <w:p>
      <w:pPr>
        <w:pStyle w:val="733"/>
        <w:pBdr/>
        <w:spacing w:after="40"/>
        <w:ind/>
        <w:rPr/>
      </w:pPr>
      <w:r>
        <w:rPr>
          <w:rFonts w:ascii="Calibri" w:hAnsi="Calibri"/>
        </w:rPr>
        <w:t xml:space="preserve">No unresolved Infrastructure blocker prevents environment or pilot delivery.</w:t>
      </w:r>
      <w:r/>
    </w:p>
    <w:p>
      <w:pPr>
        <w:pStyle w:val="704"/>
        <w:keepNext w:val="true"/>
        <w:pBdr/>
        <w:spacing w:after="80" w:before="200"/>
        <w:ind/>
        <w:rPr/>
      </w:pPr>
      <w:r>
        <w:rPr>
          <w:rFonts w:ascii="Calibri" w:hAnsi="Calibri"/>
        </w:rPr>
        <w:t xml:space="preserve">6.6. Identity and Tenant Controls</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4-5</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Martin, Entra administrators and Joel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5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Entra administrator effort as required</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Governance approval and Entra administrator availability</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Create the identity structure and tenant controls that separate consumers, approved makers, administrators and production users.</w:t>
      </w:r>
      <w:r/>
    </w:p>
    <w:p>
      <w:pPr>
        <w:pBdr/>
        <w:spacing w:after="80"/>
        <w:ind/>
        <w:rPr/>
      </w:pPr>
      <w:r>
        <w:rPr>
          <w:b/>
        </w:rPr>
        <w:t xml:space="preserve">Why this matters: </w:t>
      </w:r>
      <w:r>
        <w:t xml:space="preserve">Security groups make access </w:t>
      </w:r>
      <w:r>
        <w:t xml:space="preserve">repeatable and auditable. They allow access to be removed when someone changes role without editing every app. Environment membership does not replace permissions on SharePoint, Dataverse, SQL or other underlying data sources; both layers must be designed.</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Create PP-Users-All, PP-Makers-Approved, PP-Admins and PP-Environment-Dev-Makers.</w:t>
      </w:r>
      <w:r/>
    </w:p>
    <w:p>
      <w:pPr>
        <w:pStyle w:val="733"/>
        <w:pBdr/>
        <w:spacing w:after="40"/>
        <w:ind/>
        <w:rPr/>
      </w:pPr>
      <w:r>
        <w:rPr>
          <w:rFonts w:ascii="Calibri" w:hAnsi="Calibri"/>
        </w:rPr>
        <w:t xml:space="preserve">Create the naming pattern for PP-App-&lt;AppName&gt;-Users and PP-App-&lt;AppName&gt;-Owners.</w:t>
      </w:r>
      <w:r/>
    </w:p>
    <w:p>
      <w:pPr>
        <w:pStyle w:val="733"/>
        <w:pBdr/>
        <w:spacing/>
        <w:ind/>
        <w:rPr/>
      </w:pPr>
      <w:r>
        <w:t xml:space="preserve">Define the approved production identity model for app and flow ownership: service principal, dedicated non-shared service identity or named team ownership.</w:t>
      </w:r>
      <w:r/>
    </w:p>
    <w:p>
      <w:pPr>
        <w:pStyle w:val="733"/>
        <w:pBdr/>
        <w:spacing/>
        <w:ind/>
        <w:rPr/>
      </w:pPr>
      <w:r>
        <w:t xml:space="preserve">Prohibit shared human credentials for administering or owning production flows.</w:t>
      </w:r>
      <w:r/>
    </w:p>
    <w:p>
      <w:pPr>
        <w:pStyle w:val="733"/>
        <w:pBdr/>
        <w:spacing/>
        <w:ind/>
        <w:rPr/>
      </w:pPr>
      <w:r>
        <w:t xml:space="preserve">Define ownership and renewal responsibilities for connections, app registrations, certificates, secrets and shared mailboxes.</w:t>
      </w:r>
      <w:r/>
    </w:p>
    <w:p>
      <w:pPr>
        <w:pStyle w:val="733"/>
        <w:pBdr/>
        <w:spacing w:after="40"/>
        <w:ind/>
        <w:rPr/>
      </w:pPr>
      <w:r>
        <w:rPr>
          <w:rFonts w:ascii="Calibri" w:hAnsi="Calibri"/>
        </w:rPr>
        <w:t xml:space="preserve">Assign Power Platform and environment administrator roles.</w:t>
      </w:r>
      <w:r/>
    </w:p>
    <w:p>
      <w:pPr>
        <w:pStyle w:val="733"/>
        <w:pBdr/>
        <w:spacing w:after="40"/>
        <w:ind/>
        <w:rPr/>
      </w:pPr>
      <w:r>
        <w:rPr>
          <w:rFonts w:ascii="Calibri" w:hAnsi="Calibri"/>
        </w:rPr>
        <w:t xml:space="preserve">Restrict Production, Sandbox, Trial and Developer environment creation as approved.</w:t>
      </w:r>
      <w:r/>
    </w:p>
    <w:p>
      <w:pPr>
        <w:pStyle w:val="733"/>
        <w:pBdr/>
        <w:spacing w:after="40"/>
        <w:ind/>
        <w:rPr/>
      </w:pPr>
      <w:r>
        <w:rPr>
          <w:rFonts w:ascii="Calibri" w:hAnsi="Calibri"/>
        </w:rPr>
        <w:t xml:space="preserve">Confirm self-service trial settings.</w:t>
      </w:r>
      <w:r/>
    </w:p>
    <w:p>
      <w:pPr>
        <w:pStyle w:val="733"/>
        <w:pBdr/>
        <w:spacing w:after="40"/>
        <w:ind/>
        <w:rPr/>
      </w:pPr>
      <w:r>
        <w:rPr>
          <w:rFonts w:ascii="Calibri" w:hAnsi="Calibri"/>
        </w:rPr>
        <w:t xml:space="preserve">Configure the maker approval process.</w:t>
      </w:r>
      <w:r/>
    </w:p>
    <w:p>
      <w:pPr>
        <w:pStyle w:val="733"/>
        <w:pBdr/>
        <w:spacing w:after="40"/>
        <w:ind/>
        <w:rPr/>
      </w:pPr>
      <w:r>
        <w:rPr>
          <w:rFonts w:ascii="Calibri" w:hAnsi="Calibri"/>
        </w:rPr>
        <w:t xml:space="preserve">Document the security-group-only application sharing rule.</w:t>
      </w:r>
      <w:r/>
    </w:p>
    <w:p>
      <w:pPr>
        <w:pStyle w:val="733"/>
        <w:pBdr/>
        <w:spacing w:after="40"/>
        <w:ind/>
        <w:rPr/>
      </w:pPr>
      <w:r>
        <w:rPr>
          <w:rFonts w:ascii="Calibri" w:hAnsi="Calibri"/>
        </w:rPr>
        <w:t xml:space="preserve">Test administrator and maker access.</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Entra security groups</w:t>
      </w:r>
      <w:r/>
    </w:p>
    <w:p>
      <w:pPr>
        <w:pStyle w:val="733"/>
        <w:pBdr/>
        <w:spacing w:after="40"/>
        <w:ind/>
        <w:rPr/>
      </w:pPr>
      <w:r>
        <w:rPr>
          <w:rFonts w:ascii="Calibri" w:hAnsi="Calibri"/>
        </w:rPr>
        <w:t xml:space="preserve">Administrator access</w:t>
      </w:r>
      <w:r/>
    </w:p>
    <w:p>
      <w:pPr>
        <w:pStyle w:val="733"/>
        <w:pBdr/>
        <w:spacing w:after="40"/>
        <w:ind/>
        <w:rPr/>
      </w:pPr>
      <w:r>
        <w:rPr>
          <w:rFonts w:ascii="Calibri" w:hAnsi="Calibri"/>
        </w:rPr>
        <w:t xml:space="preserve">Environment creation controls</w:t>
      </w:r>
      <w:r/>
    </w:p>
    <w:p>
      <w:pPr>
        <w:pStyle w:val="733"/>
        <w:pBdr/>
        <w:spacing w:after="40"/>
        <w:ind/>
        <w:rPr/>
      </w:pPr>
      <w:r>
        <w:rPr>
          <w:rFonts w:ascii="Calibri" w:hAnsi="Calibri"/>
        </w:rPr>
        <w:t xml:space="preserve">Maker access process</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Groups and roles are correct.</w:t>
      </w:r>
      <w:r/>
    </w:p>
    <w:p>
      <w:pPr>
        <w:pStyle w:val="733"/>
        <w:pBdr/>
        <w:spacing w:after="40"/>
        <w:ind/>
        <w:rPr/>
      </w:pPr>
      <w:r>
        <w:rPr>
          <w:rFonts w:ascii="Calibri" w:hAnsi="Calibri"/>
        </w:rPr>
        <w:t xml:space="preserve">Unauthorised users cannot create controlled environments.</w:t>
      </w:r>
      <w:r/>
    </w:p>
    <w:p>
      <w:pPr>
        <w:pStyle w:val="733"/>
        <w:pBdr/>
        <w:spacing w:after="40"/>
        <w:ind/>
        <w:rPr/>
      </w:pPr>
      <w:r>
        <w:rPr>
          <w:rFonts w:ascii="Calibri" w:hAnsi="Calibri"/>
        </w:rPr>
        <w:t xml:space="preserve">Approved makers can access the intended development environment.</w:t>
      </w:r>
      <w:r/>
    </w:p>
    <w:p>
      <w:pPr>
        <w:pStyle w:val="704"/>
        <w:keepNext w:val="true"/>
        <w:pBdr/>
        <w:spacing w:after="80" w:before="200"/>
        <w:ind/>
        <w:rPr/>
      </w:pPr>
      <w:r>
        <w:rPr>
          <w:rFonts w:ascii="Calibri" w:hAnsi="Calibri"/>
        </w:rPr>
        <w:t xml:space="preserve">6.7. Environment Foundation</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5-7</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Martin and Application team administrators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7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No material external effort beyond Cam's billing readiness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Azure billing, licensing, groups and architecture approval</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Create and secure the initial environment structure for personal productivity, development, testing and production.</w:t>
      </w:r>
      <w:r/>
    </w:p>
    <w:p>
      <w:pPr>
        <w:pBdr/>
        <w:spacing w:after="80"/>
        <w:ind/>
        <w:rPr/>
      </w:pPr>
      <w:r>
        <w:rPr>
          <w:b/>
        </w:rPr>
        <w:t xml:space="preserve">Why separate Development, Test/UAT and Production: </w:t>
      </w:r>
      <w:r>
        <w:t xml:space="preserve">Development is where makers can change the solution safely. Test/UAT proves both the application and the deployment pack</w:t>
      </w:r>
      <w:r>
        <w:t xml:space="preserve">age before release. Production is kept stable and restricted to approved users and administrators. This prevents unfinished changes reaching users and proves that the solution can be moved and recovered, not merely that it works in the maker's environment.</w:t>
      </w:r>
      <w:r/>
    </w:p>
    <w:p>
      <w:pPr>
        <w:pBdr/>
        <w:spacing w:after="80"/>
        <w:ind/>
        <w:rPr/>
      </w:pPr>
      <w:r>
        <w:rPr>
          <w:b/>
        </w:rPr>
        <w:t xml:space="preserve">Why department-specific environments may be needed: </w:t>
      </w:r>
      <w:r>
        <w:t xml:space="preserve">An environment is a security and governance boundary. A dedicated People and Culture environment can:</w:t>
      </w:r>
      <w:r/>
    </w:p>
    <w:p>
      <w:pPr>
        <w:pStyle w:val="733"/>
        <w:pBdr/>
        <w:spacing w:after="40"/>
        <w:ind/>
        <w:rPr/>
      </w:pPr>
      <w:r>
        <w:rPr>
          <w:rFonts w:ascii="Calibri" w:hAnsi="Calibri"/>
        </w:rPr>
        <w:t xml:space="preserve">Restrict membership to authorised staff</w:t>
      </w:r>
      <w:r/>
    </w:p>
    <w:p>
      <w:pPr>
        <w:pStyle w:val="733"/>
        <w:pBdr/>
        <w:spacing w:after="40"/>
        <w:ind/>
        <w:rPr/>
      </w:pPr>
      <w:r>
        <w:rPr>
          <w:rFonts w:ascii="Calibri" w:hAnsi="Calibri"/>
        </w:rPr>
        <w:t xml:space="preserve">Use stricter connector and guest-access rules</w:t>
      </w:r>
      <w:r/>
    </w:p>
    <w:p>
      <w:pPr>
        <w:pStyle w:val="733"/>
        <w:pBdr/>
        <w:spacing w:after="40"/>
        <w:ind/>
        <w:rPr/>
      </w:pPr>
      <w:r>
        <w:rPr>
          <w:rFonts w:ascii="Calibri" w:hAnsi="Calibri"/>
        </w:rPr>
        <w:t xml:space="preserve">Separate administration</w:t>
      </w:r>
      <w:r/>
    </w:p>
    <w:p>
      <w:pPr>
        <w:pStyle w:val="733"/>
        <w:pBdr/>
        <w:spacing w:after="40"/>
        <w:ind/>
        <w:rPr/>
      </w:pPr>
      <w:r>
        <w:rPr>
          <w:rFonts w:ascii="Calibri" w:hAnsi="Calibri"/>
        </w:rPr>
        <w:t xml:space="preserve">Provide clearer auditing and cost ownership</w:t>
      </w:r>
      <w:r/>
    </w:p>
    <w:p>
      <w:pPr>
        <w:pStyle w:val="733"/>
        <w:pBdr/>
        <w:spacing w:after="40"/>
        <w:ind/>
        <w:rPr/>
      </w:pPr>
      <w:r>
        <w:rPr>
          <w:rFonts w:ascii="Calibri" w:hAnsi="Calibri"/>
        </w:rPr>
        <w:t xml:space="preserve">Reduce the chance that confidential employee data is exposed to unrelated makers</w:t>
      </w:r>
      <w:r/>
    </w:p>
    <w:p>
      <w:pPr>
        <w:pBdr/>
        <w:spacing w:after="80"/>
        <w:ind/>
        <w:rPr/>
      </w:pPr>
      <w:r>
        <w:rPr>
          <w:b/>
        </w:rPr>
        <w:t xml:space="preserve">When not to create another environment: </w:t>
      </w:r>
      <w:r>
        <w:t xml:space="preserve">Separate environments add capacity, licensing, administration, deployment and support overhead. Create one only when justified by:</w:t>
      </w:r>
      <w:r/>
    </w:p>
    <w:p>
      <w:pPr>
        <w:pStyle w:val="733"/>
        <w:pBdr/>
        <w:spacing w:after="40"/>
        <w:ind/>
        <w:rPr/>
      </w:pPr>
      <w:r>
        <w:rPr>
          <w:rFonts w:ascii="Calibri" w:hAnsi="Calibri"/>
        </w:rPr>
        <w:t xml:space="preserve">Data sensitivity</w:t>
      </w:r>
      <w:r/>
    </w:p>
    <w:p>
      <w:pPr>
        <w:pStyle w:val="733"/>
        <w:pBdr/>
        <w:spacing w:after="40"/>
        <w:ind/>
        <w:rPr/>
      </w:pPr>
      <w:r>
        <w:rPr>
          <w:rFonts w:ascii="Calibri" w:hAnsi="Calibri"/>
        </w:rPr>
        <w:t xml:space="preserve">Different owners</w:t>
      </w:r>
      <w:r/>
    </w:p>
    <w:p>
      <w:pPr>
        <w:pStyle w:val="733"/>
        <w:pBdr/>
        <w:spacing w:after="40"/>
        <w:ind/>
        <w:rPr/>
      </w:pPr>
      <w:r>
        <w:rPr>
          <w:rFonts w:ascii="Calibri" w:hAnsi="Calibri"/>
        </w:rPr>
        <w:t xml:space="preserve">Different DLP or compliance requirements</w:t>
      </w:r>
      <w:r/>
    </w:p>
    <w:p>
      <w:pPr>
        <w:pStyle w:val="733"/>
        <w:pBdr/>
        <w:spacing w:after="40"/>
        <w:ind/>
        <w:rPr/>
      </w:pPr>
      <w:r>
        <w:rPr>
          <w:rFonts w:ascii="Calibri" w:hAnsi="Calibri"/>
        </w:rPr>
        <w:t xml:space="preserve">A large user population</w:t>
      </w:r>
      <w:r/>
    </w:p>
    <w:p>
      <w:pPr>
        <w:pStyle w:val="733"/>
        <w:pBdr/>
        <w:spacing w:after="40"/>
        <w:ind/>
        <w:rPr/>
      </w:pPr>
      <w:r>
        <w:rPr>
          <w:rFonts w:ascii="Calibri" w:hAnsi="Calibri"/>
        </w:rPr>
        <w:t xml:space="preserve">Material business risk or a separate lifecycle</w:t>
      </w:r>
      <w:r/>
    </w:p>
    <w:p>
      <w:pPr>
        <w:pBdr/>
        <w:spacing w:after="80"/>
        <w:ind/>
        <w:rPr/>
      </w:pPr>
      <w:r>
        <w:t xml:space="preserve">Not simply because a new team asks for an app.</w:t>
      </w:r>
      <w:r/>
    </w:p>
    <w:p>
      <w:pPr>
        <w:pBdr/>
        <w:spacing w:after="80"/>
        <w:ind/>
        <w:rPr/>
      </w:pPr>
      <w:r>
        <w:rPr>
          <w:b/>
        </w:rPr>
        <w:t xml:space="preserve">People and Culture example: </w:t>
      </w:r>
      <w:r>
        <w:t xml:space="preserve">Where the requirements justify it, the platform can use PP-PC-Dev, PP-PC-UAT and PP-PC-Prod wit</w:t>
      </w:r>
      <w:r>
        <w:t xml:space="preserve">h separate maker, tester, user and administrator groups. Development and UAT should use test or sanitised data rather than live employee records. If the solution is small, shared Dev/UAT with a dedicated restricted PP-PC-Prod environment may be sufficient.</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Rename or clearly label the Default environment as Personal Productivity - Restricted.</w:t>
      </w:r>
      <w:r/>
    </w:p>
    <w:p>
      <w:pPr>
        <w:pStyle w:val="733"/>
        <w:pBdr/>
        <w:spacing w:after="40"/>
        <w:ind/>
        <w:rPr/>
      </w:pPr>
      <w:r>
        <w:rPr>
          <w:rFonts w:ascii="Calibri" w:hAnsi="Calibri"/>
        </w:rPr>
        <w:t xml:space="preserve">Create PP-Dev, PP-Test/UAT and PP-Prod.</w:t>
      </w:r>
      <w:r/>
    </w:p>
    <w:p>
      <w:pPr>
        <w:pStyle w:val="733"/>
        <w:pBdr/>
        <w:spacing/>
        <w:ind/>
        <w:rPr/>
      </w:pPr>
      <w:r>
        <w:t xml:space="preserve">Assess whether People and Culture requires a dedicated environment set based on data sensitivity, access, DLP, administration and support ownership.</w:t>
      </w:r>
      <w:r/>
    </w:p>
    <w:p>
      <w:pPr>
        <w:pStyle w:val="733"/>
        <w:pBdr/>
        <w:spacing/>
        <w:ind/>
        <w:rPr/>
      </w:pPr>
      <w:r>
        <w:t xml:space="preserve">If approved, define People and Culture environment and security-group naming, for example PP-PC-Dev, PP-PC-UAT and PP-PC-Prod.</w:t>
      </w:r>
      <w:r/>
    </w:p>
    <w:p>
      <w:pPr>
        <w:pStyle w:val="733"/>
        <w:pBdr/>
        <w:spacing/>
        <w:ind/>
        <w:rPr/>
      </w:pPr>
      <w:r>
        <w:t xml:space="preserve">Confirm that non-production People and Culture environments use test or sanitised employee data.</w:t>
      </w:r>
      <w:r/>
    </w:p>
    <w:p>
      <w:pPr>
        <w:pStyle w:val="733"/>
        <w:pBdr/>
        <w:spacing w:after="40"/>
        <w:ind/>
        <w:rPr/>
      </w:pPr>
      <w:r>
        <w:rPr>
          <w:rFonts w:ascii="Calibri" w:hAnsi="Calibri"/>
        </w:rPr>
        <w:t xml:space="preserve">Select the correct region and add Dataverse where required.</w:t>
      </w:r>
      <w:r/>
    </w:p>
    <w:p>
      <w:pPr>
        <w:pStyle w:val="733"/>
        <w:pBdr/>
        <w:spacing w:after="40"/>
        <w:ind/>
        <w:rPr/>
      </w:pPr>
      <w:r>
        <w:rPr>
          <w:rFonts w:ascii="Calibri" w:hAnsi="Calibri"/>
        </w:rPr>
        <w:t xml:space="preserve">Apply environment security groups and administrator roles.</w:t>
      </w:r>
      <w:r/>
    </w:p>
    <w:p>
      <w:pPr>
        <w:pStyle w:val="733"/>
        <w:pBdr/>
        <w:spacing w:after="40"/>
        <w:ind/>
        <w:rPr/>
      </w:pPr>
      <w:r>
        <w:rPr>
          <w:rFonts w:ascii="Calibri" w:hAnsi="Calibri"/>
        </w:rPr>
        <w:t xml:space="preserve">Assign approved maker access to Development.</w:t>
      </w:r>
      <w:r/>
    </w:p>
    <w:p>
      <w:pPr>
        <w:pStyle w:val="733"/>
        <w:pBdr/>
        <w:spacing w:after="40"/>
        <w:ind/>
        <w:rPr/>
      </w:pPr>
      <w:r>
        <w:rPr>
          <w:rFonts w:ascii="Calibri" w:hAnsi="Calibri"/>
        </w:rPr>
        <w:t xml:space="preserve">Enable Managed Environments where approved and licensed.</w:t>
      </w:r>
      <w:r/>
    </w:p>
    <w:p>
      <w:pPr>
        <w:pStyle w:val="733"/>
        <w:pBdr/>
        <w:spacing w:after="40"/>
        <w:ind/>
        <w:rPr/>
      </w:pPr>
      <w:r>
        <w:rPr>
          <w:rFonts w:ascii="Calibri" w:hAnsi="Calibri"/>
        </w:rPr>
        <w:t xml:space="preserve">Configure environment routing where approved.</w:t>
      </w:r>
      <w:r/>
    </w:p>
    <w:p>
      <w:pPr>
        <w:pStyle w:val="733"/>
        <w:pBdr/>
        <w:spacing w:after="40"/>
        <w:ind/>
        <w:rPr/>
      </w:pPr>
      <w:r>
        <w:rPr>
          <w:rFonts w:ascii="Calibri" w:hAnsi="Calibri"/>
        </w:rPr>
        <w:t xml:space="preserve">Link relevant environments to Azure billing.</w:t>
      </w:r>
      <w:r/>
    </w:p>
    <w:p>
      <w:pPr>
        <w:pStyle w:val="733"/>
        <w:pBdr/>
        <w:spacing w:after="40"/>
        <w:ind/>
        <w:rPr/>
      </w:pPr>
      <w:r>
        <w:rPr>
          <w:rFonts w:ascii="Calibri" w:hAnsi="Calibri"/>
        </w:rPr>
        <w:t xml:space="preserve">Configure environment descriptions and settings.</w:t>
      </w:r>
      <w:r/>
    </w:p>
    <w:p>
      <w:pPr>
        <w:pStyle w:val="733"/>
        <w:pBdr/>
        <w:spacing w:after="40"/>
        <w:ind/>
        <w:rPr/>
      </w:pPr>
      <w:r>
        <w:rPr>
          <w:rFonts w:ascii="Calibri" w:hAnsi="Calibri"/>
        </w:rPr>
        <w:t xml:space="preserve">Create and update the environment register.</w:t>
      </w:r>
      <w:r/>
    </w:p>
    <w:p>
      <w:pPr>
        <w:pStyle w:val="733"/>
        <w:pBdr/>
        <w:spacing w:after="40"/>
        <w:ind/>
        <w:rPr/>
      </w:pPr>
      <w:r>
        <w:rPr>
          <w:rFonts w:ascii="Calibri" w:hAnsi="Calibri"/>
        </w:rPr>
        <w:t xml:space="preserve">Test access across all roles.</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Controlled environment structure</w:t>
      </w:r>
      <w:r/>
    </w:p>
    <w:p>
      <w:pPr>
        <w:pStyle w:val="733"/>
        <w:pBdr/>
        <w:spacing w:after="40"/>
        <w:ind/>
        <w:rPr/>
      </w:pPr>
      <w:r>
        <w:rPr>
          <w:rFonts w:ascii="Calibri" w:hAnsi="Calibri"/>
        </w:rPr>
        <w:t xml:space="preserve">Environment register</w:t>
      </w:r>
      <w:r/>
    </w:p>
    <w:p>
      <w:pPr>
        <w:pStyle w:val="733"/>
        <w:pBdr/>
        <w:spacing w:after="40"/>
        <w:ind/>
        <w:rPr/>
      </w:pPr>
      <w:r>
        <w:rPr>
          <w:rFonts w:ascii="Calibri" w:hAnsi="Calibri"/>
        </w:rPr>
        <w:t xml:space="preserve">Access test evidence</w:t>
      </w:r>
      <w:r/>
    </w:p>
    <w:p>
      <w:pPr>
        <w:pStyle w:val="733"/>
        <w:pBdr/>
        <w:spacing w:after="40"/>
        <w:ind/>
        <w:rPr/>
      </w:pPr>
      <w:r>
        <w:rPr>
          <w:rFonts w:ascii="Calibri" w:hAnsi="Calibri"/>
        </w:rPr>
        <w:t xml:space="preserve">Azure billing linkage</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All environments exist and are secured.</w:t>
      </w:r>
      <w:r/>
    </w:p>
    <w:p>
      <w:pPr>
        <w:pStyle w:val="733"/>
        <w:pBdr/>
        <w:spacing w:after="40"/>
        <w:ind/>
        <w:rPr/>
      </w:pPr>
      <w:r>
        <w:rPr>
          <w:rFonts w:ascii="Calibri" w:hAnsi="Calibri"/>
        </w:rPr>
        <w:t xml:space="preserve">Access is tested.</w:t>
      </w:r>
      <w:r/>
    </w:p>
    <w:p>
      <w:pPr>
        <w:pStyle w:val="733"/>
        <w:pBdr/>
        <w:spacing w:after="40"/>
        <w:ind/>
        <w:rPr/>
      </w:pPr>
      <w:r>
        <w:rPr>
          <w:rFonts w:ascii="Calibri" w:hAnsi="Calibri"/>
        </w:rPr>
        <w:t xml:space="preserve">The Application team has appropriate administrator access.</w:t>
      </w:r>
      <w:r/>
    </w:p>
    <w:p>
      <w:pPr>
        <w:pStyle w:val="733"/>
        <w:pBdr/>
        <w:spacing w:after="40"/>
        <w:ind/>
        <w:rPr/>
      </w:pPr>
      <w:r>
        <w:rPr>
          <w:rFonts w:ascii="Calibri" w:hAnsi="Calibri"/>
        </w:rPr>
        <w:t xml:space="preserve">Production is not open to general makers.</w:t>
      </w:r>
      <w:r/>
    </w:p>
    <w:p>
      <w:pPr>
        <w:pStyle w:val="704"/>
        <w:keepNext w:val="true"/>
        <w:pBdr/>
        <w:spacing w:after="80" w:before="200"/>
        <w:ind/>
        <w:rPr/>
      </w:pPr>
      <w:r>
        <w:rPr>
          <w:rFonts w:ascii="Calibri" w:hAnsi="Calibri"/>
        </w:rPr>
        <w:t xml:space="preserve">6.8. DLP and Connector Controls</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6-9</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Martin, CSOC and Application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9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CSOC review effort as required</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Environment foundation and CSOC availability</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Protect NGA's data by applying tested connector and data policies appropriate to each environment.</w:t>
      </w:r>
      <w:r/>
    </w:p>
    <w:p>
      <w:pPr>
        <w:pBdr/>
        <w:spacing w:after="80"/>
        <w:ind/>
        <w:rPr/>
      </w:pPr>
      <w:r>
        <w:rPr>
          <w:b/>
        </w:rPr>
        <w:t xml:space="preserve">Why this matters: </w:t>
      </w:r>
      <w:r>
        <w:t xml:space="preserve">DLP is not only a list of blocked connectors. It controls whether business data can be combined with consumer or ext</w:t>
      </w:r>
      <w:r>
        <w:t xml:space="preserve">ernal services. The design must also consider newly released connectors, custom connectors, HTTP actions, cross-tenant access and approved exceptions. Policies should be tested before enforcement because a policy can stop a flow or connection from working.</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Create the approved connector classification.</w:t>
      </w:r>
      <w:r/>
    </w:p>
    <w:p>
      <w:pPr>
        <w:pStyle w:val="733"/>
        <w:pBdr/>
        <w:spacing w:after="40"/>
        <w:ind/>
        <w:rPr/>
      </w:pPr>
      <w:r>
        <w:rPr>
          <w:rFonts w:ascii="Calibri" w:hAnsi="Calibri"/>
        </w:rPr>
        <w:t xml:space="preserve">Define Microsoft 365, Dataverse, Azure, premium, custom and HTTP connector handling.</w:t>
      </w:r>
      <w:r/>
    </w:p>
    <w:p>
      <w:pPr>
        <w:pStyle w:val="733"/>
        <w:pBdr/>
        <w:spacing w:after="40"/>
        <w:ind/>
        <w:rPr/>
      </w:pPr>
      <w:r>
        <w:rPr>
          <w:rFonts w:ascii="Calibri" w:hAnsi="Calibri"/>
        </w:rPr>
        <w:t xml:space="preserve">Define the Default environment restrictions.</w:t>
      </w:r>
      <w:r/>
    </w:p>
    <w:p>
      <w:pPr>
        <w:pStyle w:val="733"/>
        <w:pBdr/>
        <w:spacing w:after="40"/>
        <w:ind/>
        <w:rPr/>
      </w:pPr>
      <w:r>
        <w:rPr>
          <w:rFonts w:ascii="Calibri" w:hAnsi="Calibri"/>
        </w:rPr>
        <w:t xml:space="preserve">Define Development and Test/UAT policies.</w:t>
      </w:r>
      <w:r/>
    </w:p>
    <w:p>
      <w:pPr>
        <w:pStyle w:val="733"/>
        <w:pBdr/>
        <w:spacing w:after="40"/>
        <w:ind/>
        <w:rPr/>
      </w:pPr>
      <w:r>
        <w:rPr>
          <w:rFonts w:ascii="Calibri" w:hAnsi="Calibri"/>
        </w:rPr>
        <w:t xml:space="preserve">Define Production policies.</w:t>
      </w:r>
      <w:r/>
    </w:p>
    <w:p>
      <w:pPr>
        <w:pStyle w:val="733"/>
        <w:pBdr/>
        <w:spacing w:after="40"/>
        <w:ind/>
        <w:rPr/>
      </w:pPr>
      <w:r>
        <w:rPr>
          <w:rFonts w:ascii="Calibri" w:hAnsi="Calibri"/>
        </w:rPr>
        <w:t xml:space="preserve">Define the treatment of newly released connectors.</w:t>
      </w:r>
      <w:r/>
    </w:p>
    <w:p>
      <w:pPr>
        <w:pStyle w:val="733"/>
        <w:pBdr/>
        <w:spacing w:after="40"/>
        <w:ind/>
        <w:rPr/>
      </w:pPr>
      <w:r>
        <w:rPr>
          <w:rFonts w:ascii="Calibri" w:hAnsi="Calibri"/>
        </w:rPr>
        <w:t xml:space="preserve">Create the connector exception process.</w:t>
      </w:r>
      <w:r/>
    </w:p>
    <w:p>
      <w:pPr>
        <w:pStyle w:val="733"/>
        <w:pBdr/>
        <w:spacing w:after="40"/>
        <w:ind/>
        <w:rPr/>
      </w:pPr>
      <w:r>
        <w:rPr>
          <w:rFonts w:ascii="Calibri" w:hAnsi="Calibri"/>
        </w:rPr>
        <w:t xml:space="preserve">Test allowed and blocked connector combinations.</w:t>
      </w:r>
      <w:r/>
    </w:p>
    <w:p>
      <w:pPr>
        <w:pStyle w:val="733"/>
        <w:pBdr/>
        <w:spacing w:after="40"/>
        <w:ind/>
        <w:rPr/>
      </w:pPr>
      <w:r>
        <w:rPr>
          <w:rFonts w:ascii="Calibri" w:hAnsi="Calibri"/>
        </w:rPr>
        <w:t xml:space="preserve">Obtain CSOC and Application team approval.</w:t>
      </w:r>
      <w:r/>
    </w:p>
    <w:p>
      <w:pPr>
        <w:pStyle w:val="733"/>
        <w:pBdr/>
        <w:spacing w:after="40"/>
        <w:ind/>
        <w:rPr/>
      </w:pPr>
      <w:r>
        <w:rPr>
          <w:rFonts w:ascii="Calibri" w:hAnsi="Calibri"/>
        </w:rPr>
        <w:t xml:space="preserve">Apply policies in stages and allow for enforcement delay.</w:t>
      </w:r>
      <w:r/>
    </w:p>
    <w:p>
      <w:pPr>
        <w:pStyle w:val="733"/>
        <w:pBdr/>
        <w:spacing w:after="40"/>
        <w:ind/>
        <w:rPr/>
      </w:pPr>
      <w:r>
        <w:rPr>
          <w:rFonts w:ascii="Calibri" w:hAnsi="Calibri"/>
        </w:rPr>
        <w:t xml:space="preserve">Record evidence and monitor for unexpected behaviour.</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Approved DLP policies</w:t>
      </w:r>
      <w:r/>
    </w:p>
    <w:p>
      <w:pPr>
        <w:pStyle w:val="733"/>
        <w:pBdr/>
        <w:spacing w:after="40"/>
        <w:ind/>
        <w:rPr/>
      </w:pPr>
      <w:r>
        <w:rPr>
          <w:rFonts w:ascii="Calibri" w:hAnsi="Calibri"/>
        </w:rPr>
        <w:t xml:space="preserve">Connector register</w:t>
      </w:r>
      <w:r/>
    </w:p>
    <w:p>
      <w:pPr>
        <w:pStyle w:val="733"/>
        <w:pBdr/>
        <w:spacing w:after="40"/>
        <w:ind/>
        <w:rPr/>
      </w:pPr>
      <w:r>
        <w:rPr>
          <w:rFonts w:ascii="Calibri" w:hAnsi="Calibri"/>
        </w:rPr>
        <w:t xml:space="preserve">Exception process</w:t>
      </w:r>
      <w:r/>
    </w:p>
    <w:p>
      <w:pPr>
        <w:pStyle w:val="733"/>
        <w:pBdr/>
        <w:spacing w:after="40"/>
        <w:ind/>
        <w:rPr/>
      </w:pPr>
      <w:r>
        <w:rPr>
          <w:rFonts w:ascii="Calibri" w:hAnsi="Calibri"/>
        </w:rPr>
        <w:t xml:space="preserve">Policy test evidence</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Approved connections work.</w:t>
      </w:r>
      <w:r/>
    </w:p>
    <w:p>
      <w:pPr>
        <w:pStyle w:val="733"/>
        <w:pBdr/>
        <w:spacing w:after="40"/>
        <w:ind/>
        <w:rPr/>
      </w:pPr>
      <w:r>
        <w:rPr>
          <w:rFonts w:ascii="Calibri" w:hAnsi="Calibri"/>
        </w:rPr>
        <w:t xml:space="preserve">Blocked scenarios fail as expected.</w:t>
      </w:r>
      <w:r/>
    </w:p>
    <w:p>
      <w:pPr>
        <w:pStyle w:val="733"/>
        <w:pBdr/>
        <w:spacing w:after="40"/>
        <w:ind/>
        <w:rPr/>
      </w:pPr>
      <w:r>
        <w:rPr>
          <w:rFonts w:ascii="Calibri" w:hAnsi="Calibri"/>
        </w:rPr>
        <w:t xml:space="preserve">Policies are documented and accepted by CSOC and the Application team.</w:t>
      </w:r>
      <w:r/>
    </w:p>
    <w:p>
      <w:pPr>
        <w:pStyle w:val="704"/>
        <w:keepNext w:val="true"/>
        <w:pBdr/>
        <w:spacing w:after="80" w:before="200"/>
        <w:ind/>
        <w:rPr/>
      </w:pPr>
      <w:r>
        <w:rPr>
          <w:rFonts w:ascii="Calibri" w:hAnsi="Calibri"/>
        </w:rPr>
        <w:t xml:space="preserve">6.9. Application Lifecycle and Deployment</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7-10</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Martin and Application team technical representatives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9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Potential app registration or service principal support from Cam's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Dataverse, Managed Environment decision, licensing and Infrastructure support</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Create a repeatable and supportable process for moving solutions from Development through Test/UAT into Production.</w:t>
      </w:r>
      <w:r/>
    </w:p>
    <w:p>
      <w:pPr>
        <w:pBdr/>
        <w:spacing w:after="80"/>
        <w:ind/>
        <w:rPr/>
      </w:pPr>
      <w:r>
        <w:rPr>
          <w:b/>
        </w:rPr>
        <w:t xml:space="preserve">Why this matters: </w:t>
      </w:r>
      <w:r>
        <w:t xml:space="preserve">Solutions, connection references and enviro</w:t>
      </w:r>
      <w:r>
        <w:t xml:space="preserve">nment variables prevent production URLs, mailbox addresses, connections and keys from being hard-coded into the application. Production should receive managed, versioned deployments rather than direct edits so changes can be tested, traced and rolled back.</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Define solution-based development standards.</w:t>
      </w:r>
      <w:r/>
    </w:p>
    <w:p>
      <w:pPr>
        <w:pStyle w:val="733"/>
        <w:pBdr/>
        <w:spacing w:after="40"/>
        <w:ind/>
        <w:rPr/>
      </w:pPr>
      <w:r>
        <w:rPr>
          <w:rFonts w:ascii="Calibri" w:hAnsi="Calibri"/>
        </w:rPr>
        <w:t xml:space="preserve">Define managed and unmanaged solution use.</w:t>
      </w:r>
      <w:r/>
    </w:p>
    <w:p>
      <w:pPr>
        <w:pStyle w:val="733"/>
        <w:pBdr/>
        <w:spacing w:after="40"/>
        <w:ind/>
        <w:rPr/>
      </w:pPr>
      <w:r>
        <w:rPr>
          <w:rFonts w:ascii="Calibri" w:hAnsi="Calibri"/>
        </w:rPr>
        <w:t xml:space="preserve">Define connection references and environment variables.</w:t>
      </w:r>
      <w:r/>
    </w:p>
    <w:p>
      <w:pPr>
        <w:pStyle w:val="733"/>
        <w:pBdr/>
        <w:spacing w:after="40"/>
        <w:ind/>
        <w:rPr/>
      </w:pPr>
      <w:r>
        <w:rPr>
          <w:rFonts w:ascii="Calibri" w:hAnsi="Calibri"/>
        </w:rPr>
        <w:t xml:space="preserve">Define version numbering and release notes.</w:t>
      </w:r>
      <w:r/>
    </w:p>
    <w:p>
      <w:pPr>
        <w:pStyle w:val="733"/>
        <w:pBdr/>
        <w:spacing w:after="40"/>
        <w:ind/>
        <w:rPr/>
      </w:pPr>
      <w:r>
        <w:rPr>
          <w:rFonts w:ascii="Calibri" w:hAnsi="Calibri"/>
        </w:rPr>
        <w:t xml:space="preserve">Define production approval and deployment authority.</w:t>
      </w:r>
      <w:r/>
    </w:p>
    <w:p>
      <w:pPr>
        <w:pStyle w:val="733"/>
        <w:pBdr/>
        <w:spacing w:after="40"/>
        <w:ind/>
        <w:rPr/>
      </w:pPr>
      <w:r>
        <w:rPr>
          <w:rFonts w:ascii="Calibri" w:hAnsi="Calibri"/>
        </w:rPr>
        <w:t xml:space="preserve">Configure Power Platform pipelines where approved.</w:t>
      </w:r>
      <w:r/>
    </w:p>
    <w:p>
      <w:pPr>
        <w:pStyle w:val="733"/>
        <w:pBdr/>
        <w:spacing w:after="40"/>
        <w:ind/>
        <w:rPr/>
      </w:pPr>
      <w:r>
        <w:rPr>
          <w:rFonts w:ascii="Calibri" w:hAnsi="Calibri"/>
        </w:rPr>
        <w:t xml:space="preserve">Configure deployment stages and permissions.</w:t>
      </w:r>
      <w:r/>
    </w:p>
    <w:p>
      <w:pPr>
        <w:pStyle w:val="733"/>
        <w:pBdr/>
        <w:spacing w:after="40"/>
        <w:ind/>
        <w:rPr/>
      </w:pPr>
      <w:r>
        <w:rPr>
          <w:rFonts w:ascii="Calibri" w:hAnsi="Calibri"/>
        </w:rPr>
        <w:t xml:space="preserve">Create any approved deployment identity.</w:t>
      </w:r>
      <w:r/>
    </w:p>
    <w:p>
      <w:pPr>
        <w:pStyle w:val="733"/>
        <w:pBdr/>
        <w:spacing w:after="40"/>
        <w:ind/>
        <w:rPr/>
      </w:pPr>
      <w:r>
        <w:rPr>
          <w:rFonts w:ascii="Calibri" w:hAnsi="Calibri"/>
        </w:rPr>
        <w:t xml:space="preserve">Test Development to Test/UAT deployment.</w:t>
      </w:r>
      <w:r/>
    </w:p>
    <w:p>
      <w:pPr>
        <w:pStyle w:val="733"/>
        <w:pBdr/>
        <w:spacing w:after="40"/>
        <w:ind/>
        <w:rPr/>
      </w:pPr>
      <w:r>
        <w:rPr>
          <w:rFonts w:ascii="Calibri" w:hAnsi="Calibri"/>
        </w:rPr>
        <w:t xml:space="preserve">Test Test/UAT to Production deployment.</w:t>
      </w:r>
      <w:r/>
    </w:p>
    <w:p>
      <w:pPr>
        <w:pStyle w:val="733"/>
        <w:pBdr/>
        <w:spacing w:after="40"/>
        <w:ind/>
        <w:rPr/>
      </w:pPr>
      <w:r>
        <w:rPr>
          <w:rFonts w:ascii="Calibri" w:hAnsi="Calibri"/>
        </w:rPr>
        <w:t xml:space="preserve">Define rollback and emergency release processes.</w:t>
      </w:r>
      <w:r/>
    </w:p>
    <w:p>
      <w:pPr>
        <w:pStyle w:val="733"/>
        <w:pBdr/>
        <w:spacing w:after="40"/>
        <w:ind/>
        <w:rPr/>
      </w:pPr>
      <w:r>
        <w:rPr>
          <w:rFonts w:ascii="Calibri" w:hAnsi="Calibri"/>
        </w:rPr>
        <w:t xml:space="preserve">Create the deployment runbook.</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Working deployment process</w:t>
      </w:r>
      <w:r/>
    </w:p>
    <w:p>
      <w:pPr>
        <w:pStyle w:val="733"/>
        <w:pBdr/>
        <w:spacing w:after="40"/>
        <w:ind/>
        <w:rPr/>
      </w:pPr>
      <w:r>
        <w:rPr>
          <w:rFonts w:ascii="Calibri" w:hAnsi="Calibri"/>
        </w:rPr>
        <w:t xml:space="preserve">Pipeline or approved manual release method</w:t>
      </w:r>
      <w:r/>
    </w:p>
    <w:p>
      <w:pPr>
        <w:pStyle w:val="733"/>
        <w:pBdr/>
        <w:spacing w:after="40"/>
        <w:ind/>
        <w:rPr/>
      </w:pPr>
      <w:r>
        <w:rPr>
          <w:rFonts w:ascii="Calibri" w:hAnsi="Calibri"/>
        </w:rPr>
        <w:t xml:space="preserve">Release and rollback procedures</w:t>
      </w:r>
      <w:r/>
    </w:p>
    <w:p>
      <w:pPr>
        <w:pStyle w:val="733"/>
        <w:pBdr/>
        <w:spacing w:after="40"/>
        <w:ind/>
        <w:rPr/>
      </w:pPr>
      <w:r>
        <w:rPr>
          <w:rFonts w:ascii="Calibri" w:hAnsi="Calibri"/>
        </w:rPr>
        <w:t xml:space="preserve">Deployment runbook</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A test solution can move through all environments.</w:t>
      </w:r>
      <w:r/>
    </w:p>
    <w:p>
      <w:pPr>
        <w:pStyle w:val="733"/>
        <w:pBdr/>
        <w:spacing w:after="40"/>
        <w:ind/>
        <w:rPr/>
      </w:pPr>
      <w:r>
        <w:rPr>
          <w:rFonts w:ascii="Calibri" w:hAnsi="Calibri"/>
        </w:rPr>
        <w:t xml:space="preserve">Permissions and connections are correct.</w:t>
      </w:r>
      <w:r/>
    </w:p>
    <w:p>
      <w:pPr>
        <w:pStyle w:val="733"/>
        <w:pBdr/>
        <w:spacing w:after="40"/>
        <w:ind/>
        <w:rPr/>
      </w:pPr>
      <w:r>
        <w:rPr>
          <w:rFonts w:ascii="Calibri" w:hAnsi="Calibri"/>
        </w:rPr>
        <w:t xml:space="preserve">The Application team understands the deployment method.</w:t>
      </w:r>
      <w:r/>
    </w:p>
    <w:p>
      <w:pPr>
        <w:pStyle w:val="704"/>
        <w:keepNext w:val="true"/>
        <w:pBdr/>
        <w:spacing w:after="80" w:before="200"/>
        <w:ind/>
        <w:rPr/>
      </w:pPr>
      <w:r>
        <w:rPr>
          <w:rFonts w:ascii="Calibri" w:hAnsi="Calibri"/>
        </w:rPr>
        <w:t xml:space="preserve">6.10. Operational Model and Documentation</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7-11</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Martin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Chris and Application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8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Application team participation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Governance decisions and Application team participation</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Create the registers, request processes, support procedures and operating guides needed for permanent platform ownership.</w:t>
      </w:r>
      <w:r/>
    </w:p>
    <w:p>
      <w:pPr>
        <w:pBdr/>
        <w:spacing w:after="80"/>
        <w:ind/>
        <w:rPr/>
      </w:pPr>
      <w:r>
        <w:rPr>
          <w:b/>
        </w:rPr>
        <w:t xml:space="preserve">Why this matters: </w:t>
      </w:r>
      <w:r>
        <w:t xml:space="preserve">The platform will fa</w:t>
      </w:r>
      <w:r>
        <w:t xml:space="preserve">il operationally if the only knowledge sits with the original makers. Registers, named owners, monitoring, license review, certificate and secret expiry, orphaned-resource processes and retirement rules turn a collection of apps into a supportable service.</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Create environment, application, flow, maker, license and capacity registers.</w:t>
      </w:r>
      <w:r/>
    </w:p>
    <w:p>
      <w:pPr>
        <w:pStyle w:val="733"/>
        <w:pBdr/>
        <w:spacing w:after="40"/>
        <w:ind/>
        <w:rPr/>
      </w:pPr>
      <w:r>
        <w:rPr>
          <w:rFonts w:ascii="Calibri" w:hAnsi="Calibri"/>
        </w:rPr>
        <w:t xml:space="preserve">Create production application and owner checklists.</w:t>
      </w:r>
      <w:r/>
    </w:p>
    <w:p>
      <w:pPr>
        <w:pStyle w:val="733"/>
        <w:pBdr/>
        <w:spacing w:after="40"/>
        <w:ind/>
        <w:rPr/>
      </w:pPr>
      <w:r>
        <w:rPr>
          <w:rFonts w:ascii="Calibri" w:hAnsi="Calibri"/>
        </w:rPr>
        <w:t xml:space="preserve">Create UAT sign-off and release records.</w:t>
      </w:r>
      <w:r/>
    </w:p>
    <w:p>
      <w:pPr>
        <w:pStyle w:val="733"/>
        <w:pBdr/>
        <w:spacing w:after="40"/>
        <w:ind/>
        <w:rPr/>
      </w:pPr>
      <w:r>
        <w:rPr>
          <w:rFonts w:ascii="Calibri" w:hAnsi="Calibri"/>
        </w:rPr>
        <w:t xml:space="preserve">Create environment, connector exception and premium license request processes, using SNOW as the ticketing system.</w:t>
      </w:r>
      <w:r/>
    </w:p>
    <w:p>
      <w:pPr>
        <w:pStyle w:val="733"/>
        <w:pBdr/>
        <w:spacing w:after="40"/>
        <w:ind/>
        <w:rPr/>
      </w:pPr>
      <w:r>
        <w:rPr>
          <w:rFonts w:ascii="Calibri" w:hAnsi="Calibri"/>
        </w:rPr>
        <w:t xml:space="preserve">Create support handover and incident escalation procedures.</w:t>
      </w:r>
      <w:r/>
    </w:p>
    <w:p>
      <w:pPr>
        <w:pStyle w:val="733"/>
        <w:pBdr/>
        <w:spacing w:after="40"/>
        <w:ind/>
        <w:rPr/>
      </w:pPr>
      <w:r>
        <w:rPr>
          <w:rFonts w:ascii="Calibri" w:hAnsi="Calibri"/>
        </w:rPr>
        <w:t xml:space="preserve">Create ownership review, orphaned resource and inactive resource processes.</w:t>
      </w:r>
      <w:r/>
    </w:p>
    <w:p>
      <w:pPr>
        <w:pStyle w:val="733"/>
        <w:pBdr/>
        <w:spacing w:after="40"/>
        <w:ind/>
        <w:rPr/>
      </w:pPr>
      <w:r>
        <w:rPr>
          <w:rFonts w:ascii="Calibri" w:hAnsi="Calibri"/>
        </w:rPr>
        <w:t xml:space="preserve">Create application retirement and change processes.</w:t>
      </w:r>
      <w:r/>
    </w:p>
    <w:p>
      <w:pPr>
        <w:pStyle w:val="733"/>
        <w:pBdr/>
        <w:spacing w:after="40"/>
        <w:ind/>
        <w:rPr/>
      </w:pPr>
      <w:r>
        <w:rPr>
          <w:rFonts w:ascii="Calibri" w:hAnsi="Calibri"/>
        </w:rPr>
        <w:t xml:space="preserve">Create administrator and Application team operating guides.</w:t>
      </w:r>
      <w:r/>
    </w:p>
    <w:p>
      <w:pPr>
        <w:pStyle w:val="733"/>
        <w:pBdr/>
        <w:spacing w:after="40"/>
        <w:ind/>
        <w:rPr/>
      </w:pPr>
      <w:r>
        <w:rPr>
          <w:rFonts w:ascii="Calibri" w:hAnsi="Calibri"/>
        </w:rPr>
        <w:t xml:space="preserve">Define monitoring, review frequency and reporting.</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Operational governance pack</w:t>
      </w:r>
      <w:r/>
    </w:p>
    <w:p>
      <w:pPr>
        <w:pStyle w:val="733"/>
        <w:pBdr/>
        <w:spacing w:after="40"/>
        <w:ind/>
        <w:rPr/>
      </w:pPr>
      <w:r>
        <w:rPr>
          <w:rFonts w:ascii="Calibri" w:hAnsi="Calibri"/>
        </w:rPr>
        <w:t xml:space="preserve">Registers and request templates</w:t>
      </w:r>
      <w:r/>
    </w:p>
    <w:p>
      <w:pPr>
        <w:pStyle w:val="733"/>
        <w:pBdr/>
        <w:spacing w:after="40"/>
        <w:ind/>
        <w:rPr/>
      </w:pPr>
      <w:r>
        <w:rPr>
          <w:rFonts w:ascii="Calibri" w:hAnsi="Calibri"/>
        </w:rPr>
        <w:t xml:space="preserve">Support and escalation model</w:t>
      </w:r>
      <w:r/>
    </w:p>
    <w:p>
      <w:pPr>
        <w:pStyle w:val="733"/>
        <w:pBdr/>
        <w:spacing w:after="40"/>
        <w:ind/>
        <w:rPr/>
      </w:pPr>
      <w:r>
        <w:rPr>
          <w:rFonts w:ascii="Calibri" w:hAnsi="Calibri"/>
        </w:rPr>
        <w:t xml:space="preserve">Administrator guide</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The Application team has reviewed the material.</w:t>
      </w:r>
      <w:r/>
    </w:p>
    <w:p>
      <w:pPr>
        <w:pStyle w:val="733"/>
        <w:pBdr/>
        <w:spacing w:after="40"/>
        <w:ind/>
        <w:rPr/>
      </w:pPr>
      <w:r>
        <w:rPr>
          <w:rFonts w:ascii="Calibri" w:hAnsi="Calibri"/>
        </w:rPr>
        <w:t xml:space="preserve">All required operational processes have an owner.</w:t>
      </w:r>
      <w:r/>
    </w:p>
    <w:p>
      <w:pPr>
        <w:pStyle w:val="733"/>
        <w:pBdr/>
        <w:spacing w:after="40"/>
        <w:ind/>
        <w:rPr/>
      </w:pPr>
      <w:r>
        <w:rPr>
          <w:rFonts w:ascii="Calibri" w:hAnsi="Calibri"/>
        </w:rPr>
        <w:t xml:space="preserve">The documents are usable during the pilot.</w:t>
      </w:r>
      <w:r/>
    </w:p>
    <w:p>
      <w:pPr>
        <w:pStyle w:val="704"/>
        <w:keepNext w:val="true"/>
        <w:pBdr/>
        <w:spacing w:after="80" w:before="200"/>
        <w:ind/>
        <w:rPr/>
      </w:pPr>
      <w:r>
        <w:rPr>
          <w:rFonts w:ascii="Calibri" w:hAnsi="Calibri"/>
        </w:rPr>
        <w:t xml:space="preserve">6.11. Pilot Application Design and Build</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10-13</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Martin, business owner and Application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14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Business owner and data-owner participation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Platform foundation, approved pilot scope and business owner availability</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Prove the platform, governance and deployment model using one real but controlled business application.</w:t>
      </w:r>
      <w:r/>
    </w:p>
    <w:p>
      <w:pPr>
        <w:pBdr/>
        <w:spacing w:after="80"/>
        <w:ind/>
        <w:rPr/>
      </w:pPr>
      <w:r>
        <w:rPr>
          <w:b/>
        </w:rPr>
        <w:t xml:space="preserve">Why this matters: </w:t>
      </w:r>
      <w:r>
        <w:t xml:space="preserve">The pilot should exercise the real </w:t>
      </w:r>
      <w:r>
        <w:t xml:space="preserve">governance model without becoming a major business transformation project. It needs enough complexity to test security groups, connections, deployment and support, but a fixed scope so the platform foundation is not delayed by application feature requests.</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Select and approve the pilot.</w:t>
      </w:r>
      <w:r/>
    </w:p>
    <w:p>
      <w:pPr>
        <w:pStyle w:val="733"/>
        <w:pBdr/>
        <w:spacing w:after="40"/>
        <w:ind/>
        <w:rPr/>
      </w:pPr>
      <w:r>
        <w:rPr>
          <w:rFonts w:ascii="Calibri" w:hAnsi="Calibri"/>
        </w:rPr>
        <w:t xml:space="preserve">Confirm business owner, technical owner, users and support path.</w:t>
      </w:r>
      <w:r/>
    </w:p>
    <w:p>
      <w:pPr>
        <w:pStyle w:val="733"/>
        <w:pBdr/>
        <w:spacing w:after="40"/>
        <w:ind/>
        <w:rPr/>
      </w:pPr>
      <w:r>
        <w:rPr>
          <w:rFonts w:ascii="Calibri" w:hAnsi="Calibri"/>
        </w:rPr>
        <w:t xml:space="preserve">Confirm data sources, connectors, licensing and Azure cost implications.</w:t>
      </w:r>
      <w:r/>
    </w:p>
    <w:p>
      <w:pPr>
        <w:pStyle w:val="733"/>
        <w:pBdr/>
        <w:spacing w:after="40"/>
        <w:ind/>
        <w:rPr/>
      </w:pPr>
      <w:r>
        <w:rPr>
          <w:rFonts w:ascii="Calibri" w:hAnsi="Calibri"/>
        </w:rPr>
        <w:t xml:space="preserve">Create user and owner security groups.</w:t>
      </w:r>
      <w:r/>
    </w:p>
    <w:p>
      <w:pPr>
        <w:pStyle w:val="733"/>
        <w:pBdr/>
        <w:spacing w:after="40"/>
        <w:ind/>
        <w:rPr/>
      </w:pPr>
      <w:r>
        <w:rPr>
          <w:rFonts w:ascii="Calibri" w:hAnsi="Calibri"/>
        </w:rPr>
        <w:t xml:space="preserve">Design and build the pilot in PP-Dev.</w:t>
      </w:r>
      <w:r/>
    </w:p>
    <w:p>
      <w:pPr>
        <w:pStyle w:val="733"/>
        <w:pBdr/>
        <w:spacing w:after="40"/>
        <w:ind/>
        <w:rPr/>
      </w:pPr>
      <w:r>
        <w:rPr>
          <w:rFonts w:ascii="Calibri" w:hAnsi="Calibri"/>
        </w:rPr>
        <w:t xml:space="preserve">Use solutions, connection references and environment variables.</w:t>
      </w:r>
      <w:r/>
    </w:p>
    <w:p>
      <w:pPr>
        <w:pStyle w:val="733"/>
        <w:pBdr/>
        <w:spacing w:after="40"/>
        <w:ind/>
        <w:rPr/>
      </w:pPr>
      <w:r>
        <w:rPr>
          <w:rFonts w:ascii="Calibri" w:hAnsi="Calibri"/>
        </w:rPr>
        <w:t xml:space="preserve">Complete developer and functional testing.</w:t>
      </w:r>
      <w:r/>
    </w:p>
    <w:p>
      <w:pPr>
        <w:pStyle w:val="733"/>
        <w:pBdr/>
        <w:spacing w:after="40"/>
        <w:ind/>
        <w:rPr/>
      </w:pPr>
      <w:r>
        <w:rPr>
          <w:rFonts w:ascii="Calibri" w:hAnsi="Calibri"/>
        </w:rPr>
        <w:t xml:space="preserve">Deploy to PP-Test/UAT.</w:t>
      </w:r>
      <w:r/>
    </w:p>
    <w:p>
      <w:pPr>
        <w:pStyle w:val="733"/>
        <w:pBdr/>
        <w:spacing w:after="40"/>
        <w:ind/>
        <w:rPr/>
      </w:pPr>
      <w:r>
        <w:rPr>
          <w:rFonts w:ascii="Calibri" w:hAnsi="Calibri"/>
        </w:rPr>
        <w:t xml:space="preserve">Resolve defects and prepare UAT.</w:t>
      </w:r>
      <w:r/>
    </w:p>
    <w:p>
      <w:pPr>
        <w:pStyle w:val="733"/>
        <w:pBdr/>
        <w:spacing w:after="40"/>
        <w:ind/>
        <w:rPr/>
      </w:pPr>
      <w:r>
        <w:rPr>
          <w:rFonts w:ascii="Calibri" w:hAnsi="Calibri"/>
        </w:rPr>
        <w:t xml:space="preserve">Prepare technical, support and user documentation.</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Pilot application in Test/UAT</w:t>
      </w:r>
      <w:r/>
    </w:p>
    <w:p>
      <w:pPr>
        <w:pStyle w:val="733"/>
        <w:pBdr/>
        <w:spacing w:after="40"/>
        <w:ind/>
        <w:rPr/>
      </w:pPr>
      <w:r>
        <w:rPr>
          <w:rFonts w:ascii="Calibri" w:hAnsi="Calibri"/>
        </w:rPr>
        <w:t xml:space="preserve">Technical and support documentation</w:t>
      </w:r>
      <w:r/>
    </w:p>
    <w:p>
      <w:pPr>
        <w:pStyle w:val="733"/>
        <w:pBdr/>
        <w:spacing w:after="40"/>
        <w:ind/>
        <w:rPr/>
      </w:pPr>
      <w:r>
        <w:rPr>
          <w:rFonts w:ascii="Calibri" w:hAnsi="Calibri"/>
        </w:rPr>
        <w:t xml:space="preserve">UAT-ready release</w:t>
      </w:r>
      <w:r/>
    </w:p>
    <w:p>
      <w:pPr>
        <w:pStyle w:val="733"/>
        <w:pBdr/>
        <w:spacing w:after="40"/>
        <w:ind/>
        <w:rPr/>
      </w:pPr>
      <w:r>
        <w:rPr>
          <w:rFonts w:ascii="Calibri" w:hAnsi="Calibri"/>
        </w:rPr>
        <w:t xml:space="preserve">Updated application register</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The pilot meets functional requirements.</w:t>
      </w:r>
      <w:r/>
    </w:p>
    <w:p>
      <w:pPr>
        <w:pStyle w:val="733"/>
        <w:pBdr/>
        <w:spacing w:after="40"/>
        <w:ind/>
        <w:rPr/>
      </w:pPr>
      <w:r>
        <w:rPr>
          <w:rFonts w:ascii="Calibri" w:hAnsi="Calibri"/>
        </w:rPr>
        <w:t xml:space="preserve">No critical defect remains.</w:t>
      </w:r>
      <w:r/>
    </w:p>
    <w:p>
      <w:pPr>
        <w:pStyle w:val="733"/>
        <w:pBdr/>
        <w:spacing w:after="40"/>
        <w:ind/>
        <w:rPr/>
      </w:pPr>
      <w:r>
        <w:rPr>
          <w:rFonts w:ascii="Calibri" w:hAnsi="Calibri"/>
        </w:rPr>
        <w:t xml:space="preserve">CSOC, connector and licensing requirements are satisfied.</w:t>
      </w:r>
      <w:r/>
    </w:p>
    <w:p>
      <w:pPr>
        <w:pStyle w:val="733"/>
        <w:pBdr/>
        <w:spacing w:after="40"/>
        <w:ind/>
        <w:rPr/>
      </w:pPr>
      <w:r>
        <w:rPr>
          <w:rFonts w:ascii="Calibri" w:hAnsi="Calibri"/>
        </w:rPr>
        <w:t xml:space="preserve">The application is ready for business UAT.</w:t>
      </w:r>
      <w:r/>
    </w:p>
    <w:p>
      <w:pPr>
        <w:pStyle w:val="704"/>
        <w:keepNext w:val="true"/>
        <w:pBdr/>
        <w:spacing w:after="80" w:before="200"/>
        <w:ind/>
        <w:rPr/>
      </w:pPr>
      <w:r>
        <w:rPr>
          <w:rFonts w:ascii="Calibri" w:hAnsi="Calibri"/>
        </w:rPr>
        <w:t xml:space="preserve">6.12. UAT, CSOC Review and Production Release</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13-15</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Martin and Chris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 business owner, CSOC and Application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8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Business testing and CSOC review effort</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Pilot completion, tester availability and approval turnaround</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Validate the pilot with business users and release it safely into Production.</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Create and agree UAT cases.</w:t>
      </w:r>
      <w:r/>
    </w:p>
    <w:p>
      <w:pPr>
        <w:pStyle w:val="733"/>
        <w:pBdr/>
        <w:spacing w:after="40"/>
        <w:ind/>
        <w:rPr/>
      </w:pPr>
      <w:r>
        <w:rPr>
          <w:rFonts w:ascii="Calibri" w:hAnsi="Calibri"/>
        </w:rPr>
        <w:t xml:space="preserve">Coordinate business testers.</w:t>
      </w:r>
      <w:r/>
    </w:p>
    <w:p>
      <w:pPr>
        <w:pStyle w:val="733"/>
        <w:pBdr/>
        <w:spacing w:after="40"/>
        <w:ind/>
        <w:rPr/>
      </w:pPr>
      <w:r>
        <w:rPr>
          <w:rFonts w:ascii="Calibri" w:hAnsi="Calibri"/>
        </w:rPr>
        <w:t xml:space="preserve">Complete functional, access and negative-access testing.</w:t>
      </w:r>
      <w:r/>
    </w:p>
    <w:p>
      <w:pPr>
        <w:pStyle w:val="733"/>
        <w:pBdr/>
        <w:spacing w:after="40"/>
        <w:ind/>
        <w:rPr/>
      </w:pPr>
      <w:r>
        <w:rPr>
          <w:rFonts w:ascii="Calibri" w:hAnsi="Calibri"/>
        </w:rPr>
        <w:t xml:space="preserve">Complete connector, data handling and CSOC review.</w:t>
      </w:r>
      <w:r/>
    </w:p>
    <w:p>
      <w:pPr>
        <w:pStyle w:val="733"/>
        <w:pBdr/>
        <w:spacing w:after="40"/>
        <w:ind/>
        <w:rPr/>
      </w:pPr>
      <w:r>
        <w:rPr>
          <w:rFonts w:ascii="Calibri" w:hAnsi="Calibri"/>
        </w:rPr>
        <w:t xml:space="preserve">Validate licences and Azure billing.</w:t>
      </w:r>
      <w:r/>
    </w:p>
    <w:p>
      <w:pPr>
        <w:pStyle w:val="733"/>
        <w:pBdr/>
        <w:spacing w:after="40"/>
        <w:ind/>
        <w:rPr/>
      </w:pPr>
      <w:r>
        <w:rPr>
          <w:rFonts w:ascii="Calibri" w:hAnsi="Calibri"/>
        </w:rPr>
        <w:t xml:space="preserve">Resolve UAT defects.</w:t>
      </w:r>
      <w:r/>
    </w:p>
    <w:p>
      <w:pPr>
        <w:pStyle w:val="733"/>
        <w:pBdr/>
        <w:spacing w:after="40"/>
        <w:ind/>
        <w:rPr/>
      </w:pPr>
      <w:r>
        <w:rPr>
          <w:rFonts w:ascii="Calibri" w:hAnsi="Calibri"/>
        </w:rPr>
        <w:t xml:space="preserve">Obtain business, technical and production approvals.</w:t>
      </w:r>
      <w:r/>
    </w:p>
    <w:p>
      <w:pPr>
        <w:pStyle w:val="733"/>
        <w:pBdr/>
        <w:spacing w:after="40"/>
        <w:ind/>
        <w:rPr/>
      </w:pPr>
      <w:r>
        <w:rPr>
          <w:rFonts w:ascii="Calibri" w:hAnsi="Calibri"/>
        </w:rPr>
        <w:t xml:space="preserve">Deploy to PP-Prod.</w:t>
      </w:r>
      <w:r/>
    </w:p>
    <w:p>
      <w:pPr>
        <w:pStyle w:val="733"/>
        <w:pBdr/>
        <w:spacing w:after="40"/>
        <w:ind/>
        <w:rPr/>
      </w:pPr>
      <w:r>
        <w:rPr>
          <w:rFonts w:ascii="Calibri" w:hAnsi="Calibri"/>
        </w:rPr>
        <w:t xml:space="preserve">Validate production connections, permissions and monitoring.</w:t>
      </w:r>
      <w:r/>
    </w:p>
    <w:p>
      <w:pPr>
        <w:pStyle w:val="733"/>
        <w:pBdr/>
        <w:spacing w:after="40"/>
        <w:ind/>
        <w:rPr/>
      </w:pPr>
      <w:r>
        <w:rPr>
          <w:rFonts w:ascii="Calibri" w:hAnsi="Calibri"/>
        </w:rPr>
        <w:t xml:space="preserve">Record the release and support handover.</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Signed UAT</w:t>
      </w:r>
      <w:r/>
    </w:p>
    <w:p>
      <w:pPr>
        <w:pStyle w:val="733"/>
        <w:pBdr/>
        <w:spacing w:after="40"/>
        <w:ind/>
        <w:rPr/>
      </w:pPr>
      <w:r>
        <w:rPr>
          <w:rFonts w:ascii="Calibri" w:hAnsi="Calibri"/>
        </w:rPr>
        <w:t xml:space="preserve">CSOC approval</w:t>
      </w:r>
      <w:r/>
    </w:p>
    <w:p>
      <w:pPr>
        <w:pStyle w:val="733"/>
        <w:pBdr/>
        <w:spacing w:after="40"/>
        <w:ind/>
        <w:rPr/>
      </w:pPr>
      <w:r>
        <w:rPr>
          <w:rFonts w:ascii="Calibri" w:hAnsi="Calibri"/>
        </w:rPr>
        <w:t xml:space="preserve">Production pilot</w:t>
      </w:r>
      <w:r/>
    </w:p>
    <w:p>
      <w:pPr>
        <w:pStyle w:val="733"/>
        <w:pBdr/>
        <w:spacing w:after="40"/>
        <w:ind/>
        <w:rPr/>
      </w:pPr>
      <w:r>
        <w:rPr>
          <w:rFonts w:ascii="Calibri" w:hAnsi="Calibri"/>
        </w:rPr>
        <w:t xml:space="preserve">Release record and support acceptance</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The pilot is live and stable.</w:t>
      </w:r>
      <w:r/>
    </w:p>
    <w:p>
      <w:pPr>
        <w:pStyle w:val="733"/>
        <w:pBdr/>
        <w:spacing w:after="40"/>
        <w:ind/>
        <w:rPr/>
      </w:pPr>
      <w:r>
        <w:rPr>
          <w:rFonts w:ascii="Calibri" w:hAnsi="Calibri"/>
        </w:rPr>
        <w:t xml:space="preserve">Authorised users can access it.</w:t>
      </w:r>
      <w:r/>
    </w:p>
    <w:p>
      <w:pPr>
        <w:pStyle w:val="733"/>
        <w:pBdr/>
        <w:spacing w:after="40"/>
        <w:ind/>
        <w:rPr/>
      </w:pPr>
      <w:r>
        <w:rPr>
          <w:rFonts w:ascii="Calibri" w:hAnsi="Calibri"/>
        </w:rPr>
        <w:t xml:space="preserve">Unauthorised users cannot access it.</w:t>
      </w:r>
      <w:r/>
    </w:p>
    <w:p>
      <w:pPr>
        <w:pStyle w:val="733"/>
        <w:pBdr/>
        <w:spacing w:after="40"/>
        <w:ind/>
        <w:rPr/>
      </w:pPr>
      <w:r>
        <w:rPr>
          <w:rFonts w:ascii="Calibri" w:hAnsi="Calibri"/>
        </w:rPr>
        <w:t xml:space="preserve">The Application team accepts support responsibility.</w:t>
      </w:r>
      <w:r/>
    </w:p>
    <w:p>
      <w:pPr>
        <w:pStyle w:val="704"/>
        <w:keepNext w:val="true"/>
        <w:pBdr/>
        <w:spacing w:after="80" w:before="200"/>
        <w:ind/>
        <w:rPr/>
      </w:pPr>
      <w:r>
        <w:rPr>
          <w:rFonts w:ascii="Calibri" w:hAnsi="Calibri"/>
        </w:rPr>
        <w:t xml:space="preserve">6.13. Hypercare and Closure</w:t>
      </w:r>
      <w:r/>
    </w:p>
    <w:tbl>
      <w:tblPr>
        <w:tblStyle w:val="763"/>
        <w:jc w:val="center"/>
        <w:tblW w:w="0" w:type="auto"/>
        <w:tblBorders/>
        <w:tblLayout w:type="autofit"/>
        <w:tblLook w:val="04A0" w:firstRow="1" w:lastRow="0" w:firstColumn="1" w:lastColumn="0" w:noHBand="0" w:noVBand="1"/>
      </w:tblPr>
      <w:tblGrid>
        <w:gridCol w:w="4706"/>
        <w:gridCol w:w="4706"/>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Item</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b/>
                <w:sz w:val="20"/>
              </w:rPr>
              <w:t xml:space="preserve">Detail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Timing</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Weeks 15-17</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Lead</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Joel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Support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Chris, Martin and Application team</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Internal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11 person-days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External effort</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Application team operational participation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Key dependencies</w:t>
            </w:r>
            <w:r/>
          </w:p>
        </w:tc>
        <w:tc>
          <w:tcPr>
            <w:tcBorders/>
            <w:tcMar>
              <w:left w:w="80" w:type="dxa"/>
              <w:top w:w="60" w:type="dxa"/>
              <w:right w:w="80" w:type="dxa"/>
              <w:bottom w:w="60" w:type="dxa"/>
            </w:tcMar>
            <w:tcW w:w="7087" w:type="dxa"/>
            <w:vAlign w:val="center"/>
          </w:tcPr>
          <w:p>
            <w:pPr>
              <w:pBdr/>
              <w:spacing w:after="0" w:line="240" w:lineRule="auto"/>
              <w:ind/>
              <w:rPr/>
            </w:pPr>
            <w:r>
              <w:rPr>
                <w:rFonts w:ascii="Calibri" w:hAnsi="Calibri"/>
                <w:sz w:val="20"/>
              </w:rPr>
            </w:r>
            <w:r>
              <w:rPr>
                <w:rFonts w:ascii="Calibri" w:hAnsi="Calibri"/>
                <w:b w:val="0"/>
                <w:sz w:val="20"/>
              </w:rPr>
              <w:t xml:space="preserve">Production release and completed operational documentation</w:t>
            </w:r>
            <w:r/>
          </w:p>
        </w:tc>
      </w:tr>
    </w:tbl>
    <w:p>
      <w:pPr>
        <w:pBdr/>
        <w:spacing w:after="80"/>
        <w:ind/>
        <w:rPr/>
      </w:pPr>
      <w:r/>
      <w:r/>
    </w:p>
    <w:p>
      <w:pPr>
        <w:pBdr/>
        <w:spacing w:after="80"/>
        <w:ind/>
        <w:rPr/>
      </w:pPr>
      <w:r>
        <w:rPr>
          <w:rFonts w:ascii="Calibri" w:hAnsi="Calibri"/>
          <w:b/>
        </w:rPr>
        <w:t xml:space="preserve">Objective: </w:t>
      </w:r>
      <w:r>
        <w:rPr>
          <w:rFonts w:ascii="Calibri" w:hAnsi="Calibri"/>
        </w:rPr>
        <w:t xml:space="preserve">Confirm operational readiness, stabilise the initial platform, resolve early issues and formally close the implementation project.</w:t>
      </w:r>
      <w:r/>
    </w:p>
    <w:p>
      <w:pPr>
        <w:pBdr/>
        <w:spacing w:after="80"/>
        <w:ind/>
        <w:rPr/>
      </w:pPr>
      <w:r>
        <w:rPr>
          <w:b/>
        </w:rPr>
        <w:t xml:space="preserve">Why this matters: </w:t>
      </w:r>
      <w:r>
        <w:t xml:space="preserve">Chris and Martin</w:t>
      </w:r>
      <w:r>
        <w:rPr>
          <w:lang w:val="en-AU"/>
        </w:rPr>
        <w:t xml:space="preserve"> and I</w:t>
      </w:r>
      <w:r>
        <w:t xml:space="preserve"> are already part of the Application team, so </w:t>
      </w:r>
      <w:r>
        <w:t xml:space="preserve">there is no separate team to hand the platform over to. What matters instead is confirming that administrator access, documentation and operational processes genuinely work, and that early issues are resolved while the delivery team is still fully engaged.</w:t>
      </w:r>
      <w:r/>
    </w:p>
    <w:p>
      <w:pPr>
        <w:pBdr/>
        <w:spacing w:after="80" w:line="259" w:lineRule="auto"/>
        <w:ind/>
        <w:rPr/>
      </w:pPr>
      <w:r>
        <w:rPr>
          <w:rFonts w:ascii="Calibri" w:hAnsi="Calibri"/>
          <w:b/>
        </w:rPr>
        <w:t xml:space="preserve">Tasks</w:t>
      </w:r>
      <w:r/>
    </w:p>
    <w:p>
      <w:pPr>
        <w:pStyle w:val="733"/>
        <w:pBdr/>
        <w:spacing w:after="40"/>
        <w:ind/>
        <w:rPr/>
      </w:pPr>
      <w:r>
        <w:rPr>
          <w:rFonts w:ascii="Calibri" w:hAnsi="Calibri"/>
        </w:rPr>
        <w:t xml:space="preserve">Confirm administrator and operational access.</w:t>
      </w:r>
      <w:r/>
    </w:p>
    <w:p>
      <w:pPr>
        <w:pStyle w:val="733"/>
        <w:pBdr/>
        <w:spacing w:after="40"/>
        <w:ind/>
        <w:rPr/>
      </w:pPr>
      <w:r>
        <w:rPr>
          <w:rFonts w:ascii="Calibri" w:hAnsi="Calibri"/>
        </w:rPr>
        <w:t xml:space="preserve">Confirm DLP, connectors, licensing and deployment processes are documented and understood.</w:t>
      </w:r>
      <w:r/>
    </w:p>
    <w:p>
      <w:pPr>
        <w:pStyle w:val="733"/>
        <w:pBdr/>
        <w:spacing w:after="40"/>
        <w:ind/>
        <w:rPr/>
      </w:pPr>
      <w:r>
        <w:rPr>
          <w:rFonts w:ascii="Calibri" w:hAnsi="Calibri"/>
        </w:rPr>
        <w:t xml:space="preserve">Monitor the pilot, connections, flows, DLP events and Azure cost.</w:t>
      </w:r>
      <w:r/>
    </w:p>
    <w:p>
      <w:pPr>
        <w:pStyle w:val="733"/>
        <w:pBdr/>
        <w:spacing w:after="40"/>
        <w:ind/>
        <w:rPr/>
      </w:pPr>
      <w:r>
        <w:rPr>
          <w:rFonts w:ascii="Calibri" w:hAnsi="Calibri"/>
        </w:rPr>
        <w:t xml:space="preserve">Resolve early operational and user issues.</w:t>
      </w:r>
      <w:r/>
    </w:p>
    <w:p>
      <w:pPr>
        <w:pStyle w:val="733"/>
        <w:pBdr/>
        <w:spacing w:after="40"/>
        <w:ind/>
        <w:rPr/>
      </w:pPr>
      <w:r>
        <w:rPr>
          <w:rFonts w:ascii="Calibri" w:hAnsi="Calibri"/>
        </w:rPr>
        <w:t xml:space="preserve">Confirm support ownership and escalation paths.</w:t>
      </w:r>
      <w:r/>
    </w:p>
    <w:p>
      <w:pPr>
        <w:pStyle w:val="733"/>
        <w:pBdr/>
        <w:spacing w:after="40"/>
        <w:ind/>
        <w:rPr/>
      </w:pPr>
      <w:r>
        <w:rPr>
          <w:rFonts w:ascii="Calibri" w:hAnsi="Calibri"/>
        </w:rPr>
        <w:t xml:space="preserve">Update documentation and registers.</w:t>
      </w:r>
      <w:r/>
    </w:p>
    <w:p>
      <w:pPr>
        <w:pStyle w:val="733"/>
        <w:pBdr/>
        <w:spacing w:after="40"/>
        <w:ind/>
        <w:rPr/>
      </w:pPr>
      <w:r>
        <w:rPr>
          <w:rFonts w:ascii="Calibri" w:hAnsi="Calibri"/>
        </w:rPr>
        <w:t xml:space="preserve">Record lessons learned and remaining risks.</w:t>
      </w:r>
      <w:r/>
    </w:p>
    <w:p>
      <w:pPr>
        <w:pStyle w:val="733"/>
        <w:pBdr/>
        <w:spacing w:after="40"/>
        <w:ind/>
        <w:rPr/>
      </w:pPr>
      <w:r>
        <w:rPr>
          <w:rFonts w:ascii="Calibri" w:hAnsi="Calibri"/>
        </w:rPr>
        <w:t xml:space="preserve">Create the Phase 2 backlog.</w:t>
      </w:r>
      <w:r/>
    </w:p>
    <w:p>
      <w:pPr>
        <w:pStyle w:val="733"/>
        <w:pBdr/>
        <w:spacing w:after="40"/>
        <w:ind/>
        <w:rPr/>
      </w:pPr>
      <w:r>
        <w:rPr>
          <w:rFonts w:ascii="Calibri" w:hAnsi="Calibri"/>
        </w:rPr>
        <w:t xml:space="preserve">Complete the closure report and sponsor acceptance.</w:t>
      </w:r>
      <w:r/>
    </w:p>
    <w:p>
      <w:pPr>
        <w:pBdr/>
        <w:spacing w:after="80" w:line="259" w:lineRule="auto"/>
        <w:ind/>
        <w:rPr/>
      </w:pPr>
      <w:r>
        <w:rPr>
          <w:rFonts w:ascii="Calibri" w:hAnsi="Calibri"/>
          <w:b/>
        </w:rPr>
        <w:t xml:space="preserve">Deliverables</w:t>
      </w:r>
      <w:r/>
    </w:p>
    <w:p>
      <w:pPr>
        <w:pStyle w:val="733"/>
        <w:pBdr/>
        <w:spacing w:after="40"/>
        <w:ind/>
        <w:rPr/>
      </w:pPr>
      <w:r>
        <w:rPr>
          <w:rFonts w:ascii="Calibri" w:hAnsi="Calibri"/>
        </w:rPr>
        <w:t xml:space="preserve">Confirmed operational access and documentation</w:t>
      </w:r>
      <w:r/>
    </w:p>
    <w:p>
      <w:pPr>
        <w:pStyle w:val="733"/>
        <w:pBdr/>
        <w:spacing w:after="40"/>
        <w:ind/>
        <w:rPr/>
      </w:pPr>
      <w:r>
        <w:rPr>
          <w:rFonts w:ascii="Calibri" w:hAnsi="Calibri"/>
        </w:rPr>
        <w:t xml:space="preserve">Stable pilot and platform</w:t>
      </w:r>
      <w:r/>
    </w:p>
    <w:p>
      <w:pPr>
        <w:pStyle w:val="733"/>
        <w:pBdr/>
        <w:spacing w:after="40"/>
        <w:ind/>
        <w:rPr/>
      </w:pPr>
      <w:r>
        <w:rPr>
          <w:rFonts w:ascii="Calibri" w:hAnsi="Calibri"/>
        </w:rPr>
        <w:t xml:space="preserve">Updated governance pack</w:t>
      </w:r>
      <w:r/>
    </w:p>
    <w:p>
      <w:pPr>
        <w:pStyle w:val="733"/>
        <w:pBdr/>
        <w:spacing w:after="40"/>
        <w:ind/>
        <w:rPr/>
      </w:pPr>
      <w:r>
        <w:rPr>
          <w:rFonts w:ascii="Calibri" w:hAnsi="Calibri"/>
        </w:rPr>
        <w:t xml:space="preserve">Phase 2 backlog</w:t>
      </w:r>
      <w:r/>
    </w:p>
    <w:p>
      <w:pPr>
        <w:pStyle w:val="733"/>
        <w:pBdr/>
        <w:spacing w:after="40"/>
        <w:ind/>
        <w:rPr/>
      </w:pPr>
      <w:r>
        <w:rPr>
          <w:rFonts w:ascii="Calibri" w:hAnsi="Calibri"/>
        </w:rPr>
        <w:t xml:space="preserve">Closure and sponsor acceptance</w:t>
      </w:r>
      <w:r/>
    </w:p>
    <w:p>
      <w:pPr>
        <w:pBdr/>
        <w:spacing w:after="80" w:line="259" w:lineRule="auto"/>
        <w:ind/>
        <w:rPr/>
      </w:pPr>
      <w:r>
        <w:rPr>
          <w:rFonts w:ascii="Calibri" w:hAnsi="Calibri"/>
          <w:b/>
        </w:rPr>
        <w:t xml:space="preserve">Exit criteria</w:t>
      </w:r>
      <w:r/>
    </w:p>
    <w:p>
      <w:pPr>
        <w:pStyle w:val="733"/>
        <w:pBdr/>
        <w:spacing w:after="40"/>
        <w:ind/>
        <w:rPr/>
      </w:pPr>
      <w:r>
        <w:rPr>
          <w:rFonts w:ascii="Calibri" w:hAnsi="Calibri"/>
        </w:rPr>
        <w:t xml:space="preserve">No unresolved critical issue remains.</w:t>
      </w:r>
      <w:r/>
    </w:p>
    <w:p>
      <w:pPr>
        <w:pStyle w:val="733"/>
        <w:pBdr/>
        <w:spacing w:after="40"/>
        <w:ind/>
        <w:rPr/>
      </w:pPr>
      <w:r>
        <w:rPr>
          <w:rFonts w:ascii="Calibri" w:hAnsi="Calibri"/>
        </w:rPr>
        <w:t xml:space="preserve">The Application team is operating the platform.</w:t>
      </w:r>
      <w:r/>
    </w:p>
    <w:p>
      <w:pPr>
        <w:pStyle w:val="733"/>
        <w:pBdr/>
        <w:spacing w:after="40"/>
        <w:ind/>
        <w:rPr/>
      </w:pPr>
      <w:r>
        <w:rPr>
          <w:rFonts w:ascii="Calibri" w:hAnsi="Calibri"/>
        </w:rPr>
        <w:t xml:space="preserve">Management accepts the implementation outcome.</w:t>
      </w:r>
      <w:r/>
    </w:p>
    <w:p>
      <w:pPr>
        <w:pStyle w:val="703"/>
        <w:keepNext w:val="true"/>
        <w:pBdr/>
        <w:spacing w:after="80" w:before="200"/>
        <w:ind/>
        <w:rPr/>
      </w:pPr>
      <w:r>
        <w:rPr>
          <w:rFonts w:ascii="Calibri" w:hAnsi="Calibri"/>
        </w:rPr>
        <w:t xml:space="preserve">7. Delivery Timeline</w:t>
      </w:r>
      <w:r/>
    </w:p>
    <w:tbl>
      <w:tblPr>
        <w:tblStyle w:val="763"/>
        <w:jc w:val="center"/>
        <w:tblW w:w="0" w:type="auto"/>
        <w:tblBorders/>
        <w:tblLayout w:type="autofit"/>
        <w:tblLook w:val="04A0" w:firstRow="1" w:lastRow="0" w:firstColumn="1" w:lastColumn="0" w:noHBand="0" w:noVBand="1"/>
      </w:tblPr>
      <w:tblGrid>
        <w:gridCol w:w="3137"/>
        <w:gridCol w:w="3137"/>
        <w:gridCol w:w="3137"/>
      </w:tblGrid>
      <w:tr>
        <w:trPr>
          <w:cantSplit/>
          <w:tblHeader/>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b/>
                <w:sz w:val="20"/>
              </w:rPr>
              <w:t xml:space="preserve">Period</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b/>
                <w:sz w:val="20"/>
              </w:rPr>
              <w:t xml:space="preserve">Primary activity</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b/>
                <w:sz w:val="20"/>
              </w:rPr>
              <w:t xml:space="preserve">Main owners</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1-2</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Mobilisation, tenant baseline and stakeholder engagement</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Joel, Martin</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2-4</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Governance, architecture and ownership decisions</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Joel, Application team</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2-6</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Azure subscription, billing and Infrastructure foundation</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Cam's team, Chris</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3-5</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Licensing, capacity and cost approval</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Joel</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4-5</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Entra groups and tenant controls</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5-7</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Environment creation and access testing</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6-9</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DLP, connectors and CSOC approval</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Chris, CSOC</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7-10</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Application lifecycle and deployment process</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Chris</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7-11</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Operational model and documentation</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Martin, Application team</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10-13</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Pilot design and build</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Chris, business owner</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13-15</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UAT, CSOC review and Production release</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Martin, Chris</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15-17</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Hypercare, operational readiness and project closure</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Joel, Application team</w:t>
            </w:r>
            <w:r/>
          </w:p>
        </w:tc>
      </w:tr>
      <w:tr>
        <w:trPr>
          <w:cantSplit/>
        </w:trPr>
        <w:tc>
          <w:tcPr>
            <w:tcBorders/>
            <w:tcMar>
              <w:left w:w="80" w:type="dxa"/>
              <w:top w:w="60" w:type="dxa"/>
              <w:right w:w="80" w:type="dxa"/>
              <w:bottom w:w="60" w:type="dxa"/>
            </w:tcMar>
            <w:tcW w:w="1701" w:type="dxa"/>
            <w:vAlign w:val="center"/>
          </w:tcPr>
          <w:p>
            <w:pPr>
              <w:pBdr/>
              <w:spacing w:after="0" w:line="240" w:lineRule="auto"/>
              <w:ind/>
              <w:rPr/>
            </w:pPr>
            <w:r>
              <w:rPr>
                <w:rFonts w:ascii="Calibri" w:hAnsi="Calibri"/>
                <w:sz w:val="20"/>
              </w:rPr>
            </w:r>
            <w:r>
              <w:rPr>
                <w:rFonts w:ascii="Calibri" w:hAnsi="Calibri"/>
                <w:b w:val="0"/>
                <w:sz w:val="20"/>
              </w:rPr>
              <w:t xml:space="preserve">Weeks 18-19</w:t>
            </w:r>
            <w:r/>
          </w:p>
        </w:tc>
        <w:tc>
          <w:tcPr>
            <w:tcBorders/>
            <w:tcMar>
              <w:left w:w="80" w:type="dxa"/>
              <w:top w:w="60" w:type="dxa"/>
              <w:right w:w="80" w:type="dxa"/>
              <w:bottom w:w="60" w:type="dxa"/>
            </w:tcMar>
            <w:tcW w:w="5102" w:type="dxa"/>
            <w:vAlign w:val="center"/>
          </w:tcPr>
          <w:p>
            <w:pPr>
              <w:pBdr/>
              <w:spacing w:after="0" w:line="240" w:lineRule="auto"/>
              <w:ind/>
              <w:rPr/>
            </w:pPr>
            <w:r>
              <w:rPr>
                <w:rFonts w:ascii="Calibri" w:hAnsi="Calibri"/>
                <w:sz w:val="20"/>
              </w:rPr>
            </w:r>
            <w:r>
              <w:rPr>
                <w:rFonts w:ascii="Calibri" w:hAnsi="Calibri"/>
                <w:b w:val="0"/>
                <w:sz w:val="20"/>
              </w:rPr>
              <w:t xml:space="preserve">Management contingency if required</w:t>
            </w:r>
            <w:r/>
          </w:p>
        </w:tc>
        <w:tc>
          <w:tcPr>
            <w:tcBorders/>
            <w:tcMar>
              <w:left w:w="80" w:type="dxa"/>
              <w:top w:w="60" w:type="dxa"/>
              <w:right w:w="80" w:type="dxa"/>
              <w:bottom w:w="60" w:type="dxa"/>
            </w:tcMar>
            <w:tcW w:w="2551" w:type="dxa"/>
            <w:vAlign w:val="center"/>
          </w:tcPr>
          <w:p>
            <w:pPr>
              <w:pBdr/>
              <w:spacing w:after="0" w:line="240" w:lineRule="auto"/>
              <w:ind/>
              <w:rPr/>
            </w:pPr>
            <w:r>
              <w:rPr>
                <w:rFonts w:ascii="Calibri" w:hAnsi="Calibri"/>
                <w:sz w:val="20"/>
              </w:rPr>
            </w:r>
            <w:r>
              <w:rPr>
                <w:rFonts w:ascii="Calibri" w:hAnsi="Calibri"/>
                <w:b w:val="0"/>
                <w:sz w:val="20"/>
              </w:rPr>
              <w:t xml:space="preserve">As required</w:t>
            </w:r>
            <w:r/>
          </w:p>
        </w:tc>
      </w:tr>
    </w:tbl>
    <w:p>
      <w:pPr>
        <w:pBdr/>
        <w:spacing w:after="80"/>
        <w:ind/>
        <w:rPr/>
      </w:pPr>
      <w:r/>
      <w:r/>
    </w:p>
    <w:p>
      <w:pPr>
        <w:pStyle w:val="703"/>
        <w:keepNext w:val="true"/>
        <w:pBdr/>
        <w:spacing w:after="80" w:before="200"/>
        <w:ind/>
        <w:rPr/>
      </w:pPr>
      <w:r>
        <w:rPr>
          <w:rFonts w:ascii="Calibri" w:hAnsi="Calibri"/>
        </w:rPr>
        <w:t xml:space="preserve">8. Key Decision and Delivery Gates</w:t>
      </w:r>
      <w:r/>
    </w:p>
    <w:tbl>
      <w:tblPr>
        <w:tblStyle w:val="763"/>
        <w:jc w:val="center"/>
        <w:tblW w:w="0" w:type="auto"/>
        <w:tblBorders/>
        <w:tblLayout w:type="autofit"/>
        <w:tblLook w:val="04A0" w:firstRow="1" w:lastRow="0" w:firstColumn="1" w:lastColumn="0" w:noHBand="0" w:noVBand="1"/>
      </w:tblPr>
      <w:tblGrid>
        <w:gridCol w:w="3137"/>
        <w:gridCol w:w="3137"/>
        <w:gridCol w:w="3137"/>
      </w:tblGrid>
      <w:tr>
        <w:trPr>
          <w:cantSplit/>
          <w:tblHeader/>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b/>
                <w:sz w:val="20"/>
              </w:rPr>
              <w:t xml:space="preserve">Gate</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b/>
                <w:sz w:val="20"/>
              </w:rPr>
              <w:t xml:space="preserve">Target</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b/>
                <w:sz w:val="20"/>
              </w:rPr>
              <w:t xml:space="preserve">Required decision or outcome</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1</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2</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Scope, resources, ownership and clean-start baseline confirmed.</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2</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4</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Governance, architecture, environment model and Application team operating model approved.</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3</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5</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Licensing, Managed Environment, pipeline and capacity decisions approved.</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4</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6</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Azure billing and required Infrastructure ready.</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5</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9</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DLP and connector policies approved and tested.</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6</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10</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Deployment process proven.</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7</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13</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Pilot approved to enter UAT.</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8</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15</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Production release accepted.</w:t>
            </w:r>
            <w:r/>
          </w:p>
        </w:tc>
      </w:tr>
      <w:tr>
        <w:trPr>
          <w:cantSplit/>
        </w:trPr>
        <w:tc>
          <w:tcPr>
            <w:tcBorders/>
            <w:tcMar>
              <w:left w:w="80" w:type="dxa"/>
              <w:top w:w="60" w:type="dxa"/>
              <w:right w:w="80" w:type="dxa"/>
              <w:bottom w:w="60" w:type="dxa"/>
            </w:tcMar>
            <w:tcW w:w="1247" w:type="dxa"/>
            <w:vAlign w:val="center"/>
          </w:tcPr>
          <w:p>
            <w:pPr>
              <w:pBdr/>
              <w:spacing w:after="0" w:line="240" w:lineRule="auto"/>
              <w:ind/>
              <w:rPr/>
            </w:pPr>
            <w:r>
              <w:rPr>
                <w:rFonts w:ascii="Calibri" w:hAnsi="Calibri"/>
                <w:sz w:val="20"/>
              </w:rPr>
            </w:r>
            <w:r>
              <w:rPr>
                <w:rFonts w:ascii="Calibri" w:hAnsi="Calibri"/>
                <w:b w:val="0"/>
                <w:sz w:val="20"/>
              </w:rPr>
              <w:t xml:space="preserve">Gate 9</w:t>
            </w:r>
            <w:r/>
          </w:p>
        </w:tc>
        <w:tc>
          <w:tcPr>
            <w:tcBorders/>
            <w:tcMar>
              <w:left w:w="80" w:type="dxa"/>
              <w:top w:w="60" w:type="dxa"/>
              <w:right w:w="80" w:type="dxa"/>
              <w:bottom w:w="60" w:type="dxa"/>
            </w:tcMar>
            <w:tcW w:w="1984" w:type="dxa"/>
            <w:vAlign w:val="center"/>
          </w:tcPr>
          <w:p>
            <w:pPr>
              <w:pBdr/>
              <w:spacing w:after="0" w:line="240" w:lineRule="auto"/>
              <w:ind/>
              <w:rPr/>
            </w:pPr>
            <w:r>
              <w:rPr>
                <w:rFonts w:ascii="Calibri" w:hAnsi="Calibri"/>
                <w:sz w:val="20"/>
              </w:rPr>
            </w:r>
            <w:r>
              <w:rPr>
                <w:rFonts w:ascii="Calibri" w:hAnsi="Calibri"/>
                <w:b w:val="0"/>
                <w:sz w:val="20"/>
              </w:rPr>
              <w:t xml:space="preserve">End of Week 17</w:t>
            </w:r>
            <w:r/>
          </w:p>
        </w:tc>
        <w:tc>
          <w:tcPr>
            <w:tcBorders/>
            <w:tcMar>
              <w:left w:w="80" w:type="dxa"/>
              <w:top w:w="60" w:type="dxa"/>
              <w:right w:w="80" w:type="dxa"/>
              <w:bottom w:w="60" w:type="dxa"/>
            </w:tcMar>
            <w:tcW w:w="6123" w:type="dxa"/>
            <w:vAlign w:val="center"/>
          </w:tcPr>
          <w:p>
            <w:pPr>
              <w:pBdr/>
              <w:spacing w:after="0" w:line="240" w:lineRule="auto"/>
              <w:ind/>
              <w:rPr/>
            </w:pPr>
            <w:r>
              <w:rPr>
                <w:rFonts w:ascii="Calibri" w:hAnsi="Calibri"/>
                <w:sz w:val="20"/>
              </w:rPr>
            </w:r>
            <w:r>
              <w:rPr>
                <w:rFonts w:ascii="Calibri" w:hAnsi="Calibri"/>
                <w:b w:val="0"/>
                <w:sz w:val="20"/>
              </w:rPr>
              <w:t xml:space="preserve">Project closure accepted and Phase 2 backlog agreed.</w:t>
            </w:r>
            <w:r/>
          </w:p>
        </w:tc>
      </w:tr>
    </w:tbl>
    <w:p>
      <w:pPr>
        <w:pBdr/>
        <w:spacing w:after="80"/>
        <w:ind/>
        <w:rPr/>
      </w:pPr>
      <w:r/>
      <w:r/>
    </w:p>
    <w:p>
      <w:pPr>
        <w:pStyle w:val="703"/>
        <w:keepNext w:val="true"/>
        <w:pBdr/>
        <w:spacing w:after="80" w:before="200"/>
        <w:ind/>
        <w:rPr/>
      </w:pPr>
      <w:r>
        <w:rPr>
          <w:rFonts w:ascii="Calibri" w:hAnsi="Calibri"/>
        </w:rPr>
        <w:t xml:space="preserve">9. Dependencies on Cam's Team</w:t>
      </w:r>
      <w:r/>
    </w:p>
    <w:p>
      <w:pPr>
        <w:pStyle w:val="704"/>
        <w:keepNext w:val="true"/>
        <w:pBdr/>
        <w:spacing w:after="80" w:before="200"/>
        <w:ind/>
        <w:rPr/>
      </w:pPr>
      <w:r>
        <w:rPr>
          <w:rFonts w:ascii="Calibri" w:hAnsi="Calibri"/>
        </w:rPr>
        <w:t xml:space="preserve">9.1 Required by the end of Week 2</w:t>
      </w:r>
      <w:r/>
    </w:p>
    <w:p>
      <w:pPr>
        <w:pStyle w:val="733"/>
        <w:pBdr/>
        <w:spacing w:after="40"/>
        <w:ind/>
        <w:rPr/>
      </w:pPr>
      <w:r>
        <w:rPr>
          <w:rFonts w:ascii="Calibri" w:hAnsi="Calibri"/>
        </w:rPr>
        <w:t xml:space="preserve">Named Infrastructure lead and delivery contacts.</w:t>
      </w:r>
      <w:r/>
    </w:p>
    <w:p>
      <w:pPr>
        <w:pStyle w:val="733"/>
        <w:pBdr/>
        <w:spacing w:after="40"/>
        <w:ind/>
        <w:rPr/>
      </w:pPr>
      <w:r>
        <w:rPr>
          <w:rFonts w:ascii="Calibri" w:hAnsi="Calibri"/>
        </w:rPr>
        <w:t xml:space="preserve">Confirmed Azure subscription approach.</w:t>
      </w:r>
      <w:r/>
    </w:p>
    <w:p>
      <w:pPr>
        <w:pStyle w:val="733"/>
        <w:pBdr/>
        <w:spacing w:after="40"/>
        <w:ind/>
        <w:rPr/>
      </w:pPr>
      <w:r>
        <w:rPr>
          <w:rFonts w:ascii="Calibri" w:hAnsi="Calibri"/>
        </w:rPr>
        <w:t xml:space="preserve">Confirmed subscription ownership and approval path.</w:t>
      </w:r>
      <w:r/>
    </w:p>
    <w:p>
      <w:pPr>
        <w:pStyle w:val="733"/>
        <w:pBdr/>
        <w:spacing w:after="40"/>
        <w:ind/>
        <w:rPr/>
      </w:pPr>
      <w:r>
        <w:rPr>
          <w:rFonts w:ascii="Calibri" w:hAnsi="Calibri"/>
        </w:rPr>
        <w:t xml:space="preserve">Initial RBAC, cost-center and network requirements.</w:t>
      </w:r>
      <w:r/>
    </w:p>
    <w:p>
      <w:pPr>
        <w:pStyle w:val="704"/>
        <w:keepNext w:val="true"/>
        <w:pBdr/>
        <w:spacing w:after="80" w:before="200"/>
        <w:ind/>
        <w:rPr/>
      </w:pPr>
      <w:r>
        <w:rPr>
          <w:rFonts w:ascii="Calibri" w:hAnsi="Calibri"/>
        </w:rPr>
        <w:t xml:space="preserve">9.2 Required by the end of Week 4</w:t>
      </w:r>
      <w:r/>
    </w:p>
    <w:p>
      <w:pPr>
        <w:pStyle w:val="733"/>
        <w:pBdr/>
        <w:spacing w:after="40"/>
        <w:ind/>
        <w:rPr/>
      </w:pPr>
      <w:r>
        <w:rPr>
          <w:rFonts w:ascii="Calibri" w:hAnsi="Calibri"/>
        </w:rPr>
        <w:t xml:space="preserve">Azure subscription available or creation in progress with no unresolved approval blocker.</w:t>
      </w:r>
      <w:r/>
    </w:p>
    <w:p>
      <w:pPr>
        <w:pStyle w:val="733"/>
        <w:pBdr/>
        <w:spacing w:after="40"/>
        <w:ind/>
        <w:rPr/>
      </w:pPr>
      <w:r>
        <w:rPr>
          <w:rFonts w:ascii="Calibri" w:hAnsi="Calibri"/>
        </w:rPr>
        <w:t xml:space="preserve">Resource group, naming, tagging and RBAC design confirmed.</w:t>
      </w:r>
      <w:r/>
    </w:p>
    <w:p>
      <w:pPr>
        <w:pStyle w:val="733"/>
        <w:pBdr/>
        <w:spacing w:after="40"/>
        <w:ind/>
        <w:rPr/>
      </w:pPr>
      <w:r>
        <w:rPr>
          <w:rFonts w:ascii="Calibri" w:hAnsi="Calibri"/>
        </w:rPr>
        <w:t xml:space="preserve">Budget and alert requirements agreed.</w:t>
      </w:r>
      <w:r/>
    </w:p>
    <w:p>
      <w:pPr>
        <w:pStyle w:val="733"/>
        <w:pBdr/>
        <w:spacing w:after="40"/>
        <w:ind/>
        <w:rPr/>
      </w:pPr>
      <w:r>
        <w:rPr>
          <w:rFonts w:ascii="Calibri" w:hAnsi="Calibri"/>
        </w:rPr>
        <w:t xml:space="preserve">App registration, service principal, Key Vault and gateway decisions completed.</w:t>
      </w:r>
      <w:r/>
    </w:p>
    <w:p>
      <w:pPr>
        <w:pStyle w:val="704"/>
        <w:keepNext w:val="true"/>
        <w:pBdr/>
        <w:spacing w:after="80" w:before="200"/>
        <w:ind/>
        <w:rPr/>
      </w:pPr>
      <w:r>
        <w:rPr>
          <w:rFonts w:ascii="Calibri" w:hAnsi="Calibri"/>
        </w:rPr>
        <w:t xml:space="preserve">9.3 Required by the end of Week 6</w:t>
      </w:r>
      <w:r/>
    </w:p>
    <w:p>
      <w:pPr>
        <w:pStyle w:val="733"/>
        <w:pBdr/>
        <w:spacing w:after="40"/>
        <w:ind/>
        <w:rPr/>
      </w:pPr>
      <w:r>
        <w:rPr>
          <w:rFonts w:ascii="Calibri" w:hAnsi="Calibri"/>
        </w:rPr>
        <w:t xml:space="preserve">Azure subscription and resource group operational.</w:t>
      </w:r>
      <w:r/>
    </w:p>
    <w:p>
      <w:pPr>
        <w:pStyle w:val="733"/>
        <w:pBdr/>
        <w:spacing w:after="40"/>
        <w:ind/>
        <w:rPr/>
      </w:pPr>
      <w:r>
        <w:rPr>
          <w:rFonts w:ascii="Calibri" w:hAnsi="Calibri"/>
        </w:rPr>
        <w:t xml:space="preserve">Required RBAC assigned.</w:t>
      </w:r>
      <w:r/>
    </w:p>
    <w:p>
      <w:pPr>
        <w:pStyle w:val="733"/>
        <w:pBdr/>
        <w:spacing w:after="40"/>
        <w:ind/>
        <w:rPr/>
      </w:pPr>
      <w:r>
        <w:rPr>
          <w:rFonts w:ascii="Calibri" w:hAnsi="Calibri"/>
        </w:rPr>
        <w:t xml:space="preserve">Budgets and cost alerts active.</w:t>
      </w:r>
      <w:r/>
    </w:p>
    <w:p>
      <w:pPr>
        <w:pStyle w:val="733"/>
        <w:pBdr/>
        <w:spacing w:after="40"/>
        <w:ind/>
        <w:rPr/>
      </w:pPr>
      <w:r>
        <w:rPr>
          <w:rFonts w:ascii="Calibri" w:hAnsi="Calibri"/>
        </w:rPr>
        <w:t xml:space="preserve">Power Platform billing policy created and tested.</w:t>
      </w:r>
      <w:r/>
    </w:p>
    <w:p>
      <w:pPr>
        <w:pStyle w:val="733"/>
        <w:pBdr/>
        <w:spacing w:after="40"/>
        <w:ind/>
        <w:rPr/>
      </w:pPr>
      <w:r>
        <w:rPr>
          <w:rFonts w:ascii="Calibri" w:hAnsi="Calibri"/>
        </w:rPr>
        <w:t xml:space="preserve">Required environments linked to billing.</w:t>
      </w:r>
      <w:r/>
    </w:p>
    <w:p>
      <w:pPr>
        <w:pStyle w:val="733"/>
        <w:pBdr/>
        <w:spacing w:after="40"/>
        <w:ind/>
        <w:rPr/>
      </w:pPr>
      <w:r>
        <w:rPr>
          <w:rFonts w:ascii="Calibri" w:hAnsi="Calibri"/>
        </w:rPr>
        <w:t xml:space="preserve">Any approved app registration, service principal, gateway or network component available.</w:t>
      </w:r>
      <w:r/>
    </w:p>
    <w:p>
      <w:pPr>
        <w:pBdr/>
        <w:spacing w:after="80" w:line="259" w:lineRule="auto"/>
        <w:ind/>
        <w:rPr/>
      </w:pPr>
      <w:r>
        <w:rPr>
          <w:rFonts w:ascii="Calibri" w:hAnsi="Calibri"/>
        </w:rPr>
        <w:t xml:space="preserve">Failure to meet the Week 6 Infrastructure gate will move the environment, pilot and production dates unless another approved billing or technical approach is available.</w:t>
      </w:r>
      <w:r/>
    </w:p>
    <w:p>
      <w:pPr>
        <w:pStyle w:val="703"/>
        <w:keepNext w:val="true"/>
        <w:pBdr/>
        <w:spacing w:after="80" w:before="200"/>
        <w:ind/>
        <w:rPr/>
      </w:pPr>
      <w:r>
        <w:rPr>
          <w:rFonts w:ascii="Calibri" w:hAnsi="Calibri"/>
        </w:rPr>
        <w:t xml:space="preserve">10. Risks and Schedule Protection</w:t>
      </w:r>
      <w:r/>
    </w:p>
    <w:tbl>
      <w:tblPr>
        <w:tblStyle w:val="763"/>
        <w:jc w:val="center"/>
        <w:tblW w:w="0" w:type="auto"/>
        <w:tblBorders/>
        <w:tblLayout w:type="autofit"/>
        <w:tblLook w:val="04A0" w:firstRow="1" w:lastRow="0" w:firstColumn="1" w:lastColumn="0" w:noHBand="0" w:noVBand="1"/>
      </w:tblPr>
      <w:tblGrid>
        <w:gridCol w:w="2353"/>
        <w:gridCol w:w="2353"/>
        <w:gridCol w:w="2353"/>
        <w:gridCol w:w="2353"/>
      </w:tblGrid>
      <w:tr>
        <w:trPr>
          <w:cantSplit/>
          <w:tblHeader/>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b/>
                <w:sz w:val="20"/>
              </w:rPr>
              <w:t xml:space="preserve">Risk</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b/>
                <w:sz w:val="20"/>
              </w:rPr>
              <w:t xml:space="preserve">Rating</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b/>
                <w:sz w:val="20"/>
              </w:rPr>
              <w:t xml:space="preserve">Potential effect</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b/>
                <w:sz w:val="20"/>
              </w:rPr>
              <w:t xml:space="preserve">Control</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Cam's team delivery is delayed</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High</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Azure billing and dependent environment work move to the right.</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Start in Week 1, use dated dependency actions and escalate missed gates.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Licensing or procurement takes longer than expected</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High</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Managed Environments, pipelines or pilot users cannot be enabled.</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Complete decisions by Week 5</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Pilot scope grows</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High</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Build and UAT exceed Weeks 10-15.</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Approve a fixed pilot scope and treat additions as change requests.</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CSOC approval requires rework</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Medium</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DLP or Production release moves.</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Engage CSOC during Weeks 2-4 and provide test evidence early.</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On-premises gateway or complex integration is required</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High</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Additional Infrastructure and testing may add several weeks.</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Confirm during pilot selection and re-baseline if required.</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Part-time resources are consumed by BAU</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High</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The team loses effective capacity.</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Protect allocations, report lost capacity and use the 19-week management window.</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Application connections depend on personal accounts</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Medium</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Support and ownership risks during operations.</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Define service connection and ownership standards before Production.</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Business UAT availability is poor</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Medium</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Production release is delayed.</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Book testers before build completion and publish UAT dates early.</w:t>
            </w:r>
            <w:r/>
          </w:p>
        </w:tc>
      </w:tr>
      <w:tr>
        <w:trPr>
          <w:cantSplit/>
        </w:trPr>
        <w:tc>
          <w:tcPr>
            <w:tcBorders/>
            <w:tcMar>
              <w:left w:w="80" w:type="dxa"/>
              <w:top w:w="60" w:type="dxa"/>
              <w:right w:w="80" w:type="dxa"/>
              <w:bottom w:w="60" w:type="dxa"/>
            </w:tcMar>
            <w:tcW w:w="2268" w:type="dxa"/>
            <w:vAlign w:val="center"/>
          </w:tcPr>
          <w:p>
            <w:pPr>
              <w:pBdr/>
              <w:spacing w:after="0" w:line="240" w:lineRule="auto"/>
              <w:ind/>
              <w:rPr/>
            </w:pPr>
            <w:r>
              <w:rPr>
                <w:rFonts w:ascii="Calibri" w:hAnsi="Calibri"/>
                <w:sz w:val="20"/>
              </w:rPr>
            </w:r>
            <w:r>
              <w:rPr>
                <w:rFonts w:ascii="Calibri" w:hAnsi="Calibri"/>
                <w:b w:val="0"/>
                <w:sz w:val="20"/>
              </w:rPr>
              <w:t xml:space="preserve">Azure costs are not monitored</w:t>
            </w:r>
            <w:r/>
          </w:p>
        </w:tc>
        <w:tc>
          <w:tcPr>
            <w:tcBorders/>
            <w:tcMar>
              <w:left w:w="80" w:type="dxa"/>
              <w:top w:w="60" w:type="dxa"/>
              <w:right w:w="80" w:type="dxa"/>
              <w:bottom w:w="60" w:type="dxa"/>
            </w:tcMar>
            <w:tcW w:w="850" w:type="dxa"/>
            <w:vAlign w:val="center"/>
          </w:tcPr>
          <w:p>
            <w:pPr>
              <w:pBdr/>
              <w:spacing w:after="0" w:line="240" w:lineRule="auto"/>
              <w:ind/>
              <w:rPr/>
            </w:pPr>
            <w:r>
              <w:rPr>
                <w:rFonts w:ascii="Calibri" w:hAnsi="Calibri"/>
                <w:sz w:val="20"/>
              </w:rPr>
            </w:r>
            <w:r>
              <w:rPr>
                <w:rFonts w:ascii="Calibri" w:hAnsi="Calibri"/>
                <w:b w:val="0"/>
                <w:sz w:val="20"/>
              </w:rPr>
              <w:t xml:space="preserve">Medium</w:t>
            </w:r>
            <w:r/>
          </w:p>
        </w:tc>
        <w:tc>
          <w:tcPr>
            <w:tcBorders/>
            <w:tcMar>
              <w:left w:w="80" w:type="dxa"/>
              <w:top w:w="60" w:type="dxa"/>
              <w:right w:w="80" w:type="dxa"/>
              <w:bottom w:w="60" w:type="dxa"/>
            </w:tcMar>
            <w:tcW w:w="2835" w:type="dxa"/>
            <w:vAlign w:val="center"/>
          </w:tcPr>
          <w:p>
            <w:pPr>
              <w:pBdr/>
              <w:spacing w:after="0" w:line="240" w:lineRule="auto"/>
              <w:ind/>
              <w:rPr/>
            </w:pPr>
            <w:r>
              <w:rPr>
                <w:rFonts w:ascii="Calibri" w:hAnsi="Calibri"/>
                <w:sz w:val="20"/>
              </w:rPr>
            </w:r>
            <w:r>
              <w:rPr>
                <w:rFonts w:ascii="Calibri" w:hAnsi="Calibri"/>
                <w:b w:val="0"/>
                <w:sz w:val="20"/>
              </w:rPr>
              <w:t xml:space="preserve">Unexpected operational cost after go-live.</w:t>
            </w:r>
            <w:r/>
          </w:p>
        </w:tc>
        <w:tc>
          <w:tcPr>
            <w:tcBorders/>
            <w:tcMar>
              <w:left w:w="80" w:type="dxa"/>
              <w:top w:w="60" w:type="dxa"/>
              <w:right w:w="80" w:type="dxa"/>
              <w:bottom w:w="60" w:type="dxa"/>
            </w:tcMar>
            <w:tcW w:w="3402" w:type="dxa"/>
            <w:vAlign w:val="center"/>
          </w:tcPr>
          <w:p>
            <w:pPr>
              <w:pBdr/>
              <w:spacing w:after="0" w:line="240" w:lineRule="auto"/>
              <w:ind/>
              <w:rPr/>
            </w:pPr>
            <w:r>
              <w:rPr>
                <w:rFonts w:ascii="Calibri" w:hAnsi="Calibri"/>
                <w:sz w:val="20"/>
              </w:rPr>
            </w:r>
            <w:r>
              <w:rPr>
                <w:rFonts w:ascii="Calibri" w:hAnsi="Calibri"/>
                <w:b w:val="0"/>
                <w:sz w:val="20"/>
              </w:rPr>
              <w:t xml:space="preserve">Budgets, alerts and cost ownership are mandatory before Production.</w:t>
            </w:r>
            <w:r/>
          </w:p>
        </w:tc>
      </w:tr>
    </w:tbl>
    <w:p>
      <w:pPr>
        <w:pBdr/>
        <w:spacing w:after="80"/>
        <w:ind/>
        <w:rPr/>
      </w:pPr>
      <w:r/>
      <w:r/>
    </w:p>
    <w:p>
      <w:pPr>
        <w:pStyle w:val="703"/>
        <w:keepNext w:val="true"/>
        <w:pBdr/>
        <w:spacing w:after="80" w:before="200"/>
        <w:ind/>
        <w:rPr/>
      </w:pPr>
      <w:r>
        <w:t xml:space="preserve">11. Common Pitfalls and Design Notes</w:t>
      </w:r>
      <w:r/>
    </w:p>
    <w:p>
      <w:pPr>
        <w:pStyle w:val="704"/>
        <w:keepNext w:val="true"/>
        <w:pBdr/>
        <w:spacing w:after="80" w:before="200"/>
        <w:ind/>
        <w:rPr/>
      </w:pPr>
      <w:r>
        <w:t xml:space="preserve">11.1 The Default environment is open by design</w:t>
      </w:r>
      <w:r/>
    </w:p>
    <w:p>
      <w:pPr>
        <w:pBdr/>
        <w:spacing w:after="80"/>
        <w:ind/>
        <w:rPr/>
      </w:pPr>
      <w:r>
        <w:rPr>
          <w:b/>
        </w:rPr>
        <w:t xml:space="preserve">Why this matters: </w:t>
      </w:r>
      <w:r>
        <w:t xml:space="preserve">The Default environment exists in every tenant and licensed users can become makers there. If NGA simply announces that Power Platform is available, personal experiments can quickly become widely shared, business-critical and unsupported.</w:t>
      </w:r>
      <w:r/>
    </w:p>
    <w:p>
      <w:pPr>
        <w:pStyle w:val="733"/>
        <w:pBdr/>
        <w:spacing/>
        <w:ind/>
        <w:rPr/>
      </w:pPr>
      <w:r>
        <w:t xml:space="preserve">Rename the Default environment so its restricted purpose is obvious.</w:t>
      </w:r>
      <w:r/>
    </w:p>
    <w:p>
      <w:pPr>
        <w:pStyle w:val="733"/>
        <w:pBdr/>
        <w:spacing/>
        <w:ind/>
        <w:rPr/>
      </w:pPr>
      <w:r>
        <w:t xml:space="preserve">Apply a strict data policy and sharing limits before broad maker communication.</w:t>
      </w:r>
      <w:r/>
    </w:p>
    <w:p>
      <w:pPr>
        <w:pStyle w:val="733"/>
        <w:pBdr/>
        <w:spacing/>
        <w:ind/>
        <w:rPr/>
      </w:pPr>
      <w:r>
        <w:t xml:space="preserve">Use it only for low-risk personal productivity and small Microsoft 365 scenarios.</w:t>
      </w:r>
      <w:r/>
    </w:p>
    <w:p>
      <w:pPr>
        <w:pStyle w:val="733"/>
        <w:pBdr/>
        <w:spacing/>
        <w:ind/>
        <w:rPr/>
      </w:pPr>
      <w:r>
        <w:t xml:space="preserve">Set a threshold for moving an app or flow into a supported environment when user count, confidential data, business impact or lifecycle needs increase.</w:t>
      </w:r>
      <w:r/>
    </w:p>
    <w:p>
      <w:pPr>
        <w:pStyle w:val="733"/>
        <w:pBdr/>
        <w:spacing/>
        <w:ind/>
        <w:rPr/>
      </w:pPr>
      <w:r>
        <w:t xml:space="preserve">Review unused, highly shared and ownerless resources regularly as adoption grows.</w:t>
      </w:r>
      <w:r/>
    </w:p>
    <w:p>
      <w:pPr>
        <w:pStyle w:val="704"/>
        <w:keepNext w:val="true"/>
        <w:pBdr/>
        <w:spacing w:after="80" w:before="200"/>
        <w:ind/>
        <w:rPr/>
      </w:pPr>
      <w:r>
        <w:t xml:space="preserve">11.2 Do not create one environment for everything - or one for every app</w:t>
      </w:r>
      <w:r/>
    </w:p>
    <w:p>
      <w:pPr>
        <w:pBdr/>
        <w:spacing w:after="80"/>
        <w:ind/>
        <w:rPr/>
      </w:pPr>
      <w:r>
        <w:t xml:space="preserve">A single shared environm</w:t>
      </w:r>
      <w:r>
        <w:t xml:space="preserve">ent makes administration simple at first, but it mixes unrelated makers, data, owners and risk levels. At the other extreme, an environment for every small app creates capacity, licensing and operational sprawl. The design should use risk-based boundaries.</w:t>
      </w:r>
      <w:r/>
    </w:p>
    <w:p>
      <w:pPr>
        <w:pStyle w:val="733"/>
        <w:pBdr/>
        <w:spacing/>
        <w:ind/>
        <w:rPr/>
      </w:pPr>
      <w:r>
        <w:t xml:space="preserve">Use shared Development and UAT environments for ordinary controlled delivery where the same governance applies.</w:t>
      </w:r>
      <w:r/>
    </w:p>
    <w:p>
      <w:pPr>
        <w:pStyle w:val="733"/>
        <w:pBdr/>
        <w:spacing/>
        <w:ind/>
        <w:rPr/>
      </w:pPr>
      <w:r>
        <w:t xml:space="preserve">Use dedicated environments or environment sets for highly confidential data, different DLP requirements, different administrators, material business risk, large user populations or clear cost ownership.</w:t>
      </w:r>
      <w:r/>
    </w:p>
    <w:p>
      <w:pPr>
        <w:pStyle w:val="733"/>
        <w:pBdr/>
        <w:spacing/>
        <w:ind/>
        <w:rPr/>
      </w:pPr>
      <w:r>
        <w:t xml:space="preserve">People and Culture is a strong candidate because employee data, payroll-related information, medical details, performance records and recruitment data often require tighter access and audit controls.</w:t>
      </w:r>
      <w:r/>
    </w:p>
    <w:p>
      <w:pPr>
        <w:pStyle w:val="733"/>
        <w:pBdr/>
        <w:spacing/>
        <w:ind/>
        <w:rPr/>
      </w:pPr>
      <w:r>
        <w:t xml:space="preserve">Remember that an environment security group limits environment membership, but SharePoint, Dataverse, SQL and other data sources still need their own permissions and security roles.</w:t>
      </w:r>
      <w:r/>
    </w:p>
    <w:p>
      <w:pPr>
        <w:pStyle w:val="704"/>
        <w:keepNext w:val="true"/>
        <w:pBdr/>
        <w:spacing w:after="80" w:before="200"/>
        <w:ind/>
        <w:rPr/>
      </w:pPr>
      <w:r>
        <w:t xml:space="preserve">11.3 Service accounts, service principals and flow ownership</w:t>
      </w:r>
      <w:r/>
    </w:p>
    <w:p>
      <w:pPr>
        <w:pBdr/>
        <w:spacing w:after="80"/>
        <w:ind/>
        <w:rPr/>
      </w:pPr>
      <w:r>
        <w:t xml:space="preserve">Production automation must not stop because its maker leaves, changes password or loses access. Microsoft supports service-principal ownership for critical flows, but the identity, permissions and licensing implications must be designed deliberately.</w:t>
      </w:r>
      <w:r/>
    </w:p>
    <w:p>
      <w:pPr>
        <w:pStyle w:val="733"/>
        <w:pBdr/>
        <w:spacing/>
        <w:ind/>
        <w:rPr/>
      </w:pPr>
      <w:r>
        <w:t xml:space="preserve">Prefer a service principal for critical or long-running production flows where supported.</w:t>
      </w:r>
      <w:r/>
    </w:p>
    <w:p>
      <w:pPr>
        <w:pStyle w:val="733"/>
        <w:pBdr/>
        <w:spacing/>
        <w:ind/>
        <w:rPr/>
      </w:pPr>
      <w:r>
        <w:t xml:space="preserve">Do not share the password of a normal user account between administrators. This weakens auditability and creates password, MFA and leaver risks.</w:t>
      </w:r>
      <w:r/>
    </w:p>
    <w:p>
      <w:pPr>
        <w:pStyle w:val="733"/>
        <w:pBdr/>
        <w:spacing/>
        <w:ind/>
        <w:rPr/>
      </w:pPr>
      <w:r>
        <w:t xml:space="preserve">Assign only the permissions required by the process and keep the number of administrators small.</w:t>
      </w:r>
      <w:r/>
    </w:p>
    <w:p>
      <w:pPr>
        <w:pStyle w:val="733"/>
        <w:pBdr/>
        <w:spacing/>
        <w:ind/>
        <w:rPr/>
      </w:pPr>
      <w:r>
        <w:t xml:space="preserve">Record owners for app registrations, API permissions, certificates, client secrets, connections, gateway data sources and shared mailboxes.</w:t>
      </w:r>
      <w:r/>
    </w:p>
    <w:p>
      <w:pPr>
        <w:pStyle w:val="733"/>
        <w:pBdr/>
        <w:spacing/>
        <w:ind/>
        <w:rPr/>
      </w:pPr>
      <w:r>
        <w:t xml:space="preserve">Monitor certificate and secret expiry and use Key Vault or managed identity where the connector and design support it.</w:t>
      </w:r>
      <w:r/>
    </w:p>
    <w:p>
      <w:pPr>
        <w:pStyle w:val="733"/>
        <w:pBdr/>
        <w:spacing/>
        <w:ind/>
        <w:rPr/>
      </w:pPr>
      <w:r>
        <w:t xml:space="preserve">Important licensing catch: a flow owned by a service principal requires Power Automate Process licensing. This must be included in the cost model.</w:t>
      </w:r>
      <w:r/>
    </w:p>
    <w:p>
      <w:pPr>
        <w:pStyle w:val="704"/>
        <w:keepNext w:val="true"/>
        <w:pBdr/>
        <w:spacing w:after="80" w:before="200"/>
        <w:ind/>
        <w:rPr/>
      </w:pPr>
      <w:r>
        <w:t xml:space="preserve">11.4 Licensing must be assessed per solution</w:t>
      </w:r>
      <w:r/>
    </w:p>
    <w:p>
      <w:pPr>
        <w:pBdr/>
        <w:spacing w:after="80"/>
        <w:ind/>
        <w:rPr/>
      </w:pPr>
      <w:r>
        <w:t xml:space="preserve">Licensing is one of the easiest places to be caught out. The relevant question is not only who built th</w:t>
      </w:r>
      <w:r>
        <w:t xml:space="preserve">e solution. It is also which connectors are used, whether the flow is automated or user-invoked, who receives value, whether it runs under a service principal, whether the environment is Managed, and whether the solution is an app or an enterprise process.</w:t>
      </w:r>
      <w:r/>
    </w:p>
    <w:tbl>
      <w:tblPr>
        <w:tblStyle w:val="763"/>
        <w:jc w:val="center"/>
        <w:tblW w:w="0" w:type="auto"/>
        <w:tblBorders/>
        <w:tblLook w:val="04A0" w:firstRow="1" w:lastRow="0" w:firstColumn="1" w:lastColumn="0" w:noHBand="0" w:noVBand="1"/>
      </w:tblPr>
      <w:tblGrid>
        <w:gridCol w:w="3137"/>
        <w:gridCol w:w="3137"/>
        <w:gridCol w:w="3137"/>
      </w:tblGrid>
      <w:tr>
        <w:trPr>
          <w:cantSplit/>
          <w:tblHeader/>
        </w:trPr>
        <w:tc>
          <w:tcPr>
            <w:tcBorders/>
            <w:tcW w:w="2592" w:type="dxa"/>
            <w:vAlign w:val="center"/>
          </w:tcPr>
          <w:p>
            <w:pPr>
              <w:pBdr/>
              <w:spacing/>
              <w:ind/>
              <w:rPr/>
            </w:pPr>
            <w:r>
              <w:rPr>
                <w:b/>
              </w:rPr>
              <w:t xml:space="preserve">Scenario</w:t>
            </w:r>
            <w:r/>
          </w:p>
        </w:tc>
        <w:tc>
          <w:tcPr>
            <w:tcBorders/>
            <w:tcW w:w="4608" w:type="dxa"/>
            <w:vAlign w:val="center"/>
          </w:tcPr>
          <w:p>
            <w:pPr>
              <w:pBdr/>
              <w:spacing/>
              <w:ind/>
              <w:rPr/>
            </w:pPr>
            <w:r>
              <w:rPr>
                <w:b/>
              </w:rPr>
              <w:t xml:space="preserve">Likely licensing consideration</w:t>
            </w:r>
            <w:r/>
          </w:p>
        </w:tc>
        <w:tc>
          <w:tcPr>
            <w:tcBorders/>
            <w:tcW w:w="3168" w:type="dxa"/>
            <w:vAlign w:val="center"/>
          </w:tcPr>
          <w:p>
            <w:pPr>
              <w:pBdr/>
              <w:spacing/>
              <w:ind/>
              <w:rPr/>
            </w:pPr>
            <w:r>
              <w:rPr>
                <w:b/>
              </w:rPr>
              <w:t xml:space="preserve">Planning action</w:t>
            </w:r>
            <w:r/>
          </w:p>
        </w:tc>
      </w:tr>
      <w:tr>
        <w:trPr>
          <w:cantSplit/>
        </w:trPr>
        <w:tc>
          <w:tcPr>
            <w:tcBorders/>
            <w:tcW w:w="2592" w:type="dxa"/>
            <w:vAlign w:val="top"/>
          </w:tcPr>
          <w:p>
            <w:pPr>
              <w:pBdr/>
              <w:spacing/>
              <w:ind/>
              <w:rPr/>
            </w:pPr>
            <w:r>
              <w:t xml:space="preserve">Personal or small-team automation using only standard Microsoft 365 connectors</w:t>
            </w:r>
            <w:r/>
          </w:p>
        </w:tc>
        <w:tc>
          <w:tcPr>
            <w:tcBorders/>
            <w:tcW w:w="4608" w:type="dxa"/>
            <w:vAlign w:val="top"/>
          </w:tcPr>
          <w:p>
            <w:pPr>
              <w:pBdr/>
              <w:spacing/>
              <w:ind/>
              <w:rPr/>
            </w:pPr>
            <w:r>
              <w:t xml:space="preserve">Usually covered by the user's Microsoft 365 included Power Automate rights, provided no premium feature or separate Managed Environment entitlement changes the position.</w:t>
            </w:r>
            <w:r/>
          </w:p>
        </w:tc>
        <w:tc>
          <w:tcPr>
            <w:tcBorders/>
            <w:tcW w:w="3168" w:type="dxa"/>
            <w:vAlign w:val="top"/>
          </w:tcPr>
          <w:p>
            <w:pPr>
              <w:pBdr/>
              <w:spacing/>
              <w:ind/>
              <w:rPr/>
            </w:pPr>
            <w:r>
              <w:t xml:space="preserve">Keep in the restricted personal-productivity model and review if sharing or business importance grows.</w:t>
            </w:r>
            <w:r/>
          </w:p>
        </w:tc>
      </w:tr>
      <w:tr>
        <w:trPr>
          <w:cantSplit/>
        </w:trPr>
        <w:tc>
          <w:tcPr>
            <w:tcBorders/>
            <w:tcW w:w="2592" w:type="dxa"/>
            <w:vAlign w:val="top"/>
          </w:tcPr>
          <w:p>
            <w:pPr>
              <w:pBdr/>
              <w:spacing/>
              <w:ind/>
              <w:rPr/>
            </w:pPr>
            <w:r>
              <w:t xml:space="preserve">People and Culture workflow using SharePoint, Outlook and Approvals with standard connectors</w:t>
            </w:r>
            <w:r/>
          </w:p>
        </w:tc>
        <w:tc>
          <w:tcPr>
            <w:tcBorders/>
            <w:tcW w:w="4608" w:type="dxa"/>
            <w:vAlign w:val="top"/>
          </w:tcPr>
          <w:p>
            <w:pPr>
              <w:pBdr/>
              <w:spacing/>
              <w:ind/>
              <w:rPr/>
            </w:pPr>
            <w:r>
              <w:t xml:space="preserve">May remain within Microsoft 365 rights when it uses only included capabilities. The exact trigger, users and environment still need checking.</w:t>
            </w:r>
            <w:r/>
          </w:p>
        </w:tc>
        <w:tc>
          <w:tcPr>
            <w:tcBorders/>
            <w:tcW w:w="3168" w:type="dxa"/>
            <w:vAlign w:val="top"/>
          </w:tcPr>
          <w:p>
            <w:pPr>
              <w:pBdr/>
              <w:spacing/>
              <w:ind/>
              <w:rPr/>
            </w:pPr>
            <w:r>
              <w:t xml:space="preserve">Document every connector and user interaction before assuming there is no additional cost.</w:t>
            </w:r>
            <w:r/>
          </w:p>
        </w:tc>
      </w:tr>
      <w:tr>
        <w:trPr>
          <w:cantSplit/>
        </w:trPr>
        <w:tc>
          <w:tcPr>
            <w:tcBorders/>
            <w:tcW w:w="2592" w:type="dxa"/>
            <w:vAlign w:val="top"/>
          </w:tcPr>
          <w:p>
            <w:pPr>
              <w:pBdr/>
              <w:spacing/>
              <w:ind/>
              <w:rPr/>
            </w:pPr>
            <w:r>
              <w:t xml:space="preserve">Premium HR onboarding or company-wide process invoked by or providing premium automation value to many employees</w:t>
            </w:r>
            <w:r/>
          </w:p>
        </w:tc>
        <w:tc>
          <w:tcPr>
            <w:tcBorders/>
            <w:tcW w:w="4608" w:type="dxa"/>
            <w:vAlign w:val="top"/>
          </w:tcPr>
          <w:p>
            <w:pPr>
              <w:pBdr/>
              <w:spacing/>
              <w:ind/>
              <w:rPr/>
            </w:pPr>
            <w:r>
              <w:t xml:space="preserve">Either the relevant users need Premium licensing or the automation needs Power Automate Process capacity.</w:t>
            </w:r>
            <w:r/>
          </w:p>
        </w:tc>
        <w:tc>
          <w:tcPr>
            <w:tcBorders/>
            <w:tcW w:w="3168" w:type="dxa"/>
            <w:vAlign w:val="top"/>
          </w:tcPr>
          <w:p>
            <w:pPr>
              <w:pBdr/>
              <w:spacing/>
              <w:ind/>
              <w:rPr/>
            </w:pPr>
            <w:r>
              <w:t xml:space="preserve">Compare user-based cost with Process or pay-as-you-go before design approval.</w:t>
            </w:r>
            <w:r/>
          </w:p>
        </w:tc>
      </w:tr>
      <w:tr>
        <w:trPr>
          <w:cantSplit/>
        </w:trPr>
        <w:tc>
          <w:tcPr>
            <w:tcBorders/>
            <w:tcW w:w="2592" w:type="dxa"/>
            <w:vAlign w:val="top"/>
          </w:tcPr>
          <w:p>
            <w:pPr>
              <w:pBdr/>
              <w:spacing/>
              <w:ind/>
              <w:rPr/>
            </w:pPr>
            <w:r>
              <w:t xml:space="preserve">Production flow owned by a service principal</w:t>
            </w:r>
            <w:r/>
          </w:p>
        </w:tc>
        <w:tc>
          <w:tcPr>
            <w:tcBorders/>
            <w:tcW w:w="4608" w:type="dxa"/>
            <w:vAlign w:val="top"/>
          </w:tcPr>
          <w:p>
            <w:pPr>
              <w:pBdr/>
              <w:spacing/>
              <w:ind/>
              <w:rPr/>
            </w:pPr>
            <w:r>
              <w:t xml:space="preserve">Microsoft requires Power Automate Process licensing for the flow.</w:t>
            </w:r>
            <w:r/>
          </w:p>
        </w:tc>
        <w:tc>
          <w:tcPr>
            <w:tcBorders/>
            <w:tcW w:w="3168" w:type="dxa"/>
            <w:vAlign w:val="top"/>
          </w:tcPr>
          <w:p>
            <w:pPr>
              <w:pBdr/>
              <w:spacing/>
              <w:ind/>
              <w:rPr/>
            </w:pPr>
            <w:r>
              <w:t xml:space="preserve">Include Process capacity in the architecture and assign it in each environment where the licensed flow instance must run.</w:t>
            </w:r>
            <w:r/>
          </w:p>
        </w:tc>
      </w:tr>
      <w:tr>
        <w:trPr>
          <w:cantSplit/>
        </w:trPr>
        <w:tc>
          <w:tcPr>
            <w:tcBorders/>
            <w:tcW w:w="2592" w:type="dxa"/>
            <w:vAlign w:val="top"/>
          </w:tcPr>
          <w:p>
            <w:pPr>
              <w:pBdr/>
              <w:spacing/>
              <w:ind/>
              <w:rPr/>
            </w:pPr>
            <w:r>
              <w:t xml:space="preserve">Power App using Dataverse, a premium connector, custom connector or on-premises gateway</w:t>
            </w:r>
            <w:r/>
          </w:p>
        </w:tc>
        <w:tc>
          <w:tcPr>
            <w:tcBorders/>
            <w:tcW w:w="4608" w:type="dxa"/>
            <w:vAlign w:val="top"/>
          </w:tcPr>
          <w:p>
            <w:pPr>
              <w:pBdr/>
              <w:spacing/>
              <w:ind/>
              <w:rPr/>
            </w:pPr>
            <w:r>
              <w:t xml:space="preserve">Every app user needs an appropriate Power Apps entitlement, such as Premium, per-app capacity or pay-as-you-go.</w:t>
            </w:r>
            <w:r/>
          </w:p>
        </w:tc>
        <w:tc>
          <w:tcPr>
            <w:tcBorders/>
            <w:tcW w:w="3168" w:type="dxa"/>
            <w:vAlign w:val="top"/>
          </w:tcPr>
          <w:p>
            <w:pPr>
              <w:pBdr/>
              <w:spacing/>
              <w:ind/>
              <w:rPr/>
            </w:pPr>
            <w:r>
              <w:t xml:space="preserve">Estimate the actual user population before choosing a licence model.</w:t>
            </w:r>
            <w:r/>
          </w:p>
        </w:tc>
      </w:tr>
      <w:tr>
        <w:trPr>
          <w:cantSplit/>
        </w:trPr>
        <w:tc>
          <w:tcPr>
            <w:tcBorders/>
            <w:tcW w:w="2592" w:type="dxa"/>
            <w:vAlign w:val="top"/>
          </w:tcPr>
          <w:p>
            <w:pPr>
              <w:pBdr/>
              <w:spacing/>
              <w:ind/>
              <w:rPr/>
            </w:pPr>
            <w:r>
              <w:t xml:space="preserve">Premium app used only by People and Culture</w:t>
            </w:r>
            <w:r/>
          </w:p>
        </w:tc>
        <w:tc>
          <w:tcPr>
            <w:tcBorders/>
            <w:tcW w:w="4608" w:type="dxa"/>
            <w:vAlign w:val="top"/>
          </w:tcPr>
          <w:p>
            <w:pPr>
              <w:pBdr/>
              <w:spacing/>
              <w:ind/>
              <w:rPr/>
            </w:pPr>
            <w:r>
              <w:t xml:space="preserve">A small, known user group can make per-user, per-app or pay-as-you-go licensing predictable.</w:t>
            </w:r>
            <w:r/>
          </w:p>
        </w:tc>
        <w:tc>
          <w:tcPr>
            <w:tcBorders/>
            <w:tcW w:w="3168" w:type="dxa"/>
            <w:vAlign w:val="top"/>
          </w:tcPr>
          <w:p>
            <w:pPr>
              <w:pBdr/>
              <w:spacing/>
              <w:ind/>
              <w:rPr/>
            </w:pPr>
            <w:r>
              <w:t xml:space="preserve">Use a P&amp;C security group and reconcile access against licence consumption.</w:t>
            </w:r>
            <w:r/>
          </w:p>
        </w:tc>
      </w:tr>
      <w:tr>
        <w:trPr>
          <w:cantSplit/>
        </w:trPr>
        <w:tc>
          <w:tcPr>
            <w:tcBorders/>
            <w:tcW w:w="2592" w:type="dxa"/>
            <w:vAlign w:val="top"/>
          </w:tcPr>
          <w:p>
            <w:pPr>
              <w:pBdr/>
              <w:spacing/>
              <w:ind/>
              <w:rPr/>
            </w:pPr>
            <w:r>
              <w:t xml:space="preserve">Premium app or premium instant flow used by the whole of NGA</w:t>
            </w:r>
            <w:r/>
          </w:p>
        </w:tc>
        <w:tc>
          <w:tcPr>
            <w:tcBorders/>
            <w:tcW w:w="4608" w:type="dxa"/>
            <w:vAlign w:val="top"/>
          </w:tcPr>
          <w:p>
            <w:pPr>
              <w:pBdr/>
              <w:spacing/>
              <w:ind/>
              <w:rPr/>
            </w:pPr>
            <w:r>
              <w:t xml:space="preserve">Licensing every user can be expensive; Process capacity can be more suitable for enterprise automation, while app users still need Power Apps licensing where applicable.</w:t>
            </w:r>
            <w:r/>
          </w:p>
        </w:tc>
        <w:tc>
          <w:tcPr>
            <w:tcBorders/>
            <w:tcW w:w="3168" w:type="dxa"/>
            <w:vAlign w:val="top"/>
          </w:tcPr>
          <w:p>
            <w:pPr>
              <w:pBdr/>
              <w:spacing/>
              <w:ind/>
              <w:rPr/>
            </w:pPr>
            <w:r>
              <w:t xml:space="preserve">Model the full employee population and usage pattern before committing to the design.</w:t>
            </w:r>
            <w:r/>
          </w:p>
        </w:tc>
      </w:tr>
      <w:tr>
        <w:trPr>
          <w:cantSplit/>
        </w:trPr>
        <w:tc>
          <w:tcPr>
            <w:tcBorders/>
            <w:tcW w:w="2592" w:type="dxa"/>
            <w:vAlign w:val="top"/>
          </w:tcPr>
          <w:p>
            <w:pPr>
              <w:pBdr/>
              <w:spacing/>
              <w:ind/>
              <w:rPr/>
            </w:pPr>
            <w:r>
              <w:t xml:space="preserve">Managed Environment containing apps or flows</w:t>
            </w:r>
            <w:r/>
          </w:p>
        </w:tc>
        <w:tc>
          <w:tcPr>
            <w:tcBorders/>
            <w:tcW w:w="4608" w:type="dxa"/>
            <w:vAlign w:val="top"/>
          </w:tcPr>
          <w:p>
            <w:pPr>
              <w:pBdr/>
              <w:spacing/>
              <w:ind/>
              <w:rPr/>
            </w:pPr>
            <w:r>
              <w:t xml:space="preserve">Active usage requires qualifying standalone licences or capacity/pay-as-you-go coverage, even when the underlying app or flow would otherwise appear simple.</w:t>
            </w:r>
            <w:r/>
          </w:p>
        </w:tc>
        <w:tc>
          <w:tcPr>
            <w:tcBorders/>
            <w:tcW w:w="3168" w:type="dxa"/>
            <w:vAlign w:val="top"/>
          </w:tcPr>
          <w:p>
            <w:pPr>
              <w:pBdr/>
              <w:spacing/>
              <w:ind/>
              <w:rPr/>
            </w:pPr>
            <w:r>
              <w:t xml:space="preserve">Do not enable Managed Environments until the end-user licensing model is approved.</w:t>
            </w:r>
            <w:r/>
          </w:p>
        </w:tc>
      </w:tr>
      <w:tr>
        <w:trPr>
          <w:cantSplit/>
        </w:trPr>
        <w:tc>
          <w:tcPr>
            <w:tcBorders/>
            <w:tcW w:w="2592" w:type="dxa"/>
            <w:vAlign w:val="top"/>
          </w:tcPr>
          <w:p>
            <w:pPr>
              <w:pBdr/>
              <w:spacing/>
              <w:ind/>
              <w:rPr/>
            </w:pPr>
            <w:r>
              <w:t xml:space="preserve">Process-licensed flow deployed into Dev, UAT and Prod</w:t>
            </w:r>
            <w:r/>
          </w:p>
        </w:tc>
        <w:tc>
          <w:tcPr>
            <w:tcBorders/>
            <w:tcW w:w="4608" w:type="dxa"/>
            <w:vAlign w:val="top"/>
          </w:tcPr>
          <w:p>
            <w:pPr>
              <w:pBdr/>
              <w:spacing/>
              <w:ind/>
              <w:rPr/>
            </w:pPr>
            <w:r>
              <w:t xml:space="preserve">Each imported instance is a separate flow in a separate environment. Process capacity is environment-specific.</w:t>
            </w:r>
            <w:r/>
          </w:p>
        </w:tc>
        <w:tc>
          <w:tcPr>
            <w:tcBorders/>
            <w:tcW w:w="3168" w:type="dxa"/>
            <w:vAlign w:val="top"/>
          </w:tcPr>
          <w:p>
            <w:pPr>
              <w:pBdr/>
              <w:spacing/>
              <w:ind/>
              <w:rPr/>
            </w:pPr>
            <w:r>
              <w:t xml:space="preserve">Budget non-production capacity or decide where the flow genuinely needs to run during testing.</w:t>
            </w:r>
            <w:r/>
          </w:p>
        </w:tc>
      </w:tr>
    </w:tbl>
    <w:p>
      <w:pPr>
        <w:pBdr/>
        <w:spacing w:after="80"/>
        <w:ind/>
        <w:rPr/>
      </w:pPr>
      <w:r>
        <w:rPr>
          <w:b/>
        </w:rPr>
        <w:t xml:space="preserve">Licensing warning: </w:t>
      </w:r>
      <w:r>
        <w:t xml:space="preserve">Microsoft licensing changes regularly and depends on contract terms. The project should produce a written licensing decision for each production solution and validate it with NGA's licensing provider or Microsoft before go-live.</w:t>
      </w:r>
      <w:r/>
    </w:p>
    <w:p>
      <w:pPr>
        <w:pStyle w:val="704"/>
        <w:keepNext w:val="true"/>
        <w:pBdr/>
        <w:spacing w:after="80" w:before="200"/>
        <w:ind/>
        <w:rPr/>
      </w:pPr>
      <w:r>
        <w:t xml:space="preserve">11.5 Managed Environments are useful but not automatically free</w:t>
      </w:r>
      <w:r/>
    </w:p>
    <w:p>
      <w:pPr>
        <w:pBdr/>
        <w:spacing w:after="80"/>
        <w:ind/>
        <w:rPr/>
      </w:pPr>
      <w:r>
        <w:t xml:space="preserve">Managed Environments pro</w:t>
      </w:r>
      <w:r>
        <w:t xml:space="preserve">vide sharing controls, insights, pipelines, solution checking, environment groups and other governance features. They are valuable, but activating them changes the licensing requirement for active users unless qualifying licences or capacity are available.</w:t>
      </w:r>
      <w:r/>
    </w:p>
    <w:p>
      <w:pPr>
        <w:pStyle w:val="733"/>
        <w:pBdr/>
        <w:spacing/>
        <w:ind/>
        <w:rPr/>
      </w:pPr>
      <w:r>
        <w:t xml:space="preserve">Decide which environments genuinely need Managed Environment capabilities.</w:t>
      </w:r>
      <w:r/>
    </w:p>
    <w:p>
      <w:pPr>
        <w:pStyle w:val="733"/>
        <w:pBdr/>
        <w:spacing/>
        <w:ind/>
        <w:rPr/>
      </w:pPr>
      <w:r>
        <w:t xml:space="preserve">Confirm the licence or pay-as-you-go coverage before enabling the feature.</w:t>
      </w:r>
      <w:r/>
    </w:p>
    <w:p>
      <w:pPr>
        <w:pStyle w:val="733"/>
        <w:pBdr/>
        <w:spacing/>
        <w:ind/>
        <w:rPr/>
      </w:pPr>
      <w:r>
        <w:t xml:space="preserve">Do not assume that an app using only standard connectors remains cost-free for users simply because the maker did not use a premium connector.</w:t>
      </w:r>
      <w:r/>
    </w:p>
    <w:p>
      <w:pPr>
        <w:pStyle w:val="733"/>
        <w:pBdr/>
        <w:spacing/>
        <w:ind/>
        <w:rPr/>
      </w:pPr>
      <w:r>
        <w:t xml:space="preserve">Use environment groups only where Managed Environments and their licensing have been approved.</w:t>
      </w:r>
      <w:r/>
    </w:p>
    <w:p>
      <w:pPr>
        <w:pStyle w:val="704"/>
        <w:keepNext w:val="true"/>
        <w:pBdr/>
        <w:spacing w:after="80" w:before="200"/>
        <w:ind/>
        <w:rPr/>
      </w:pPr>
      <w:r>
        <w:t xml:space="preserve">11.6 Connections are operational dependencies, not configuration details</w:t>
      </w:r>
      <w:r/>
    </w:p>
    <w:p>
      <w:pPr>
        <w:pBdr/>
        <w:spacing w:after="80"/>
        <w:ind/>
        <w:rPr/>
      </w:pPr>
      <w:r>
        <w:t xml:space="preserve">Apps and flows often fail because a connection belongs to one person, a token expires, a mailbox changes or a production connection is not correctly remapped during deployment.</w:t>
      </w:r>
      <w:r/>
    </w:p>
    <w:p>
      <w:pPr>
        <w:pStyle w:val="733"/>
        <w:pBdr/>
        <w:spacing/>
        <w:ind/>
        <w:rPr/>
      </w:pPr>
      <w:r>
        <w:t xml:space="preserve">Use solution-aware flows, connection references and environment variables.</w:t>
      </w:r>
      <w:r/>
    </w:p>
    <w:p>
      <w:pPr>
        <w:pStyle w:val="733"/>
        <w:pBdr/>
        <w:spacing/>
        <w:ind/>
        <w:rPr/>
      </w:pPr>
      <w:r>
        <w:t xml:space="preserve">Create production connections under the approved production identity, not the developer's personal account.</w:t>
      </w:r>
      <w:r/>
    </w:p>
    <w:p>
      <w:pPr>
        <w:pStyle w:val="733"/>
        <w:pBdr/>
        <w:spacing/>
        <w:ind/>
        <w:rPr/>
      </w:pPr>
      <w:r>
        <w:t xml:space="preserve">Use separate Development, UAT and Production connections and data locations.</w:t>
      </w:r>
      <w:r/>
    </w:p>
    <w:p>
      <w:pPr>
        <w:pStyle w:val="733"/>
        <w:pBdr/>
        <w:spacing/>
        <w:ind/>
        <w:rPr/>
      </w:pPr>
      <w:r>
        <w:t xml:space="preserve">Record who can reauthenticate each connection and how an outage is escalated.</w:t>
      </w:r>
      <w:r/>
    </w:p>
    <w:p>
      <w:pPr>
        <w:pStyle w:val="733"/>
        <w:pBdr/>
        <w:spacing/>
        <w:ind/>
        <w:rPr/>
      </w:pPr>
      <w:r>
        <w:t xml:space="preserve">Send critical failure alerts to a monitored shared mailbox or Teams channel, not only to one owner.</w:t>
      </w:r>
      <w:r/>
    </w:p>
    <w:p>
      <w:pPr>
        <w:pStyle w:val="704"/>
        <w:keepNext w:val="true"/>
        <w:pBdr/>
        <w:spacing w:after="80" w:before="200"/>
        <w:ind/>
        <w:rPr/>
      </w:pPr>
      <w:r>
        <w:t xml:space="preserve">11.7 Security groups do not secure the underlying data by themselves</w:t>
      </w:r>
      <w:r/>
    </w:p>
    <w:p>
      <w:pPr>
        <w:pBdr/>
        <w:spacing w:after="80"/>
        <w:ind/>
        <w:rPr/>
      </w:pPr>
      <w:r>
        <w:t xml:space="preserve">Adding a user to an environment or app security group only grants one layer of access. Dataverse security roles, SharePoint permissions, SQL permissions, connector identities and the app's own logic determine what data the user can actually read or change.</w:t>
      </w:r>
      <w:r/>
    </w:p>
    <w:p>
      <w:pPr>
        <w:pStyle w:val="733"/>
        <w:pBdr/>
        <w:spacing/>
        <w:ind/>
        <w:rPr/>
      </w:pPr>
      <w:r>
        <w:t xml:space="preserve">Design environment membership, app sharing and data-source permissions together.</w:t>
      </w:r>
      <w:r/>
    </w:p>
    <w:p>
      <w:pPr>
        <w:pStyle w:val="733"/>
        <w:pBdr/>
        <w:spacing/>
        <w:ind/>
        <w:rPr/>
      </w:pPr>
      <w:r>
        <w:t xml:space="preserve">For Dataverse, assign least-privilege security roles rather than broad maker or administrator roles.</w:t>
      </w:r>
      <w:r/>
    </w:p>
    <w:p>
      <w:pPr>
        <w:pStyle w:val="733"/>
        <w:pBdr/>
        <w:spacing/>
        <w:ind/>
        <w:rPr/>
      </w:pPr>
      <w:r>
        <w:t xml:space="preserve">For SharePoint-backed apps, test direct access to the lists and libraries as well as access through the app.</w:t>
      </w:r>
      <w:r/>
    </w:p>
    <w:p>
      <w:pPr>
        <w:pStyle w:val="733"/>
        <w:pBdr/>
        <w:spacing/>
        <w:ind/>
        <w:rPr/>
      </w:pPr>
      <w:r>
        <w:t xml:space="preserve">Do not use an app as a cosmetic front door over a data source that every user can browse directly unless that is intended.</w:t>
      </w:r>
      <w:r/>
    </w:p>
    <w:p>
      <w:pPr>
        <w:pStyle w:val="704"/>
        <w:keepNext w:val="true"/>
        <w:pBdr/>
        <w:spacing w:after="80" w:before="200"/>
        <w:ind/>
        <w:rPr/>
      </w:pPr>
      <w:r>
        <w:t xml:space="preserve">11.8 DLP does not cover every data-exfiltration path</w:t>
      </w:r>
      <w:r/>
    </w:p>
    <w:p>
      <w:pPr>
        <w:pBdr/>
        <w:spacing w:after="80"/>
        <w:ind/>
        <w:rPr/>
      </w:pPr>
      <w:r>
        <w:t xml:space="preserve">Data policies control connector combinations, but governance must also consider custom connectors, HTTP actions, external tenants, guest users, Azure integrations and the identity used by each connection.</w:t>
      </w:r>
      <w:r/>
    </w:p>
    <w:p>
      <w:pPr>
        <w:pStyle w:val="733"/>
        <w:pBdr/>
        <w:spacing/>
        <w:ind/>
        <w:rPr/>
      </w:pPr>
      <w:r>
        <w:t xml:space="preserve">Set a default treatment for new connectors so newly released services do not become automatically usable without review.</w:t>
      </w:r>
      <w:r/>
    </w:p>
    <w:p>
      <w:pPr>
        <w:pStyle w:val="733"/>
        <w:pBdr/>
        <w:spacing/>
        <w:ind/>
        <w:rPr/>
      </w:pPr>
      <w:r>
        <w:t xml:space="preserve">Assess Power Platform tenant isolation where cross-tenant Microsoft Entra connections are not required.</w:t>
      </w:r>
      <w:r/>
    </w:p>
    <w:p>
      <w:pPr>
        <w:pStyle w:val="733"/>
        <w:pBdr/>
        <w:spacing/>
        <w:ind/>
        <w:rPr/>
      </w:pPr>
      <w:r>
        <w:t xml:space="preserve">Restrict guest access in sensitive environments such as People and Culture unless a documented use case requires it.</w:t>
      </w:r>
      <w:r/>
    </w:p>
    <w:p>
      <w:pPr>
        <w:pStyle w:val="733"/>
        <w:pBdr/>
        <w:spacing/>
        <w:ind/>
        <w:rPr/>
      </w:pPr>
      <w:r>
        <w:t xml:space="preserve">Review custom connectors, HTTP endpoints and Azure services through the same security process as any other integration.</w:t>
      </w:r>
      <w:r/>
    </w:p>
    <w:p>
      <w:pPr>
        <w:pStyle w:val="733"/>
        <w:pBdr/>
        <w:spacing/>
        <w:ind/>
        <w:rPr/>
      </w:pPr>
      <w:r>
        <w:t xml:space="preserve">Test DLP changes because enforcement can affect existing connections and may not be immediate.</w:t>
      </w:r>
      <w:r/>
    </w:p>
    <w:p>
      <w:pPr>
        <w:pStyle w:val="704"/>
        <w:keepNext w:val="true"/>
        <w:pBdr/>
        <w:spacing w:after="80" w:before="200"/>
        <w:ind/>
        <w:rPr/>
      </w:pPr>
      <w:r>
        <w:t xml:space="preserve">11.9 ALM catches: hard-coded values, unmanaged production changes and missing dependencies</w:t>
      </w:r>
      <w:r/>
    </w:p>
    <w:p>
      <w:pPr>
        <w:pBdr/>
        <w:spacing w:after="80"/>
        <w:ind/>
        <w:rPr/>
      </w:pPr>
      <w:r>
        <w:t xml:space="preserve">A solution that works in Development can still fail in UAT or Production if site URLs, list IDs, mailbox addresses, connection references, environment variables or child-flow dependencies are not packaged correctly.</w:t>
      </w:r>
      <w:r/>
    </w:p>
    <w:p>
      <w:pPr>
        <w:pStyle w:val="733"/>
        <w:pBdr/>
        <w:spacing/>
        <w:ind/>
        <w:rPr/>
      </w:pPr>
      <w:r>
        <w:t xml:space="preserve">Build all supported apps and flows inside solutions from the beginning.</w:t>
      </w:r>
      <w:r/>
    </w:p>
    <w:p>
      <w:pPr>
        <w:pStyle w:val="733"/>
        <w:pBdr/>
        <w:spacing/>
        <w:ind/>
        <w:rPr/>
      </w:pPr>
      <w:r>
        <w:t xml:space="preserve">Use environment variables for environment-specific URLs, IDs and configuration.</w:t>
      </w:r>
      <w:r/>
    </w:p>
    <w:p>
      <w:pPr>
        <w:pStyle w:val="733"/>
        <w:pBdr/>
        <w:spacing/>
        <w:ind/>
        <w:rPr/>
      </w:pPr>
      <w:r>
        <w:t xml:space="preserve">Use managed solutions in UAT and Production and prevent routine direct edits there.</w:t>
      </w:r>
      <w:r/>
    </w:p>
    <w:p>
      <w:pPr>
        <w:pStyle w:val="733"/>
        <w:pBdr/>
        <w:spacing/>
        <w:ind/>
        <w:rPr/>
      </w:pPr>
      <w:r>
        <w:t xml:space="preserve">Test the deployment itself, not only the app features.</w:t>
      </w:r>
      <w:r/>
    </w:p>
    <w:p>
      <w:pPr>
        <w:pStyle w:val="733"/>
        <w:pBdr/>
        <w:spacing/>
        <w:ind/>
        <w:rPr/>
      </w:pPr>
      <w:r>
        <w:t xml:space="preserve">Keep source-controlled solution exports and deployment settings where practical.</w:t>
      </w:r>
      <w:r/>
    </w:p>
    <w:p>
      <w:pPr>
        <w:pStyle w:val="733"/>
        <w:pBdr/>
        <w:spacing/>
        <w:ind/>
        <w:rPr/>
      </w:pPr>
      <w:r>
        <w:t xml:space="preserve">Define rollback and emergency-change procedures before the first production deployment.</w:t>
      </w:r>
      <w:r/>
    </w:p>
    <w:p>
      <w:pPr>
        <w:pStyle w:val="704"/>
        <w:keepNext w:val="true"/>
        <w:pBdr/>
        <w:spacing w:after="80" w:before="200"/>
        <w:ind/>
        <w:rPr/>
      </w:pPr>
      <w:r>
        <w:t xml:space="preserve">11.10 On-premises gateways need to be treated as production infrastructure</w:t>
      </w:r>
      <w:r/>
    </w:p>
    <w:p>
      <w:pPr>
        <w:pBdr/>
        <w:spacing w:after="80"/>
        <w:ind/>
        <w:rPr/>
      </w:pPr>
      <w:r>
        <w:t xml:space="preserve">If a solution connects to on-premises SQL, file services or other internal systems, the gateway becomes part of the application availability chain.</w:t>
      </w:r>
      <w:r/>
    </w:p>
    <w:p>
      <w:pPr>
        <w:pStyle w:val="733"/>
        <w:pBdr/>
        <w:spacing/>
        <w:ind/>
        <w:rPr/>
      </w:pPr>
      <w:r>
        <w:t xml:space="preserve">Use standard gateway mode and consider a gateway cluster for high availability.</w:t>
      </w:r>
      <w:r/>
    </w:p>
    <w:p>
      <w:pPr>
        <w:pStyle w:val="733"/>
        <w:pBdr/>
        <w:spacing/>
        <w:ind/>
        <w:rPr/>
      </w:pPr>
      <w:r>
        <w:t xml:space="preserve">Have multiple gateway administrators so a leaver does not strand the service.</w:t>
      </w:r>
      <w:r/>
    </w:p>
    <w:p>
      <w:pPr>
        <w:pStyle w:val="733"/>
        <w:pBdr/>
        <w:spacing/>
        <w:ind/>
        <w:rPr/>
      </w:pPr>
      <w:r>
        <w:t xml:space="preserve">Document the gateway service identity, data-source credentials, recovery key, server ownership, patching and monitoring.</w:t>
      </w:r>
      <w:r/>
    </w:p>
    <w:p>
      <w:pPr>
        <w:pStyle w:val="733"/>
        <w:pBdr/>
        <w:spacing/>
        <w:ind/>
        <w:rPr/>
      </w:pPr>
      <w:r>
        <w:t xml:space="preserve">Confirm region compatibility between the gateway and Power Platform environment.</w:t>
      </w:r>
      <w:r/>
    </w:p>
    <w:p>
      <w:pPr>
        <w:pStyle w:val="733"/>
        <w:pBdr/>
        <w:spacing/>
        <w:ind/>
        <w:rPr/>
      </w:pPr>
      <w:r>
        <w:t xml:space="preserve">Treat gateway introduction as an Infrastructure scope item that can extend the project schedule.</w:t>
      </w:r>
      <w:r/>
    </w:p>
    <w:p>
      <w:pPr>
        <w:pStyle w:val="704"/>
        <w:keepNext w:val="true"/>
        <w:pBdr/>
        <w:spacing w:after="80" w:before="200"/>
        <w:ind/>
        <w:rPr/>
      </w:pPr>
      <w:r>
        <w:t xml:space="preserve">11.11 Flow limits, throttling and silent failures</w:t>
      </w:r>
      <w:r/>
    </w:p>
    <w:p>
      <w:pPr>
        <w:pBdr/>
        <w:spacing w:after="80"/>
        <w:ind/>
        <w:rPr/>
      </w:pPr>
      <w:r>
        <w:t xml:space="preserve">A flow can be logically correct and still fail under real volume because of connector throttling, Power Platform request limits, concurrency, large loops or an expired connection.</w:t>
      </w:r>
      <w:r/>
    </w:p>
    <w:p>
      <w:pPr>
        <w:pStyle w:val="733"/>
        <w:pBdr/>
        <w:spacing/>
        <w:ind/>
        <w:rPr/>
      </w:pPr>
      <w:r>
        <w:t xml:space="preserve">Estimate transaction volume and Power Platform requests for company-wide processes.</w:t>
      </w:r>
      <w:r/>
    </w:p>
    <w:p>
      <w:pPr>
        <w:pStyle w:val="733"/>
        <w:pBdr/>
        <w:spacing/>
        <w:ind/>
        <w:rPr/>
      </w:pPr>
      <w:r>
        <w:t xml:space="preserve">Use the correct licence capacity for high-volume automations.</w:t>
      </w:r>
      <w:r/>
    </w:p>
    <w:p>
      <w:pPr>
        <w:pStyle w:val="733"/>
        <w:pBdr/>
        <w:spacing/>
        <w:ind/>
        <w:rPr/>
      </w:pPr>
      <w:r>
        <w:t xml:space="preserve">Monitor all failures through the Power Platform admin centre; not every failure generates a per-run email.</w:t>
      </w:r>
      <w:r/>
    </w:p>
    <w:p>
      <w:pPr>
        <w:pStyle w:val="733"/>
        <w:pBdr/>
        <w:spacing/>
        <w:ind/>
        <w:rPr/>
      </w:pPr>
      <w:r>
        <w:t xml:space="preserve">Implement explicit failure handling, retries, correlation identifiers and alerting for critical flows.</w:t>
      </w:r>
      <w:r/>
    </w:p>
    <w:p>
      <w:pPr>
        <w:pStyle w:val="733"/>
        <w:pBdr/>
        <w:spacing/>
        <w:ind/>
        <w:rPr/>
      </w:pPr>
      <w:r>
        <w:t xml:space="preserve">Review run duration, queueing, throttling and connector-specific limits during UAT and hypercare.</w:t>
      </w:r>
      <w:r/>
    </w:p>
    <w:p>
      <w:pPr>
        <w:pStyle w:val="704"/>
        <w:keepNext w:val="true"/>
        <w:pBdr/>
        <w:spacing w:after="80" w:before="200"/>
        <w:ind/>
        <w:rPr/>
      </w:pPr>
      <w:r>
        <w:t xml:space="preserve">11.12 Run history and logs may contain confidential information</w:t>
      </w:r>
      <w:r/>
    </w:p>
    <w:p>
      <w:pPr>
        <w:pBdr/>
        <w:spacing w:after="80"/>
        <w:ind/>
        <w:rPr/>
      </w:pPr>
      <w:r>
        <w:t xml:space="preserve">Flow run history can expose names, email addresses, form answers, document metadata, employee information and connector responses to owners, co-owners and administrators.</w:t>
      </w:r>
      <w:r/>
    </w:p>
    <w:p>
      <w:pPr>
        <w:pStyle w:val="733"/>
        <w:pBdr/>
        <w:spacing/>
        <w:ind/>
        <w:rPr/>
      </w:pPr>
      <w:r>
        <w:t xml:space="preserve">Limit flow ownership and co-ownership to people with a genuine support need.</w:t>
      </w:r>
      <w:r/>
    </w:p>
    <w:p>
      <w:pPr>
        <w:pStyle w:val="733"/>
        <w:pBdr/>
        <w:spacing/>
        <w:ind/>
        <w:rPr/>
      </w:pPr>
      <w:r>
        <w:t xml:space="preserve">Avoid placing unnecessary confidential values in action inputs, outputs and error messages.</w:t>
      </w:r>
      <w:r/>
    </w:p>
    <w:p>
      <w:pPr>
        <w:pStyle w:val="733"/>
        <w:pBdr/>
        <w:spacing/>
        <w:ind/>
        <w:rPr/>
      </w:pPr>
      <w:r>
        <w:t xml:space="preserve">Define log retention, audit access and support procedures for sensitive processes.</w:t>
      </w:r>
      <w:r/>
    </w:p>
    <w:p>
      <w:pPr>
        <w:pStyle w:val="733"/>
        <w:pBdr/>
        <w:spacing/>
        <w:ind/>
        <w:rPr/>
      </w:pPr>
      <w:r>
        <w:t xml:space="preserve">For People and Culture solutions, include run-history visibility in the privacy and security review.</w:t>
      </w:r>
      <w:r/>
    </w:p>
    <w:p>
      <w:pPr>
        <w:pStyle w:val="704"/>
        <w:keepNext w:val="true"/>
        <w:pBdr/>
        <w:spacing w:after="80" w:before="200"/>
        <w:ind/>
        <w:rPr/>
      </w:pPr>
      <w:r>
        <w:t xml:space="preserve">11.13 Backup, restore and disaster recovery must include integrations</w:t>
      </w:r>
      <w:r/>
    </w:p>
    <w:p>
      <w:pPr>
        <w:pBdr/>
        <w:spacing w:after="80"/>
        <w:ind/>
        <w:rPr/>
      </w:pPr>
      <w:r>
        <w:t xml:space="preserve">Microsoft backs up Dataverse envir</w:t>
      </w:r>
      <w:r>
        <w:t xml:space="preserve">onments, but recovery is not simply pressing Restore. Connections may need to be recreated, solution flows can be disabled after restore, target environments need capacity, and external SharePoint, SQL, Azure or gateway dependencies must also be recovered.</w:t>
      </w:r>
      <w:r/>
    </w:p>
    <w:p>
      <w:pPr>
        <w:pStyle w:val="733"/>
        <w:pBdr/>
        <w:spacing/>
        <w:ind/>
        <w:rPr/>
      </w:pPr>
      <w:r>
        <w:t xml:space="preserve">Create manual backups before major production changes where supported.</w:t>
      </w:r>
      <w:r/>
    </w:p>
    <w:p>
      <w:pPr>
        <w:pStyle w:val="733"/>
        <w:pBdr/>
        <w:spacing/>
        <w:ind/>
        <w:rPr/>
      </w:pPr>
      <w:r>
        <w:t xml:space="preserve">Define recovery time and recovery point expectations for important solutions.</w:t>
      </w:r>
      <w:r/>
    </w:p>
    <w:p>
      <w:pPr>
        <w:pStyle w:val="733"/>
        <w:pBdr/>
        <w:spacing/>
        <w:ind/>
        <w:rPr/>
      </w:pPr>
      <w:r>
        <w:t xml:space="preserve">Document how connections, flows, gateways and external data sources are restored or reconnected.</w:t>
      </w:r>
      <w:r/>
    </w:p>
    <w:p>
      <w:pPr>
        <w:pStyle w:val="733"/>
        <w:pBdr/>
        <w:spacing/>
        <w:ind/>
        <w:rPr/>
      </w:pPr>
      <w:r>
        <w:t xml:space="preserve">Test a restore or recovery exercise rather than relying only on the existence of backups.</w:t>
      </w:r>
      <w:r/>
    </w:p>
    <w:p>
      <w:pPr>
        <w:pStyle w:val="733"/>
        <w:pBdr/>
        <w:spacing/>
        <w:ind/>
        <w:rPr/>
      </w:pPr>
      <w:r>
        <w:t xml:space="preserve">Retain solution packages and configuration outside the production environment.</w:t>
      </w:r>
      <w:r/>
    </w:p>
    <w:p>
      <w:pPr>
        <w:pStyle w:val="704"/>
        <w:keepNext w:val="true"/>
        <w:pBdr/>
        <w:spacing w:after="80" w:before="200"/>
        <w:ind/>
        <w:rPr/>
      </w:pPr>
      <w:r>
        <w:t xml:space="preserve">11.14 Ownership, review and retirement are ongoing work</w:t>
      </w:r>
      <w:r/>
    </w:p>
    <w:p>
      <w:pPr>
        <w:pBdr/>
        <w:spacing w:after="80"/>
        <w:ind/>
        <w:rPr/>
      </w:pPr>
      <w:r>
        <w:t xml:space="preserve">The first app is rarely the problem. The long-term risk comes from dozens of apps and flows with unclear owners, expired connections, unused licences and no review date.</w:t>
      </w:r>
      <w:r/>
    </w:p>
    <w:p>
      <w:pPr>
        <w:pStyle w:val="733"/>
        <w:pBdr/>
        <w:spacing/>
        <w:ind/>
        <w:rPr/>
      </w:pPr>
      <w:r>
        <w:t xml:space="preserve">Require a business owner, technical owner, support path, licence model and review date before production release.</w:t>
      </w:r>
      <w:r/>
    </w:p>
    <w:p>
      <w:pPr>
        <w:pStyle w:val="733"/>
        <w:pBdr/>
        <w:spacing/>
        <w:ind/>
        <w:rPr/>
      </w:pPr>
      <w:r>
        <w:t xml:space="preserve">Review ownerless, inactive, highly shared and failed resources on a recurring schedule.</w:t>
      </w:r>
      <w:r/>
    </w:p>
    <w:p>
      <w:pPr>
        <w:pStyle w:val="733"/>
        <w:pBdr/>
        <w:spacing/>
        <w:ind/>
        <w:rPr/>
      </w:pPr>
      <w:r>
        <w:t xml:space="preserve">Remove access and retire solutions that no longer have a business owner or valid purpose.</w:t>
      </w:r>
      <w:r/>
    </w:p>
    <w:p>
      <w:pPr>
        <w:pStyle w:val="733"/>
        <w:pBdr/>
        <w:spacing/>
        <w:ind/>
        <w:rPr/>
      </w:pPr>
      <w:r>
        <w:t xml:space="preserve">Transfer ownership formally when people change roles or leave.</w:t>
      </w:r>
      <w:r/>
    </w:p>
    <w:p>
      <w:pPr>
        <w:pStyle w:val="733"/>
        <w:pBdr/>
        <w:spacing/>
        <w:ind/>
        <w:rPr/>
      </w:pPr>
      <w:r>
        <w:t xml:space="preserve">Introduce the CoE Starter Kit later if the platform grows enough to justify its operational overhead.</w:t>
      </w:r>
      <w:r/>
    </w:p>
    <w:p>
      <w:pPr>
        <w:pStyle w:val="704"/>
        <w:keepNext w:val="true"/>
        <w:pBdr/>
        <w:spacing w:after="80" w:before="200"/>
        <w:ind/>
        <w:rPr/>
      </w:pPr>
      <w:r>
        <w:t xml:space="preserve">11.15 Keep the Application team involved from the start</w:t>
      </w:r>
      <w:r/>
    </w:p>
    <w:p>
      <w:pPr>
        <w:pBdr/>
        <w:spacing w:after="80"/>
        <w:ind/>
        <w:rPr/>
      </w:pPr>
      <w:r>
        <w:t xml:space="preserve">The Application team will own the service after project closure. If they only receive documentation at the end, they inherit decisions they did not make and systems they have not operated.</w:t>
      </w:r>
      <w:r/>
    </w:p>
    <w:p>
      <w:pPr>
        <w:pStyle w:val="733"/>
        <w:pBdr/>
        <w:spacing/>
        <w:ind/>
        <w:rPr/>
      </w:pPr>
      <w:r>
        <w:t xml:space="preserve">Include Application team representatives in environment, licensing, DLP, identity and support decisions.</w:t>
      </w:r>
      <w:r/>
    </w:p>
    <w:p>
      <w:pPr>
        <w:pStyle w:val="733"/>
        <w:pBdr/>
        <w:spacing/>
        <w:ind/>
        <w:rPr/>
      </w:pPr>
      <w:r>
        <w:t xml:space="preserve">Have them participate in at least one deployment, one incident simulation and one operational review.</w:t>
      </w:r>
      <w:r/>
    </w:p>
    <w:p>
      <w:pPr>
        <w:pStyle w:val="733"/>
        <w:pBdr/>
        <w:spacing/>
        <w:ind/>
        <w:rPr/>
      </w:pPr>
      <w:r>
        <w:t xml:space="preserve">Make operational acceptance a project gate, not an informal handover.</w:t>
      </w:r>
      <w:r/>
    </w:p>
    <w:p>
      <w:pPr>
        <w:pStyle w:val="703"/>
        <w:keepNext w:val="true"/>
        <w:pBdr/>
        <w:spacing w:after="80" w:before="200"/>
        <w:ind/>
        <w:rPr/>
      </w:pPr>
      <w:r>
        <w:rPr>
          <w:rFonts w:ascii="Calibri" w:hAnsi="Calibri"/>
        </w:rPr>
        <w:t xml:space="preserve">12. Definition of Implementation Complete</w:t>
      </w:r>
      <w:r/>
    </w:p>
    <w:p>
      <w:pPr>
        <w:pStyle w:val="733"/>
        <w:pBdr/>
        <w:spacing w:after="40"/>
        <w:ind/>
        <w:rPr/>
      </w:pPr>
      <w:r>
        <w:rPr>
          <w:rFonts w:ascii="Calibri" w:hAnsi="Calibri"/>
        </w:rPr>
        <w:t xml:space="preserve">Governance and architecture are approved.</w:t>
      </w:r>
      <w:r/>
    </w:p>
    <w:p>
      <w:pPr>
        <w:pStyle w:val="733"/>
        <w:pBdr/>
        <w:spacing w:after="40"/>
        <w:ind/>
        <w:rPr/>
      </w:pPr>
      <w:r>
        <w:rPr>
          <w:rFonts w:ascii="Calibri" w:hAnsi="Calibri"/>
        </w:rPr>
        <w:t xml:space="preserve">Azure billing is operational and cost controls are active.</w:t>
      </w:r>
      <w:r/>
    </w:p>
    <w:p>
      <w:pPr>
        <w:pStyle w:val="733"/>
        <w:pBdr/>
        <w:spacing w:after="40"/>
        <w:ind/>
        <w:rPr/>
      </w:pPr>
      <w:r>
        <w:rPr>
          <w:rFonts w:ascii="Calibri" w:hAnsi="Calibri"/>
        </w:rPr>
        <w:t xml:space="preserve">Required Entra groups and administrator roles exist.</w:t>
      </w:r>
      <w:r/>
    </w:p>
    <w:p>
      <w:pPr>
        <w:pStyle w:val="733"/>
        <w:pBdr/>
        <w:spacing w:after="40"/>
        <w:ind/>
        <w:rPr/>
      </w:pPr>
      <w:r>
        <w:rPr>
          <w:rFonts w:ascii="Calibri" w:hAnsi="Calibri"/>
        </w:rPr>
        <w:t xml:space="preserve">Default, Development, Test/UAT and Production environments are configured and secured.</w:t>
      </w:r>
      <w:r/>
    </w:p>
    <w:p>
      <w:pPr>
        <w:pStyle w:val="733"/>
        <w:pBdr/>
        <w:spacing w:after="40"/>
        <w:ind/>
        <w:rPr/>
      </w:pPr>
      <w:r>
        <w:rPr>
          <w:rFonts w:ascii="Calibri" w:hAnsi="Calibri"/>
        </w:rPr>
        <w:t xml:space="preserve">DLP and connector controls are approved, tested and operating.</w:t>
      </w:r>
      <w:r/>
    </w:p>
    <w:p>
      <w:pPr>
        <w:pStyle w:val="733"/>
        <w:pBdr/>
        <w:spacing w:after="40"/>
        <w:ind/>
        <w:rPr/>
      </w:pPr>
      <w:r>
        <w:rPr>
          <w:rFonts w:ascii="Calibri" w:hAnsi="Calibri"/>
        </w:rPr>
        <w:t xml:space="preserve">Licensing, capacity and premium request processes are documented.</w:t>
      </w:r>
      <w:r/>
    </w:p>
    <w:p>
      <w:pPr>
        <w:pStyle w:val="733"/>
        <w:pBdr/>
        <w:spacing w:after="40"/>
        <w:ind/>
        <w:rPr/>
      </w:pPr>
      <w:r>
        <w:rPr>
          <w:rFonts w:ascii="Calibri" w:hAnsi="Calibri"/>
        </w:rPr>
        <w:t xml:space="preserve">Access, change and development requests are routed through SNOW, except for citizen developers.</w:t>
      </w:r>
      <w:r/>
    </w:p>
    <w:p>
      <w:pPr>
        <w:pStyle w:val="733"/>
        <w:pBdr/>
        <w:spacing w:after="40"/>
        <w:ind/>
        <w:rPr/>
      </w:pPr>
      <w:r>
        <w:rPr>
          <w:rFonts w:ascii="Calibri" w:hAnsi="Calibri"/>
        </w:rPr>
        <w:t xml:space="preserve">The Development to Test/UAT to Production deployment process has been proven.</w:t>
      </w:r>
      <w:r/>
    </w:p>
    <w:p>
      <w:pPr>
        <w:pStyle w:val="733"/>
        <w:pBdr/>
        <w:spacing w:after="40"/>
        <w:ind/>
        <w:rPr/>
      </w:pPr>
      <w:r>
        <w:rPr>
          <w:rFonts w:ascii="Calibri" w:hAnsi="Calibri"/>
        </w:rPr>
        <w:t xml:space="preserve">One pilot application is live in Production with signed UAT.</w:t>
      </w:r>
      <w:r/>
    </w:p>
    <w:p>
      <w:pPr>
        <w:pStyle w:val="733"/>
        <w:pBdr/>
        <w:spacing w:after="40"/>
        <w:ind/>
        <w:rPr/>
      </w:pPr>
      <w:r>
        <w:rPr>
          <w:rFonts w:ascii="Calibri" w:hAnsi="Calibri"/>
        </w:rPr>
        <w:t xml:space="preserve">The Application team has administrator access, training and documentation, and is operating the platform.</w:t>
      </w:r>
      <w:r/>
    </w:p>
    <w:p>
      <w:pPr>
        <w:pStyle w:val="733"/>
        <w:pBdr/>
        <w:spacing w:after="40"/>
        <w:ind/>
        <w:rPr/>
      </w:pPr>
      <w:r>
        <w:rPr>
          <w:rFonts w:ascii="Calibri" w:hAnsi="Calibri"/>
        </w:rPr>
        <w:t xml:space="preserve">Support, monitoring, review and retirement processes are operational.</w:t>
      </w:r>
      <w:r/>
    </w:p>
    <w:p>
      <w:pPr>
        <w:pStyle w:val="733"/>
        <w:pBdr/>
        <w:spacing w:after="40"/>
        <w:ind/>
        <w:rPr/>
      </w:pPr>
      <w:r>
        <w:rPr>
          <w:rFonts w:ascii="Calibri" w:hAnsi="Calibri"/>
        </w:rPr>
        <w:t xml:space="preserve">No unresolved critical risk remains.</w:t>
      </w:r>
      <w:r/>
    </w:p>
    <w:p>
      <w:pPr>
        <w:pStyle w:val="733"/>
        <w:pBdr/>
        <w:spacing w:after="40"/>
        <w:ind/>
        <w:rPr/>
      </w:pPr>
      <w:r>
        <w:rPr>
          <w:rFonts w:ascii="Calibri" w:hAnsi="Calibri"/>
        </w:rPr>
        <w:t xml:space="preserve">The project is closed and future work is recorded in a Phase 2 backlog.</w:t>
      </w:r>
      <w:r/>
    </w:p>
    <w:p>
      <w:pPr>
        <w:pStyle w:val="703"/>
        <w:keepNext w:val="true"/>
        <w:pBdr/>
        <w:spacing w:after="80" w:before="200"/>
        <w:ind/>
        <w:rPr/>
      </w:pPr>
      <w:r>
        <w:rPr>
          <w:rFonts w:ascii="Calibri" w:hAnsi="Calibri"/>
        </w:rPr>
        <w:t xml:space="preserve">13. Recommended Management Statement</w:t>
      </w:r>
      <w:r/>
    </w:p>
    <w:p>
      <w:pPr>
        <w:pBdr/>
        <w:spacing w:after="80" w:before="120"/>
        <w:ind w:right="567" w:left="567"/>
        <w:rPr/>
      </w:pPr>
      <w:r>
        <w:rPr>
          <w:rFonts w:ascii="Calibri" w:hAnsi="Calibri"/>
          <w:i/>
        </w:rPr>
        <w:t xml:space="preserve">The Power Platform implementation is planned as a 17-week delivery using Joel at 65% allocation and Chris and Martin at </w:t>
      </w:r>
      <w:r>
        <w:rPr>
          <w:rFonts w:ascii="Calibri" w:hAnsi="Calibri"/>
          <w:i/>
        </w:rPr>
        <w:t xml:space="preserve">50% each. Cam's team will deliver the Azure subscription, billing and required Infrastructure components. The Application team will participate throughout the project and will continue operating the platform on an ongoing basis. Management should allow a 1</w:t>
      </w:r>
      <w:r>
        <w:rPr>
          <w:rFonts w:ascii="Calibri" w:hAnsi="Calibri"/>
          <w:i/>
        </w:rPr>
        <w:t xml:space="preserve">9-week committed window, with the final two weeks reserved for cross-team dependencies, approvals, UAT and unforeseen technical issues. The initial scope delivers the governed platform and one pilot application through Development, Test/UAT and Production.</w:t>
      </w:r>
      <w:r/>
    </w:p>
    <w:p>
      <w:pPr>
        <w:pStyle w:val="703"/>
        <w:keepNext w:val="true"/>
        <w:pBdr/>
        <w:spacing w:after="80" w:before="200"/>
        <w:ind/>
        <w:rPr/>
      </w:pPr>
      <w:r>
        <w:rPr>
          <w:rFonts w:ascii="Calibri" w:hAnsi="Calibri"/>
        </w:rPr>
        <w:t xml:space="preserve">14. Final Recommendation</w:t>
      </w:r>
      <w:r/>
    </w:p>
    <w:p>
      <w:pPr>
        <w:pBdr/>
        <w:spacing w:after="80" w:line="259" w:lineRule="auto"/>
        <w:ind/>
        <w:rPr/>
      </w:pPr>
      <w:r>
        <w:rPr>
          <w:rFonts w:ascii="Calibri" w:hAnsi="Calibri"/>
        </w:rPr>
        <w:t xml:space="preserve">Use 17 weeks as the working project sched</w:t>
      </w:r>
      <w:r>
        <w:rPr>
          <w:rFonts w:ascii="Calibri" w:hAnsi="Calibri"/>
        </w:rPr>
        <w:t xml:space="preserve">ule and 19 weeks as the management commitment. Do not load Weeks 18 and 19 with planned tasks. They exist to protect the committed date from the normal delays that occur across Infrastructure, CSOC, licensing, business testing and part-time delivery teams.</w:t>
      </w:r>
      <w:r/>
    </w:p>
    <w:p>
      <w:pPr>
        <w:pBdr/>
        <w:spacing w:after="80" w:line="259" w:lineRule="auto"/>
        <w:ind/>
        <w:rPr/>
      </w:pPr>
      <w:r>
        <w:rPr>
          <w:rFonts w:ascii="Calibri" w:hAnsi="Calibri"/>
        </w:rPr>
        <w:t xml:space="preserve">Any complex gateway, custom API, major network change, second production application or broad maker rollout should be treated as additional scope and re-estimated rather than absorbed silently into this implementation.</w:t>
      </w:r>
      <w:r/>
    </w:p>
    <w:p>
      <w:pPr>
        <w:pStyle w:val="703"/>
        <w:keepNext w:val="true"/>
        <w:pBdr/>
        <w:spacing w:after="80" w:before="200"/>
        <w:ind/>
        <w:rPr/>
      </w:pPr>
      <w:r>
        <w:t xml:space="preserve">15. Microsoft Reference Notes</w:t>
      </w:r>
      <w:r/>
    </w:p>
    <w:p>
      <w:pPr>
        <w:pBdr/>
        <w:spacing w:after="80"/>
        <w:ind/>
        <w:rPr/>
      </w:pPr>
      <w:r>
        <w:t xml:space="preserve">The following Microsoft sources informed the explanatory notes and common-pitfall section. Licensing should still be validated against NGA's current agreement before production approval.</w:t>
      </w:r>
      <w:r/>
    </w:p>
    <w:p>
      <w:pPr>
        <w:pStyle w:val="733"/>
        <w:pBdr/>
        <w:spacing/>
        <w:ind/>
        <w:rPr/>
      </w:pPr>
      <w:r/>
      <w:hyperlink r:id="rId11" w:tooltip="https://learn.microsoft.com/en-us/power-platform/guidance/adoption/environment-strategy" w:history="1">
        <w:r>
          <w:rPr>
            <w:color w:val="0563c1"/>
            <w:u w:val="single"/>
          </w:rPr>
          <w:t xml:space="preserve">Develop a tenant environment strategy to adopt Power Platform at scale</w:t>
        </w:r>
      </w:hyperlink>
      <w:r/>
      <w:r/>
    </w:p>
    <w:p>
      <w:pPr>
        <w:pStyle w:val="733"/>
        <w:pBdr/>
        <w:spacing/>
        <w:ind/>
        <w:rPr/>
      </w:pPr>
      <w:r/>
      <w:hyperlink r:id="rId12" w:tooltip="https://learn.microsoft.com/en-us/power-platform/alm/environment-strategy-alm" w:history="1">
        <w:r>
          <w:rPr>
            <w:color w:val="0563c1"/>
            <w:u w:val="single"/>
          </w:rPr>
          <w:t xml:space="preserve">ALM environment strategy considerations</w:t>
        </w:r>
      </w:hyperlink>
      <w:r/>
      <w:r/>
    </w:p>
    <w:p>
      <w:pPr>
        <w:pStyle w:val="733"/>
        <w:pBdr/>
        <w:spacing/>
        <w:ind/>
        <w:rPr/>
      </w:pPr>
      <w:r/>
      <w:hyperlink r:id="rId13" w:tooltip="https://learn.microsoft.com/en-us/power-platform/admin/environments-overview" w:history="1">
        <w:r>
          <w:rPr>
            <w:color w:val="0563c1"/>
            <w:u w:val="single"/>
          </w:rPr>
          <w:t xml:space="preserve">Power Platform environments overview</w:t>
        </w:r>
      </w:hyperlink>
      <w:r/>
      <w:r/>
    </w:p>
    <w:p>
      <w:pPr>
        <w:pStyle w:val="733"/>
        <w:pBdr/>
        <w:spacing/>
        <w:ind/>
        <w:rPr/>
      </w:pPr>
      <w:r/>
      <w:hyperlink r:id="rId14" w:tooltip="https://learn.microsoft.com/en-us/power-platform/guidance/adoption/manage-default-environment" w:history="1">
        <w:r>
          <w:rPr>
            <w:color w:val="0563c1"/>
            <w:u w:val="single"/>
          </w:rPr>
          <w:t xml:space="preserve">Manage and govern the default Power Platform environment</w:t>
        </w:r>
      </w:hyperlink>
      <w:r/>
      <w:r/>
    </w:p>
    <w:p>
      <w:pPr>
        <w:pStyle w:val="733"/>
        <w:pBdr/>
        <w:spacing/>
        <w:ind/>
        <w:rPr/>
      </w:pPr>
      <w:r/>
      <w:hyperlink r:id="rId15" w:tooltip="https://learn.microsoft.com/en-us/power-platform/admin/control-user-access" w:history="1">
        <w:r>
          <w:rPr>
            <w:color w:val="0563c1"/>
            <w:u w:val="single"/>
          </w:rPr>
          <w:t xml:space="preserve">Control user access to environments with security groups and licenses</w:t>
        </w:r>
      </w:hyperlink>
      <w:r/>
      <w:r/>
    </w:p>
    <w:p>
      <w:pPr>
        <w:pStyle w:val="733"/>
        <w:pBdr/>
        <w:spacing/>
        <w:ind/>
        <w:rPr/>
      </w:pPr>
      <w:r/>
      <w:hyperlink r:id="rId16" w:tooltip="https://learn.microsoft.com/en-us/power-platform/admin/environment-groups" w:history="1">
        <w:r>
          <w:rPr>
            <w:color w:val="0563c1"/>
            <w:u w:val="single"/>
          </w:rPr>
          <w:t xml:space="preserve">Environment groups</w:t>
        </w:r>
      </w:hyperlink>
      <w:r/>
      <w:r/>
    </w:p>
    <w:p>
      <w:pPr>
        <w:pStyle w:val="733"/>
        <w:pBdr/>
        <w:spacing/>
        <w:ind/>
        <w:rPr/>
      </w:pPr>
      <w:r/>
      <w:hyperlink r:id="rId17" w:tooltip="https://learn.microsoft.com/en-us/power-platform/admin/managed-environment-licensing" w:history="1">
        <w:r>
          <w:rPr>
            <w:color w:val="0563c1"/>
            <w:u w:val="single"/>
          </w:rPr>
          <w:t xml:space="preserve">Managed Environments licensing</w:t>
        </w:r>
      </w:hyperlink>
      <w:r/>
      <w:r/>
    </w:p>
    <w:p>
      <w:pPr>
        <w:pStyle w:val="733"/>
        <w:pBdr/>
        <w:spacing/>
        <w:ind/>
        <w:rPr/>
      </w:pPr>
      <w:r/>
      <w:hyperlink r:id="rId18" w:tooltip="https://learn.microsoft.com/en-us/power-platform/admin/power-automate-licensing/faqs" w:history="1">
        <w:r>
          <w:rPr>
            <w:color w:val="0563c1"/>
            <w:u w:val="single"/>
          </w:rPr>
          <w:t xml:space="preserve">Power Automate licensing FAQ</w:t>
        </w:r>
      </w:hyperlink>
      <w:r/>
      <w:r/>
    </w:p>
    <w:p>
      <w:pPr>
        <w:pStyle w:val="733"/>
        <w:pBdr/>
        <w:spacing/>
        <w:ind/>
        <w:rPr/>
      </w:pPr>
      <w:r/>
      <w:hyperlink r:id="rId19" w:tooltip="https://learn.microsoft.com/en-us/power-automate/guidance/coding-guidelines/understand-access-to-flows" w:history="1">
        <w:r>
          <w:rPr>
            <w:color w:val="0563c1"/>
            <w:u w:val="single"/>
          </w:rPr>
          <w:t xml:space="preserve">Understand flow ownership and access</w:t>
        </w:r>
      </w:hyperlink>
      <w:r/>
      <w:r/>
    </w:p>
    <w:p>
      <w:pPr>
        <w:pStyle w:val="733"/>
        <w:pBdr/>
        <w:spacing/>
        <w:ind/>
        <w:rPr/>
      </w:pPr>
      <w:r/>
      <w:hyperlink r:id="rId20" w:tooltip="https://learn.microsoft.com/en-us/power-automate/guidance/coding-guidelines/understand-benefits-solution-aware-flows" w:history="1">
        <w:r>
          <w:rPr>
            <w:color w:val="0563c1"/>
            <w:u w:val="single"/>
          </w:rPr>
          <w:t xml:space="preserve">Understand the benefits of solution-aware cloud flows</w:t>
        </w:r>
      </w:hyperlink>
      <w:r/>
      <w:r/>
    </w:p>
    <w:p>
      <w:pPr>
        <w:pStyle w:val="733"/>
        <w:pBdr/>
        <w:spacing/>
        <w:ind/>
        <w:rPr/>
      </w:pPr>
      <w:r/>
      <w:hyperlink r:id="rId21" w:tooltip="https://learn.microsoft.com/en-us/power-apps/maker/data-platform/environmentvariables" w:history="1">
        <w:r>
          <w:rPr>
            <w:color w:val="0563c1"/>
            <w:u w:val="single"/>
          </w:rPr>
          <w:t xml:space="preserve">Environment variables for Power Platform</w:t>
        </w:r>
      </w:hyperlink>
      <w:r/>
      <w:r/>
    </w:p>
    <w:p>
      <w:pPr>
        <w:pStyle w:val="733"/>
        <w:pBdr/>
        <w:spacing/>
        <w:ind/>
        <w:rPr/>
      </w:pPr>
      <w:r/>
      <w:hyperlink r:id="rId22" w:tooltip="https://learn.microsoft.com/en-us/power-platform/admin/prevent-data-loss" w:history="1">
        <w:r>
          <w:rPr>
            <w:color w:val="0563c1"/>
            <w:u w:val="single"/>
          </w:rPr>
          <w:t xml:space="preserve">Manage data policies</w:t>
        </w:r>
      </w:hyperlink>
      <w:r/>
      <w:r/>
    </w:p>
    <w:p>
      <w:pPr>
        <w:pStyle w:val="733"/>
        <w:pBdr/>
        <w:spacing/>
        <w:ind/>
        <w:rPr/>
      </w:pPr>
      <w:r/>
      <w:hyperlink r:id="rId23" w:tooltip="https://learn.microsoft.com/en-us/power-platform/admin/cross-tenant-restrictions" w:history="1">
        <w:r>
          <w:rPr>
            <w:color w:val="0563c1"/>
            <w:u w:val="single"/>
          </w:rPr>
          <w:t xml:space="preserve">Restrict cross-tenant inbound and outbound access</w:t>
        </w:r>
      </w:hyperlink>
      <w:r/>
      <w:r/>
    </w:p>
    <w:p>
      <w:pPr>
        <w:pStyle w:val="733"/>
        <w:pBdr/>
        <w:spacing/>
        <w:ind/>
        <w:rPr/>
      </w:pPr>
      <w:r/>
      <w:hyperlink r:id="rId24" w:tooltip="https://learn.microsoft.com/en-us/power-platform/admin/api-request-limits-allocations" w:history="1">
        <w:r>
          <w:rPr>
            <w:color w:val="0563c1"/>
            <w:u w:val="single"/>
          </w:rPr>
          <w:t xml:space="preserve">Requests limits and allocations</w:t>
        </w:r>
      </w:hyperlink>
      <w:r/>
      <w:r/>
    </w:p>
    <w:p>
      <w:pPr>
        <w:pStyle w:val="733"/>
        <w:pBdr/>
        <w:spacing/>
        <w:ind/>
        <w:rPr/>
      </w:pPr>
      <w:r/>
      <w:hyperlink r:id="rId25" w:tooltip="https://learn.microsoft.com/en-us/power-automate/understand-flow-failure-notifications" w:history="1">
        <w:r>
          <w:rPr>
            <w:color w:val="0563c1"/>
            <w:u w:val="single"/>
          </w:rPr>
          <w:t xml:space="preserve">Understand flow failure notifications</w:t>
        </w:r>
      </w:hyperlink>
      <w:r/>
      <w:r/>
    </w:p>
    <w:p>
      <w:pPr>
        <w:pStyle w:val="733"/>
        <w:pBdr/>
        <w:spacing/>
        <w:ind/>
        <w:rPr/>
      </w:pPr>
      <w:r/>
      <w:hyperlink r:id="rId26" w:tooltip="https://learn.microsoft.com/en-us/power-platform/admin/wp-onpremises-gateway" w:history="1">
        <w:r>
          <w:rPr>
            <w:color w:val="0563c1"/>
            <w:u w:val="single"/>
          </w:rPr>
          <w:t xml:space="preserve">About on-premises gateways</w:t>
        </w:r>
      </w:hyperlink>
      <w:r/>
      <w:r/>
    </w:p>
    <w:p>
      <w:pPr>
        <w:pStyle w:val="733"/>
        <w:pBdr/>
        <w:spacing/>
        <w:ind/>
        <w:rPr/>
      </w:pPr>
      <w:r/>
      <w:hyperlink r:id="rId27" w:tooltip="https://learn.microsoft.com/en-us/power-platform/admin/backup-restore-environments" w:history="1">
        <w:r>
          <w:rPr>
            <w:color w:val="0563c1"/>
            <w:u w:val="single"/>
          </w:rPr>
          <w:t xml:space="preserve">Back up and restore environments</w:t>
        </w:r>
      </w:hyperlink>
      <w:r/>
      <w:r/>
    </w:p>
    <w:p>
      <w:pPr>
        <w:pStyle w:val="733"/>
        <w:pBdr/>
        <w:spacing/>
        <w:ind/>
        <w:rPr/>
      </w:pPr>
      <w:r/>
      <w:hyperlink r:id="rId28" w:tooltip="https://learn.microsoft.com/en-us/power-platform/guidance/adoption/plan-disaster-recovery" w:history="1">
        <w:r>
          <w:rPr>
            <w:color w:val="0563c1"/>
            <w:u w:val="single"/>
          </w:rPr>
          <w:t xml:space="preserve">Build a disaster recovery plan</w:t>
        </w:r>
      </w:hyperlink>
      <w:r/>
      <w:r/>
    </w:p>
    <w:sectPr>
      <w:footerReference w:type="default" r:id="rId9"/>
      <w:footnotePr/>
      <w:endnotePr/>
      <w:type w:val="nextPage"/>
      <w:pgSz w:h="16838" w:orient="portrait" w:w="11906"/>
      <w:pgMar w:top="1247" w:right="1247" w:bottom="1134" w:left="124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after="120" w:line="259" w:lineRule="auto"/>
      <w:ind/>
    </w:pPr>
    <w:rPr>
      <w:rFonts w:ascii="Calibri" w:hAnsi="Calibri"/>
      <w:sz w:val="22"/>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000000"/>
      <w:sz w:val="32"/>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000000"/>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000000"/>
      <w:sz w:val="22"/>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spacing w:after="300" w:line="240" w:lineRule="auto"/>
      <w:ind/>
      <w:contextualSpacing w:val="true"/>
    </w:pPr>
    <w:rPr>
      <w:rFonts w:ascii="Calibri" w:hAnsi="Calibri" w:asciiTheme="majorHAnsi" w:hAnsiTheme="majorHAnsi" w:eastAsiaTheme="majorEastAsia" w:cstheme="majorBidi"/>
      <w:b/>
      <w:color w:val="000000"/>
      <w:spacing w:val="5"/>
      <w:sz w:val="44"/>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Calibri" w:hAnsi="Calibri" w:asciiTheme="majorHAnsi" w:hAnsiTheme="majorHAnsi" w:eastAsiaTheme="majorEastAsia" w:cstheme="majorBidi"/>
      <w:i/>
      <w:iCs/>
      <w:color w:val="000000"/>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learn.microsoft.com/en-us/power-platform/guidance/adoption/environment-strategy" TargetMode="External"/><Relationship Id="rId12" Type="http://schemas.openxmlformats.org/officeDocument/2006/relationships/hyperlink" Target="https://learn.microsoft.com/en-us/power-platform/alm/environment-strategy-alm" TargetMode="External"/><Relationship Id="rId13" Type="http://schemas.openxmlformats.org/officeDocument/2006/relationships/hyperlink" Target="https://learn.microsoft.com/en-us/power-platform/admin/environments-overview" TargetMode="External"/><Relationship Id="rId14" Type="http://schemas.openxmlformats.org/officeDocument/2006/relationships/hyperlink" Target="https://learn.microsoft.com/en-us/power-platform/guidance/adoption/manage-default-environment" TargetMode="External"/><Relationship Id="rId15" Type="http://schemas.openxmlformats.org/officeDocument/2006/relationships/hyperlink" Target="https://learn.microsoft.com/en-us/power-platform/admin/control-user-access" TargetMode="External"/><Relationship Id="rId16" Type="http://schemas.openxmlformats.org/officeDocument/2006/relationships/hyperlink" Target="https://learn.microsoft.com/en-us/power-platform/admin/environment-groups" TargetMode="External"/><Relationship Id="rId17" Type="http://schemas.openxmlformats.org/officeDocument/2006/relationships/hyperlink" Target="https://learn.microsoft.com/en-us/power-platform/admin/managed-environment-licensing" TargetMode="External"/><Relationship Id="rId18" Type="http://schemas.openxmlformats.org/officeDocument/2006/relationships/hyperlink" Target="https://learn.microsoft.com/en-us/power-platform/admin/power-automate-licensing/faqs" TargetMode="External"/><Relationship Id="rId19" Type="http://schemas.openxmlformats.org/officeDocument/2006/relationships/hyperlink" Target="https://learn.microsoft.com/en-us/power-automate/guidance/coding-guidelines/understand-access-to-flows" TargetMode="External"/><Relationship Id="rId20" Type="http://schemas.openxmlformats.org/officeDocument/2006/relationships/hyperlink" Target="https://learn.microsoft.com/en-us/power-automate/guidance/coding-guidelines/understand-benefits-solution-aware-flows" TargetMode="External"/><Relationship Id="rId21" Type="http://schemas.openxmlformats.org/officeDocument/2006/relationships/hyperlink" Target="https://learn.microsoft.com/en-us/power-apps/maker/data-platform/environmentvariables" TargetMode="External"/><Relationship Id="rId22" Type="http://schemas.openxmlformats.org/officeDocument/2006/relationships/hyperlink" Target="https://learn.microsoft.com/en-us/power-platform/admin/prevent-data-loss" TargetMode="External"/><Relationship Id="rId23" Type="http://schemas.openxmlformats.org/officeDocument/2006/relationships/hyperlink" Target="https://learn.microsoft.com/en-us/power-platform/admin/cross-tenant-restrictions" TargetMode="External"/><Relationship Id="rId24" Type="http://schemas.openxmlformats.org/officeDocument/2006/relationships/hyperlink" Target="https://learn.microsoft.com/en-us/power-platform/admin/api-request-limits-allocations" TargetMode="External"/><Relationship Id="rId25" Type="http://schemas.openxmlformats.org/officeDocument/2006/relationships/hyperlink" Target="https://learn.microsoft.com/en-us/power-automate/understand-flow-failure-notifications" TargetMode="External"/><Relationship Id="rId26" Type="http://schemas.openxmlformats.org/officeDocument/2006/relationships/hyperlink" Target="https://learn.microsoft.com/en-us/power-platform/admin/wp-onpremises-gateway" TargetMode="External"/><Relationship Id="rId27" Type="http://schemas.openxmlformats.org/officeDocument/2006/relationships/hyperlink" Target="https://learn.microsoft.com/en-us/power-platform/admin/backup-restore-environments" TargetMode="External"/><Relationship Id="rId28" Type="http://schemas.openxmlformats.org/officeDocument/2006/relationships/hyperlink" Target="https://learn.microsoft.com/en-us/power-platform/guidance/adoption/plan-disaster-recovery"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 Platform Implementation Plan - Expanded Guidance</dc:title>
  <dc:subject>Work breakdown, timeframe, design rationale and common implementation pitfalls</dc:subject>
  <dc:creator>Joel and the delivery team</dc:creator>
  <cp:keywords>Power Platform, implementation, WBS, Azure billing, governance, environments, DLP</cp:keywords>
  <dc:description>Expanded with research-backed design explanations and Power Platform implementation pitfalls on 5 August 2026.</dc:description>
  <cp:revision>2</cp:revision>
  <dcterms:created xsi:type="dcterms:W3CDTF">2013-12-23T23:15:00Z</dcterms:created>
  <dcterms:modified xsi:type="dcterms:W3CDTF">2026-08-05T03:24:11Z</dcterms:modified>
  <cp:category/>
</cp:coreProperties>
</file>