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80"/>
      </w:pPr>
      <w:r>
        <w:rPr>
          <w:rFonts w:ascii="Arial" w:hAnsi="Arial" w:eastAsia="Arial" w:cs="Arial"/>
          <w:b/>
          <w:bCs/>
          <w:color w:val="1C7293"/>
          <w:sz w:val="20"/>
          <w:szCs w:val="20"/>
        </w:rPr>
        <w:t>SharePoint Online (SPO)</w:t>
      </w:r>
    </w:p>
    <w:p>
      <w:pPr>
        <w:pBdr>
          <w:bottom w:val="single" w:color="1C7293" w:sz="12" w:space="8"/>
        </w:pBdr>
        <w:spacing w:before="0" w:after="120"/>
      </w:pPr>
      <w:r>
        <w:rPr>
          <w:rFonts w:ascii="Arial" w:hAnsi="Arial" w:eastAsia="Arial" w:cs="Arial"/>
          <w:b/>
          <w:bCs/>
          <w:color w:val="0D2137"/>
          <w:sz w:val="52"/>
          <w:szCs w:val="52"/>
        </w:rPr>
        <w:t>ConOps</w:t>
      </w:r>
    </w:p>
    <w:p>
      <w:pPr>
        <w:spacing w:before="160" w:after="60"/>
      </w:pPr>
      <w:r>
        <w:rPr>
          <w:rFonts w:ascii="Arial" w:hAnsi="Arial" w:eastAsia="Arial" w:cs="Arial"/>
          <w:b/>
          <w:bCs/>
          <w:sz w:val="22"/>
          <w:szCs w:val="22"/>
        </w:rPr>
        <w:t xml:space="preserve">Version: </w:t>
      </w:r>
      <w:r>
        <w:rPr>
          <w:rFonts w:ascii="Arial" w:hAnsi="Arial" w:eastAsia="Arial" w:cs="Arial"/>
          <w:sz w:val="22"/>
          <w:szCs w:val="22"/>
        </w:rPr>
        <w:t>1.0</w:t>
      </w:r>
      <w:r>
        <w:rPr>
          <w:rFonts w:ascii="Arial" w:hAnsi="Arial" w:eastAsia="Arial" w:cs="Arial"/>
          <w:b/>
          <w:bCs/>
          <w:sz w:val="22"/>
          <w:szCs w:val="22"/>
        </w:rPr>
        <w:t xml:space="preserve">   |   Status: </w:t>
      </w:r>
      <w:r>
        <w:rPr>
          <w:rFonts w:ascii="Arial" w:hAnsi="Arial" w:eastAsia="Arial" w:cs="Arial"/>
          <w:b/>
          <w:bCs/>
          <w:color w:val="F39C12"/>
          <w:sz w:val="22"/>
          <w:szCs w:val="22"/>
        </w:rPr>
        <w:t>DRAFT</w:t>
      </w:r>
      <w:r>
        <w:rPr>
          <w:rFonts w:ascii="Arial" w:hAnsi="Arial" w:eastAsia="Arial" w:cs="Arial"/>
          <w:b/>
          <w:bCs/>
          <w:sz w:val="22"/>
          <w:szCs w:val="22"/>
        </w:rPr>
        <w:t xml:space="preserve">   |   Date: </w:t>
      </w:r>
      <w:r>
        <w:rPr>
          <w:rFonts w:ascii="Arial" w:hAnsi="Arial" w:eastAsia="Arial" w:cs="Arial"/>
          <w:sz w:val="22"/>
          <w:szCs w:val="22"/>
        </w:rPr>
        <w:t>[Month Year]</w:t>
      </w:r>
    </w:p>
    <w:p>
      <w:pPr>
        <w:spacing w:before="60" w:after="60"/>
      </w:pPr>
      <w:r>
        <w:rPr>
          <w:rFonts w:ascii="Arial" w:hAnsi="Arial" w:eastAsia="Arial" w:cs="Arial"/>
          <w:b/>
          <w:bCs/>
          <w:sz w:val="22"/>
          <w:szCs w:val="22"/>
        </w:rPr>
        <w:t xml:space="preserve">Owner: </w:t>
      </w:r>
      <w:r>
        <w:rPr>
          <w:rFonts w:ascii="Arial" w:hAnsi="Arial" w:eastAsia="Arial" w:cs="Arial"/>
          <w:sz w:val="22"/>
          <w:szCs w:val="22"/>
        </w:rPr>
        <w:t>[SharePoint Admin Team]</w:t>
      </w:r>
    </w:p>
    <w:p>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EAF4FB"/>
            <w:tcMar>
              <w:top w:w="100" w:type="dxa"/>
              <w:left w:w="140" w:type="dxa"/>
              <w:bottom w:w="100" w:type="dxa"/>
              <w:right w:w="140" w:type="dxa"/>
            </w:tcMar>
          </w:tcPr>
          <w:p>
            <w:pPr>
              <w:spacing w:before="40" w:after="40"/>
            </w:pPr>
            <w:r>
              <w:rPr>
                <w:rFonts w:ascii="Arial" w:hAnsi="Arial" w:eastAsia="Arial" w:cs="Arial"/>
                <w:b/>
                <w:bCs/>
                <w:color w:val="1A4E6E"/>
                <w:sz w:val="20"/>
                <w:szCs w:val="20"/>
              </w:rPr>
              <w:t xml:space="preserve">ℹ  </w:t>
            </w:r>
            <w:r>
              <w:rPr>
                <w:rFonts w:ascii="Arial" w:hAnsi="Arial" w:eastAsia="Arial" w:cs="Arial"/>
                <w:color w:val="1A4E6E"/>
                <w:sz w:val="20"/>
                <w:szCs w:val="20"/>
              </w:rPr>
              <w:t>This document defines the Concept of Operations (ConOps) for SharePoint Online (SPO). It describes the procedures users and IT staff follow for access requests, new site requests, outage response, site lifecycle management, and external guest access. All requests are managed through the ServiceNow ticketing system.</w:t>
            </w:r>
          </w:p>
        </w:tc>
      </w:tr>
    </w:tbl>
    <w:p>
      <w:pPr>
        <w:spacing w:before="0" w:after="80"/>
      </w:pPr>
    </w:p>
    <w:p>
      <w:pPr>
        <w:pStyle w:val="2"/>
        <w:pBdr>
          <w:bottom w:val="single" w:color="1C7293" w:sz="8" w:space="4"/>
        </w:pBdr>
        <w:spacing w:before="400" w:after="160"/>
      </w:pPr>
      <w:r>
        <w:rPr>
          <w:rFonts w:ascii="Arial" w:hAnsi="Arial" w:eastAsia="Arial" w:cs="Arial"/>
          <w:b/>
          <w:bCs/>
          <w:color w:val="0D2137"/>
          <w:sz w:val="36"/>
          <w:szCs w:val="36"/>
        </w:rPr>
        <w:t>Contents</w:t>
      </w:r>
    </w:p>
    <w:sdt>
      <w:sdtPr>
        <w:alias w:val="Table of Contents"/>
        <w:id w:val="1"/>
      </w:sdtPr>
      <w:sdtContent>
        <w:p>
          <w:r>
            <w:fldChar w:fldCharType="begin"/>
          </w:r>
          <w:r>
            <w:instrText xml:space="preserve">TOC \h \o "1-3" \t "undefined,1,undefined,2,undefined,3"</w:instrText>
          </w:r>
          <w:r>
            <w:fldChar w:fldCharType="separate"/>
          </w:r>
        </w:p>
        <w:p>
          <w:r>
            <w:fldChar w:fldCharType="end"/>
          </w:r>
          <w:bookmarkStart w:id="0" w:name="_GoBack"/>
          <w:bookmarkEnd w:id="0"/>
        </w:p>
      </w:sdtContent>
    </w:sdt>
    <w:p>
      <w:pPr>
        <w:spacing w:before="0" w:after="80"/>
      </w:pPr>
    </w:p>
    <w:p>
      <w:pPr>
        <w:spacing w:before="0" w:after="80"/>
      </w:pPr>
    </w:p>
    <w:p>
      <w:pPr>
        <w:pStyle w:val="2"/>
        <w:pBdr>
          <w:bottom w:val="single" w:color="1C7293" w:sz="8" w:space="4"/>
        </w:pBdr>
        <w:spacing w:before="400" w:after="160"/>
      </w:pPr>
      <w:r>
        <w:rPr>
          <w:rFonts w:ascii="Arial" w:hAnsi="Arial" w:eastAsia="Arial" w:cs="Arial"/>
          <w:b/>
          <w:bCs/>
          <w:color w:val="0D2137"/>
          <w:sz w:val="36"/>
          <w:szCs w:val="36"/>
        </w:rPr>
        <w:t>1. Requesting Access to a SharePoint Site</w:t>
      </w:r>
    </w:p>
    <w:p>
      <w:pPr>
        <w:spacing w:before="60" w:after="100"/>
      </w:pPr>
      <w:r>
        <w:rPr>
          <w:rFonts w:ascii="Arial" w:hAnsi="Arial" w:eastAsia="Arial" w:cs="Arial"/>
          <w:sz w:val="22"/>
          <w:szCs w:val="22"/>
        </w:rPr>
        <w:t>When a user requires access to an existing SharePoint site they do not currently have permission to, they must submit a formal request through ServiceNow. Access is not granted directly by users or self-served outside of this process.</w:t>
      </w:r>
    </w:p>
    <w:p>
      <w:pPr>
        <w:pStyle w:val="3"/>
        <w:spacing w:before="320" w:after="120"/>
      </w:pPr>
      <w:r>
        <w:rPr>
          <w:rFonts w:ascii="Arial" w:hAnsi="Arial" w:eastAsia="Arial" w:cs="Arial"/>
          <w:b/>
          <w:bCs/>
          <w:color w:val="065A82"/>
          <w:sz w:val="28"/>
          <w:szCs w:val="28"/>
        </w:rPr>
        <w:t>1.1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Field</w:t>
            </w:r>
          </w:p>
        </w:tc>
        <w:tc>
          <w:tcPr>
            <w:tcW w:w="65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Ticket Type</w:t>
            </w:r>
          </w:p>
        </w:tc>
        <w:tc>
          <w:tcPr>
            <w:tcW w:w="65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IT Access Request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Submitted By</w:t>
            </w:r>
          </w:p>
        </w:tc>
        <w:tc>
          <w:tcPr>
            <w:tcW w:w="65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Requesting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Approver</w:t>
            </w:r>
          </w:p>
        </w:tc>
        <w:tc>
          <w:tcPr>
            <w:tcW w:w="65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Function or Program Owner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Fulfilled By</w:t>
            </w:r>
          </w:p>
        </w:tc>
        <w:tc>
          <w:tcPr>
            <w:tcW w:w="65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SPO Admin Team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Target SLA</w:t>
            </w:r>
          </w:p>
        </w:tc>
        <w:tc>
          <w:tcPr>
            <w:tcW w:w="65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7 business days end-to-end</w:t>
            </w:r>
          </w:p>
        </w:tc>
      </w:tr>
    </w:tbl>
    <w:p>
      <w:pPr>
        <w:spacing w:before="0" w:after="80"/>
      </w:pPr>
    </w:p>
    <w:p>
      <w:pPr>
        <w:pStyle w:val="3"/>
        <w:spacing w:before="320" w:after="120"/>
      </w:pPr>
      <w:r>
        <w:rPr>
          <w:rFonts w:ascii="Arial" w:hAnsi="Arial" w:eastAsia="Arial" w:cs="Arial"/>
          <w:b/>
          <w:bCs/>
          <w:color w:val="065A82"/>
          <w:sz w:val="28"/>
          <w:szCs w:val="28"/>
        </w:rPr>
        <w:t>1.2  Step-by-Step Process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9"/>
        <w:gridCol w:w="2479"/>
        <w:gridCol w:w="60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Step</w:t>
            </w:r>
          </w:p>
        </w:tc>
        <w:tc>
          <w:tcPr>
            <w:tcW w:w="25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Action / Owner</w:t>
            </w:r>
          </w:p>
        </w:tc>
        <w:tc>
          <w:tcPr>
            <w:tcW w:w="61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1</w:t>
            </w:r>
          </w:p>
        </w:tc>
        <w:tc>
          <w:tcPr>
            <w:tcW w:w="25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Submit Request</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User</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Day 0</w:t>
            </w:r>
          </w:p>
        </w:tc>
        <w:tc>
          <w:tcPr>
            <w:tcW w:w="61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Log in to the ServiceNow portal</w:t>
            </w:r>
          </w:p>
          <w:p>
            <w:pPr>
              <w:pStyle w:val="14"/>
              <w:numPr>
                <w:ilvl w:val="0"/>
                <w:numId w:val="1"/>
              </w:numPr>
              <w:spacing w:before="30" w:after="30"/>
            </w:pPr>
            <w:r>
              <w:rPr>
                <w:rFonts w:ascii="Arial" w:hAnsi="Arial" w:eastAsia="Arial" w:cs="Arial"/>
                <w:sz w:val="20"/>
                <w:szCs w:val="20"/>
              </w:rPr>
              <w:t>Open the 'SPO Access Request' form</w:t>
            </w:r>
          </w:p>
          <w:p>
            <w:pPr>
              <w:pStyle w:val="14"/>
              <w:numPr>
                <w:ilvl w:val="0"/>
                <w:numId w:val="1"/>
              </w:numPr>
              <w:spacing w:before="30" w:after="30"/>
            </w:pPr>
            <w:r>
              <w:rPr>
                <w:rFonts w:ascii="Arial" w:hAnsi="Arial" w:eastAsia="Arial" w:cs="Arial"/>
                <w:sz w:val="20"/>
                <w:szCs w:val="20"/>
              </w:rPr>
              <w:t>Enter the site URL or site name</w:t>
            </w:r>
          </w:p>
          <w:p>
            <w:pPr>
              <w:pStyle w:val="14"/>
              <w:numPr>
                <w:ilvl w:val="0"/>
                <w:numId w:val="1"/>
              </w:numPr>
              <w:spacing w:before="30" w:after="30"/>
            </w:pPr>
            <w:r>
              <w:rPr>
                <w:rFonts w:ascii="Arial" w:hAnsi="Arial" w:eastAsia="Arial" w:cs="Arial"/>
                <w:sz w:val="20"/>
                <w:szCs w:val="20"/>
              </w:rPr>
              <w:t>Select the permission level required: Read, Contribute, or Member</w:t>
            </w:r>
          </w:p>
          <w:p>
            <w:pPr>
              <w:pStyle w:val="14"/>
              <w:numPr>
                <w:ilvl w:val="0"/>
                <w:numId w:val="1"/>
              </w:numPr>
              <w:spacing w:before="30" w:after="30"/>
            </w:pPr>
            <w:r>
              <w:rPr>
                <w:rFonts w:ascii="Arial" w:hAnsi="Arial" w:eastAsia="Arial" w:cs="Arial"/>
                <w:sz w:val="20"/>
                <w:szCs w:val="20"/>
              </w:rPr>
              <w:t>Provide a brief business justification</w:t>
            </w:r>
          </w:p>
          <w:p>
            <w:pPr>
              <w:pStyle w:val="14"/>
              <w:numPr>
                <w:ilvl w:val="0"/>
                <w:numId w:val="1"/>
              </w:numPr>
              <w:spacing w:before="30" w:after="30"/>
            </w:pPr>
            <w:r>
              <w:rPr>
                <w:rFonts w:ascii="Arial" w:hAnsi="Arial" w:eastAsia="Arial" w:cs="Arial"/>
                <w:sz w:val="20"/>
                <w:szCs w:val="20"/>
              </w:rPr>
              <w:t>Submit — a ticket number is emailed to the requester immediately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2</w:t>
            </w:r>
          </w:p>
        </w:tc>
        <w:tc>
          <w:tcPr>
            <w:tcW w:w="25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Auto-Route to Approver</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ServiceNow (automated)</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Immediate</w:t>
            </w:r>
          </w:p>
        </w:tc>
        <w:tc>
          <w:tcPr>
            <w:tcW w:w="61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Ticket is automatically assigned to the Site Owner / Business Unit Manager</w:t>
            </w:r>
          </w:p>
          <w:p>
            <w:pPr>
              <w:pStyle w:val="14"/>
              <w:numPr>
                <w:ilvl w:val="0"/>
                <w:numId w:val="1"/>
              </w:numPr>
              <w:spacing w:before="30" w:after="30"/>
            </w:pPr>
            <w:r>
              <w:rPr>
                <w:rFonts w:ascii="Arial" w:hAnsi="Arial" w:eastAsia="Arial" w:cs="Arial"/>
                <w:sz w:val="20"/>
                <w:szCs w:val="20"/>
              </w:rPr>
              <w:t>Email notification is sent to the approver with a direct link to the ticket</w:t>
            </w:r>
          </w:p>
          <w:p>
            <w:pPr>
              <w:pStyle w:val="14"/>
              <w:numPr>
                <w:ilvl w:val="0"/>
                <w:numId w:val="1"/>
              </w:numPr>
              <w:spacing w:before="30" w:after="30"/>
            </w:pPr>
            <w:r>
              <w:rPr>
                <w:rFonts w:ascii="Arial" w:hAnsi="Arial" w:eastAsia="Arial" w:cs="Arial"/>
                <w:sz w:val="20"/>
                <w:szCs w:val="20"/>
              </w:rPr>
              <w:t>Ticket status is set to 'Pending Approval'</w:t>
            </w:r>
          </w:p>
          <w:p>
            <w:pPr>
              <w:pStyle w:val="14"/>
              <w:numPr>
                <w:ilvl w:val="0"/>
                <w:numId w:val="1"/>
              </w:numPr>
              <w:spacing w:before="30" w:after="30"/>
            </w:pPr>
            <w:r>
              <w:rPr>
                <w:rFonts w:ascii="Arial" w:hAnsi="Arial" w:eastAsia="Arial" w:cs="Arial"/>
                <w:sz w:val="20"/>
                <w:szCs w:val="20"/>
              </w:rPr>
              <w:t>Requester receives a confirmation email with their ticket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3</w:t>
            </w:r>
          </w:p>
        </w:tc>
        <w:tc>
          <w:tcPr>
            <w:tcW w:w="25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Approve or Deny</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Function or Program Owner</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Within 7 business days</w:t>
            </w:r>
          </w:p>
        </w:tc>
        <w:tc>
          <w:tcPr>
            <w:tcW w:w="61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Function or Program Owner reviews the request and justification in ServiceNow</w:t>
            </w:r>
          </w:p>
          <w:p>
            <w:pPr>
              <w:pStyle w:val="14"/>
              <w:numPr>
                <w:ilvl w:val="0"/>
                <w:numId w:val="1"/>
              </w:numPr>
              <w:spacing w:before="30" w:after="30"/>
            </w:pPr>
            <w:r>
              <w:rPr>
                <w:rFonts w:ascii="Arial" w:hAnsi="Arial" w:eastAsia="Arial" w:cs="Arial"/>
                <w:sz w:val="20"/>
                <w:szCs w:val="20"/>
              </w:rPr>
              <w:t>Approve: ticket is automatically routed to SPO Admin for fulfilment.</w:t>
            </w:r>
          </w:p>
          <w:p>
            <w:pPr>
              <w:pStyle w:val="14"/>
              <w:numPr>
                <w:ilvl w:val="0"/>
                <w:numId w:val="1"/>
              </w:numPr>
              <w:spacing w:before="30" w:after="30"/>
            </w:pPr>
            <w:r>
              <w:rPr>
                <w:rFonts w:ascii="Arial" w:hAnsi="Arial" w:eastAsia="Arial" w:cs="Arial"/>
                <w:sz w:val="20"/>
                <w:szCs w:val="20"/>
              </w:rPr>
              <w:t>Deny: ticket is closed with a reason recorded; requester is notified</w:t>
            </w:r>
          </w:p>
          <w:p>
            <w:pPr>
              <w:pStyle w:val="14"/>
              <w:numPr>
                <w:ilvl w:val="0"/>
                <w:numId w:val="1"/>
              </w:numPr>
              <w:spacing w:before="30" w:after="30"/>
            </w:pPr>
            <w:r>
              <w:rPr>
                <w:rFonts w:ascii="Arial" w:hAnsi="Arial" w:eastAsia="Arial" w:cs="Arial"/>
                <w:sz w:val="20"/>
                <w:szCs w:val="20"/>
              </w:rPr>
              <w:t>If the Function or Program Owner is unavailable, reassign the ticket in ServiceNow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4</w:t>
            </w:r>
          </w:p>
        </w:tc>
        <w:tc>
          <w:tcPr>
            <w:tcW w:w="25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Grant Access</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SPO Admin</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Within 1 business day of approval</w:t>
            </w:r>
          </w:p>
        </w:tc>
        <w:tc>
          <w:tcPr>
            <w:tcW w:w="61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SPO Admin receives notification of the approved ticket</w:t>
            </w:r>
          </w:p>
          <w:p>
            <w:pPr>
              <w:pStyle w:val="14"/>
              <w:numPr>
                <w:ilvl w:val="0"/>
                <w:numId w:val="1"/>
              </w:numPr>
              <w:spacing w:before="30" w:after="30"/>
            </w:pPr>
            <w:r>
              <w:rPr>
                <w:rFonts w:ascii="Arial" w:hAnsi="Arial" w:eastAsia="Arial" w:cs="Arial"/>
                <w:sz w:val="20"/>
                <w:szCs w:val="20"/>
              </w:rPr>
              <w:t>User is added at the requested permission level using the correct SharePoint group</w:t>
            </w:r>
          </w:p>
          <w:p>
            <w:pPr>
              <w:pStyle w:val="14"/>
              <w:numPr>
                <w:ilvl w:val="0"/>
                <w:numId w:val="1"/>
              </w:numPr>
              <w:spacing w:before="30" w:after="30"/>
            </w:pPr>
            <w:r>
              <w:rPr>
                <w:rFonts w:ascii="Arial" w:hAnsi="Arial" w:eastAsia="Arial" w:cs="Arial"/>
                <w:sz w:val="20"/>
                <w:szCs w:val="20"/>
              </w:rPr>
              <w:t>SPO Admin verifies that the correct group is used — direct permission grants are not permitted</w:t>
            </w:r>
          </w:p>
          <w:p>
            <w:pPr>
              <w:pStyle w:val="14"/>
              <w:numPr>
                <w:ilvl w:val="0"/>
                <w:numId w:val="1"/>
              </w:numPr>
              <w:spacing w:before="30" w:after="30"/>
            </w:pPr>
            <w:r>
              <w:rPr>
                <w:rFonts w:ascii="Arial" w:hAnsi="Arial" w:eastAsia="Arial" w:cs="Arial"/>
                <w:sz w:val="20"/>
                <w:szCs w:val="20"/>
              </w:rPr>
              <w:t>Ticket is resolved; the user receives an email notification confirming access</w:t>
            </w:r>
          </w:p>
        </w:tc>
      </w:tr>
    </w:tbl>
    <w:p>
      <w:pPr>
        <w:spacing w:before="0" w:after="80"/>
      </w:pPr>
    </w:p>
    <w:p>
      <w:pPr>
        <w:pStyle w:val="3"/>
        <w:spacing w:before="320" w:after="120"/>
      </w:pPr>
      <w:r>
        <w:rPr>
          <w:rFonts w:ascii="Arial" w:hAnsi="Arial" w:eastAsia="Arial" w:cs="Arial"/>
          <w:b/>
          <w:bCs/>
          <w:color w:val="065A82"/>
          <w:sz w:val="28"/>
          <w:szCs w:val="28"/>
        </w:rPr>
        <w:t>1.3  Permission Levels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80"/>
        <w:gridCol w:w="3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Level</w:t>
            </w:r>
          </w:p>
        </w:tc>
        <w:tc>
          <w:tcPr>
            <w:tcW w:w="348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What the User Can Do</w:t>
            </w:r>
          </w:p>
        </w:tc>
        <w:tc>
          <w:tcPr>
            <w:tcW w:w="388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Typical Use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Read</w:t>
            </w:r>
          </w:p>
        </w:tc>
        <w:tc>
          <w:tcPr>
            <w:tcW w:w="348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View pages and documents only</w:t>
            </w:r>
          </w:p>
        </w:tc>
        <w:tc>
          <w:tcPr>
            <w:tcW w:w="388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Reference access to project documentation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Contribute</w:t>
            </w:r>
          </w:p>
        </w:tc>
        <w:tc>
          <w:tcPr>
            <w:tcW w:w="348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Add, edit, and delete documents and list items</w:t>
            </w:r>
          </w:p>
        </w:tc>
        <w:tc>
          <w:tcPr>
            <w:tcW w:w="388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Active team members working on shared 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Member</w:t>
            </w:r>
          </w:p>
        </w:tc>
        <w:tc>
          <w:tcPr>
            <w:tcW w:w="348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Full edit rights, cannot manage permissions</w:t>
            </w:r>
          </w:p>
        </w:tc>
        <w:tc>
          <w:tcPr>
            <w:tcW w:w="388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Team members with broader content responsibilities</w:t>
            </w:r>
          </w:p>
        </w:tc>
      </w:tr>
    </w:tbl>
    <w:p>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EF9E7"/>
            <w:tcMar>
              <w:top w:w="100" w:type="dxa"/>
              <w:left w:w="140" w:type="dxa"/>
              <w:bottom w:w="100" w:type="dxa"/>
              <w:right w:w="140" w:type="dxa"/>
            </w:tcMar>
          </w:tcPr>
          <w:p>
            <w:pPr>
              <w:spacing w:before="40" w:after="40"/>
            </w:pPr>
            <w:r>
              <w:rPr>
                <w:rFonts w:ascii="Arial" w:hAnsi="Arial" w:eastAsia="Arial" w:cs="Arial"/>
                <w:b/>
                <w:bCs/>
                <w:color w:val="7D6608"/>
                <w:sz w:val="20"/>
                <w:szCs w:val="20"/>
              </w:rPr>
              <w:t xml:space="preserve">⚠  </w:t>
            </w:r>
            <w:r>
              <w:rPr>
                <w:rFonts w:ascii="Arial" w:hAnsi="Arial" w:eastAsia="Arial" w:cs="Arial"/>
                <w:color w:val="7D6608"/>
                <w:sz w:val="20"/>
                <w:szCs w:val="20"/>
              </w:rPr>
              <w:t>Direct permission grants (adding users outside of SharePoint groups) are not permitted. All access must go through ServiceNow and be applied via the correct group. This ensures permissions remain auditable and manageable.</w:t>
            </w:r>
          </w:p>
        </w:tc>
      </w:tr>
    </w:tbl>
    <w:p>
      <w:pPr>
        <w:spacing w:before="0" w:after="80"/>
      </w:pPr>
    </w:p>
    <w:p>
      <w:pPr>
        <w:spacing w:before="0" w:after="80"/>
      </w:pPr>
    </w:p>
    <w:p>
      <w:pPr>
        <w:pStyle w:val="2"/>
        <w:pBdr>
          <w:bottom w:val="single" w:color="1C7293" w:sz="8" w:space="4"/>
        </w:pBdr>
        <w:spacing w:before="400" w:after="160"/>
      </w:pPr>
      <w:r>
        <w:rPr>
          <w:rFonts w:ascii="Arial" w:hAnsi="Arial" w:eastAsia="Arial" w:cs="Arial"/>
          <w:b/>
          <w:bCs/>
          <w:color w:val="0D2137"/>
          <w:sz w:val="36"/>
          <w:szCs w:val="36"/>
        </w:rPr>
        <w:t>2. Requesting a New SharePoint Site</w:t>
      </w:r>
    </w:p>
    <w:p>
      <w:pPr>
        <w:spacing w:before="60" w:after="100"/>
      </w:pPr>
      <w:r>
        <w:rPr>
          <w:rFonts w:ascii="Arial" w:hAnsi="Arial" w:eastAsia="Arial" w:cs="Arial"/>
          <w:sz w:val="22"/>
          <w:szCs w:val="22"/>
        </w:rPr>
        <w:t>Any team or business unit requiring a new SharePoint site must submit a formal request through ServiceNow. Sites are not to be created ad hoc. All sites must align with the organisation's naming conventions, hub structure, and governance policies.</w:t>
      </w:r>
    </w:p>
    <w:p>
      <w:pPr>
        <w:pStyle w:val="3"/>
        <w:spacing w:before="320" w:after="120"/>
      </w:pPr>
      <w:r>
        <w:rPr>
          <w:rFonts w:ascii="Arial" w:hAnsi="Arial" w:eastAsia="Arial" w:cs="Arial"/>
          <w:b/>
          <w:bCs/>
          <w:color w:val="065A82"/>
          <w:sz w:val="28"/>
          <w:szCs w:val="28"/>
        </w:rPr>
        <w:t>2.1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Field</w:t>
            </w:r>
          </w:p>
        </w:tc>
        <w:tc>
          <w:tcPr>
            <w:tcW w:w="65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Ticket Type</w:t>
            </w:r>
          </w:p>
        </w:tc>
        <w:tc>
          <w:tcPr>
            <w:tcW w:w="65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SPO New Site Request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Submitted By</w:t>
            </w:r>
          </w:p>
        </w:tc>
        <w:tc>
          <w:tcPr>
            <w:tcW w:w="65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Any staff member (Requestor)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Approver</w:t>
            </w:r>
          </w:p>
        </w:tc>
        <w:tc>
          <w:tcPr>
            <w:tcW w:w="65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Business Unit 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Fulfilled By</w:t>
            </w:r>
          </w:p>
        </w:tc>
        <w:tc>
          <w:tcPr>
            <w:tcW w:w="65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SPO Admin Team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Target SLA</w:t>
            </w:r>
          </w:p>
        </w:tc>
        <w:tc>
          <w:tcPr>
            <w:tcW w:w="65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5 business days end-to-end</w:t>
            </w:r>
          </w:p>
        </w:tc>
      </w:tr>
    </w:tbl>
    <w:p>
      <w:pPr>
        <w:spacing w:before="0" w:after="80"/>
      </w:pPr>
    </w:p>
    <w:p>
      <w:pPr>
        <w:pStyle w:val="3"/>
        <w:spacing w:before="320" w:after="120"/>
      </w:pPr>
      <w:r>
        <w:rPr>
          <w:rFonts w:ascii="Arial" w:hAnsi="Arial" w:eastAsia="Arial" w:cs="Arial"/>
          <w:b/>
          <w:bCs/>
          <w:color w:val="065A82"/>
          <w:sz w:val="28"/>
          <w:szCs w:val="28"/>
        </w:rPr>
        <w:t>2.2  What You Need Before Submitting</w:t>
      </w:r>
    </w:p>
    <w:p>
      <w:pPr>
        <w:spacing w:before="60" w:after="100"/>
      </w:pPr>
      <w:r>
        <w:rPr>
          <w:rFonts w:ascii="Arial" w:hAnsi="Arial" w:eastAsia="Arial" w:cs="Arial"/>
          <w:sz w:val="22"/>
          <w:szCs w:val="22"/>
        </w:rPr>
        <w:t>The requestor should have the following information ready before submitting the ServiceNow ticket:</w:t>
      </w:r>
    </w:p>
    <w:p>
      <w:pPr>
        <w:pStyle w:val="14"/>
        <w:numPr>
          <w:ilvl w:val="0"/>
          <w:numId w:val="1"/>
        </w:numPr>
        <w:spacing w:before="40" w:after="40"/>
      </w:pPr>
      <w:r>
        <w:rPr>
          <w:rFonts w:ascii="Arial" w:hAnsi="Arial" w:eastAsia="Arial" w:cs="Arial"/>
          <w:sz w:val="22"/>
          <w:szCs w:val="22"/>
        </w:rPr>
        <w:t>Proposed site name (must follow the naming convention: [Department]-[Purpose], e.g. HR-Policies)</w:t>
      </w:r>
    </w:p>
    <w:p>
      <w:pPr>
        <w:pStyle w:val="14"/>
        <w:numPr>
          <w:ilvl w:val="0"/>
          <w:numId w:val="1"/>
        </w:numPr>
        <w:spacing w:before="40" w:after="40"/>
      </w:pPr>
      <w:r>
        <w:rPr>
          <w:rFonts w:ascii="Arial" w:hAnsi="Arial" w:eastAsia="Arial" w:cs="Arial"/>
          <w:sz w:val="22"/>
          <w:szCs w:val="22"/>
        </w:rPr>
        <w:t>Site type: Team Site (for collaboration) or Communication Site (for broadcasting information)</w:t>
      </w:r>
    </w:p>
    <w:p>
      <w:pPr>
        <w:pStyle w:val="14"/>
        <w:numPr>
          <w:ilvl w:val="0"/>
          <w:numId w:val="1"/>
        </w:numPr>
        <w:spacing w:before="40" w:after="40"/>
      </w:pPr>
      <w:r>
        <w:rPr>
          <w:rFonts w:ascii="Arial" w:hAnsi="Arial" w:eastAsia="Arial" w:cs="Arial"/>
          <w:sz w:val="22"/>
          <w:szCs w:val="22"/>
        </w:rPr>
        <w:t>Business purpose — one to two sentences describing what the site will be used for</w:t>
      </w:r>
    </w:p>
    <w:p>
      <w:pPr>
        <w:pStyle w:val="14"/>
        <w:numPr>
          <w:ilvl w:val="0"/>
          <w:numId w:val="1"/>
        </w:numPr>
        <w:spacing w:before="40" w:after="40"/>
      </w:pPr>
      <w:r>
        <w:rPr>
          <w:rFonts w:ascii="Arial" w:hAnsi="Arial" w:eastAsia="Arial" w:cs="Arial"/>
          <w:sz w:val="22"/>
          <w:szCs w:val="22"/>
        </w:rPr>
        <w:t>Intended user group — who will have access and in what capacity</w:t>
      </w:r>
    </w:p>
    <w:p>
      <w:pPr>
        <w:pStyle w:val="14"/>
        <w:numPr>
          <w:ilvl w:val="0"/>
          <w:numId w:val="1"/>
        </w:numPr>
        <w:spacing w:before="40" w:after="40"/>
      </w:pPr>
      <w:r>
        <w:rPr>
          <w:rFonts w:ascii="Arial" w:hAnsi="Arial" w:eastAsia="Arial" w:cs="Arial"/>
          <w:sz w:val="22"/>
          <w:szCs w:val="22"/>
        </w:rPr>
        <w:t>Nominated Site Owner — the person who will be responsible for managing the site and its content</w:t>
      </w:r>
    </w:p>
    <w:p>
      <w:pPr>
        <w:spacing w:before="0" w:after="80"/>
      </w:pPr>
    </w:p>
    <w:p>
      <w:pPr>
        <w:pStyle w:val="3"/>
        <w:spacing w:before="320" w:after="120"/>
      </w:pPr>
      <w:r>
        <w:rPr>
          <w:rFonts w:ascii="Arial" w:hAnsi="Arial" w:eastAsia="Arial" w:cs="Arial"/>
          <w:b/>
          <w:bCs/>
          <w:color w:val="065A82"/>
          <w:sz w:val="28"/>
          <w:szCs w:val="28"/>
        </w:rPr>
        <w:t>2.3  Step-by-Step Process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9"/>
        <w:gridCol w:w="2484"/>
        <w:gridCol w:w="60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Step</w:t>
            </w:r>
          </w:p>
        </w:tc>
        <w:tc>
          <w:tcPr>
            <w:tcW w:w="25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Action / Owner</w:t>
            </w:r>
          </w:p>
        </w:tc>
        <w:tc>
          <w:tcPr>
            <w:tcW w:w="61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1</w:t>
            </w:r>
          </w:p>
        </w:tc>
        <w:tc>
          <w:tcPr>
            <w:tcW w:w="25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Submit Request</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Requestor</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Day 0</w:t>
            </w:r>
          </w:p>
        </w:tc>
        <w:tc>
          <w:tcPr>
            <w:tcW w:w="61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Log in to the ServiceNow portal</w:t>
            </w:r>
          </w:p>
          <w:p>
            <w:pPr>
              <w:pStyle w:val="14"/>
              <w:numPr>
                <w:ilvl w:val="0"/>
                <w:numId w:val="1"/>
              </w:numPr>
              <w:spacing w:before="30" w:after="30"/>
            </w:pPr>
            <w:r>
              <w:rPr>
                <w:rFonts w:ascii="Arial" w:hAnsi="Arial" w:eastAsia="Arial" w:cs="Arial"/>
                <w:sz w:val="20"/>
                <w:szCs w:val="20"/>
              </w:rPr>
              <w:t>Open the 'SPO New Site Request' form</w:t>
            </w:r>
          </w:p>
          <w:p>
            <w:pPr>
              <w:pStyle w:val="14"/>
              <w:numPr>
                <w:ilvl w:val="0"/>
                <w:numId w:val="1"/>
              </w:numPr>
              <w:spacing w:before="30" w:after="30"/>
            </w:pPr>
            <w:r>
              <w:rPr>
                <w:rFonts w:ascii="Arial" w:hAnsi="Arial" w:eastAsia="Arial" w:cs="Arial"/>
                <w:sz w:val="20"/>
                <w:szCs w:val="20"/>
              </w:rPr>
              <w:t>Complete all required fields: site name, purpose, site type, intended users, and nominated Site Owner</w:t>
            </w:r>
          </w:p>
          <w:p>
            <w:pPr>
              <w:pStyle w:val="14"/>
              <w:numPr>
                <w:ilvl w:val="0"/>
                <w:numId w:val="1"/>
              </w:numPr>
              <w:spacing w:before="30" w:after="30"/>
            </w:pPr>
            <w:r>
              <w:rPr>
                <w:rFonts w:ascii="Arial" w:hAnsi="Arial" w:eastAsia="Arial" w:cs="Arial"/>
                <w:sz w:val="20"/>
                <w:szCs w:val="20"/>
              </w:rPr>
              <w:t>Acknowledge that you have read the SPO Governance Policy</w:t>
            </w:r>
          </w:p>
          <w:p>
            <w:pPr>
              <w:pStyle w:val="14"/>
              <w:numPr>
                <w:ilvl w:val="0"/>
                <w:numId w:val="1"/>
              </w:numPr>
              <w:spacing w:before="30" w:after="30"/>
            </w:pPr>
            <w:r>
              <w:rPr>
                <w:rFonts w:ascii="Arial" w:hAnsi="Arial" w:eastAsia="Arial" w:cs="Arial"/>
                <w:sz w:val="20"/>
                <w:szCs w:val="20"/>
              </w:rPr>
              <w:t>Submit the ticket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2</w:t>
            </w:r>
          </w:p>
        </w:tc>
        <w:tc>
          <w:tcPr>
            <w:tcW w:w="25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Business Unit Manager Review</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BU Manager</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Within 7 business days</w:t>
            </w:r>
          </w:p>
        </w:tc>
        <w:tc>
          <w:tcPr>
            <w:tcW w:w="61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Function or Program Owner receives an email notification from ServiceNow</w:t>
            </w:r>
          </w:p>
          <w:p>
            <w:pPr>
              <w:pStyle w:val="14"/>
              <w:numPr>
                <w:ilvl w:val="0"/>
                <w:numId w:val="1"/>
              </w:numPr>
              <w:spacing w:before="30" w:after="30"/>
            </w:pPr>
            <w:r>
              <w:rPr>
                <w:rFonts w:ascii="Arial" w:hAnsi="Arial" w:eastAsia="Arial" w:cs="Arial"/>
                <w:sz w:val="20"/>
                <w:szCs w:val="20"/>
              </w:rPr>
              <w:t>Reviews the business justification and confirms the operational need</w:t>
            </w:r>
          </w:p>
          <w:p>
            <w:pPr>
              <w:pStyle w:val="14"/>
              <w:numPr>
                <w:ilvl w:val="0"/>
                <w:numId w:val="1"/>
              </w:numPr>
              <w:spacing w:before="30" w:after="30"/>
            </w:pPr>
            <w:r>
              <w:rPr>
                <w:rFonts w:ascii="Arial" w:hAnsi="Arial" w:eastAsia="Arial" w:cs="Arial"/>
                <w:sz w:val="20"/>
                <w:szCs w:val="20"/>
              </w:rPr>
              <w:t>Validates that the nominated Site Owner is appropriate</w:t>
            </w:r>
          </w:p>
          <w:p>
            <w:pPr>
              <w:pStyle w:val="14"/>
              <w:numPr>
                <w:ilvl w:val="0"/>
                <w:numId w:val="1"/>
              </w:numPr>
              <w:spacing w:before="30" w:after="30"/>
            </w:pPr>
            <w:r>
              <w:rPr>
                <w:rFonts w:ascii="Arial" w:hAnsi="Arial" w:eastAsia="Arial" w:cs="Arial"/>
                <w:sz w:val="20"/>
                <w:szCs w:val="20"/>
              </w:rPr>
              <w:t>Approves or denies with comments recorded in the ticket</w:t>
            </w:r>
          </w:p>
          <w:p>
            <w:pPr>
              <w:pStyle w:val="14"/>
              <w:numPr>
                <w:ilvl w:val="0"/>
                <w:numId w:val="1"/>
              </w:numPr>
              <w:spacing w:before="30" w:after="30"/>
            </w:pPr>
            <w:r>
              <w:rPr>
                <w:rFonts w:ascii="Arial" w:hAnsi="Arial" w:eastAsia="Arial" w:cs="Arial"/>
                <w:sz w:val="20"/>
                <w:szCs w:val="20"/>
              </w:rPr>
              <w:t>If denied, the requestor is notified with a reason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3</w:t>
            </w:r>
          </w:p>
        </w:tc>
        <w:tc>
          <w:tcPr>
            <w:tcW w:w="25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SPO Admin Review</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SPO Admin</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Within 1 business day of approval</w:t>
            </w:r>
          </w:p>
        </w:tc>
        <w:tc>
          <w:tcPr>
            <w:tcW w:w="61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Checks for existing sites that may already meet the stated need (to avoid duplication)</w:t>
            </w:r>
          </w:p>
          <w:p>
            <w:pPr>
              <w:pStyle w:val="14"/>
              <w:numPr>
                <w:ilvl w:val="0"/>
                <w:numId w:val="1"/>
              </w:numPr>
              <w:spacing w:before="30" w:after="30"/>
            </w:pPr>
            <w:r>
              <w:rPr>
                <w:rFonts w:ascii="Arial" w:hAnsi="Arial" w:eastAsia="Arial" w:cs="Arial"/>
                <w:sz w:val="20"/>
                <w:szCs w:val="20"/>
              </w:rPr>
              <w:t>Confirms the site name follows the naming convention</w:t>
            </w:r>
          </w:p>
          <w:p>
            <w:pPr>
              <w:pStyle w:val="14"/>
              <w:numPr>
                <w:ilvl w:val="0"/>
                <w:numId w:val="1"/>
              </w:numPr>
              <w:spacing w:before="30" w:after="30"/>
            </w:pPr>
            <w:r>
              <w:rPr>
                <w:rFonts w:ascii="Arial" w:hAnsi="Arial" w:eastAsia="Arial" w:cs="Arial"/>
                <w:sz w:val="20"/>
                <w:szCs w:val="20"/>
              </w:rPr>
              <w:t>Determines which hub site the new site should be associated with</w:t>
            </w:r>
          </w:p>
          <w:p>
            <w:pPr>
              <w:pStyle w:val="14"/>
              <w:numPr>
                <w:ilvl w:val="0"/>
                <w:numId w:val="1"/>
              </w:numPr>
              <w:spacing w:before="30" w:after="30"/>
            </w:pPr>
            <w:r>
              <w:rPr>
                <w:rFonts w:ascii="Arial" w:hAnsi="Arial" w:eastAsia="Arial" w:cs="Arial"/>
                <w:sz w:val="20"/>
                <w:szCs w:val="20"/>
              </w:rPr>
              <w:t>Confirms the appropriate site template to apply</w:t>
            </w:r>
          </w:p>
          <w:p>
            <w:pPr>
              <w:pStyle w:val="14"/>
              <w:numPr>
                <w:ilvl w:val="0"/>
                <w:numId w:val="1"/>
              </w:numPr>
              <w:spacing w:before="30" w:after="30"/>
            </w:pPr>
            <w:r>
              <w:rPr>
                <w:rFonts w:ascii="Arial" w:hAnsi="Arial" w:eastAsia="Arial" w:cs="Arial"/>
                <w:sz w:val="20"/>
                <w:szCs w:val="20"/>
              </w:rPr>
              <w:t>Contacts the requestor if any clarification is 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4</w:t>
            </w:r>
          </w:p>
        </w:tc>
        <w:tc>
          <w:tcPr>
            <w:tcW w:w="25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Provisioning</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SPO Admin</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Within 2 business days of admin review</w:t>
            </w:r>
          </w:p>
        </w:tc>
        <w:tc>
          <w:tcPr>
            <w:tcW w:w="61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Creates the site from the approved template</w:t>
            </w:r>
          </w:p>
          <w:p>
            <w:pPr>
              <w:pStyle w:val="14"/>
              <w:numPr>
                <w:ilvl w:val="0"/>
                <w:numId w:val="1"/>
              </w:numPr>
              <w:spacing w:before="30" w:after="30"/>
            </w:pPr>
            <w:r>
              <w:rPr>
                <w:rFonts w:ascii="Arial" w:hAnsi="Arial" w:eastAsia="Arial" w:cs="Arial"/>
                <w:sz w:val="20"/>
                <w:szCs w:val="20"/>
              </w:rPr>
              <w:t>Applies the organisation's standard content types and metadata columns</w:t>
            </w:r>
          </w:p>
          <w:p>
            <w:pPr>
              <w:pStyle w:val="14"/>
              <w:numPr>
                <w:ilvl w:val="0"/>
                <w:numId w:val="1"/>
              </w:numPr>
              <w:spacing w:before="30" w:after="30"/>
            </w:pPr>
            <w:r>
              <w:rPr>
                <w:rFonts w:ascii="Arial" w:hAnsi="Arial" w:eastAsia="Arial" w:cs="Arial"/>
                <w:sz w:val="20"/>
                <w:szCs w:val="20"/>
              </w:rPr>
              <w:t>Configures initial permissions: Site Owner and Members groups</w:t>
            </w:r>
          </w:p>
          <w:p>
            <w:pPr>
              <w:pStyle w:val="14"/>
              <w:numPr>
                <w:ilvl w:val="0"/>
                <w:numId w:val="1"/>
              </w:numPr>
              <w:spacing w:before="30" w:after="30"/>
            </w:pPr>
            <w:r>
              <w:rPr>
                <w:rFonts w:ascii="Arial" w:hAnsi="Arial" w:eastAsia="Arial" w:cs="Arial"/>
                <w:sz w:val="20"/>
                <w:szCs w:val="20"/>
              </w:rPr>
              <w:t>Associates the site with the correct hub</w:t>
            </w:r>
          </w:p>
          <w:p>
            <w:pPr>
              <w:pStyle w:val="14"/>
              <w:numPr>
                <w:ilvl w:val="0"/>
                <w:numId w:val="1"/>
              </w:numPr>
              <w:spacing w:before="30" w:after="30"/>
            </w:pPr>
            <w:r>
              <w:rPr>
                <w:rFonts w:ascii="Arial" w:hAnsi="Arial" w:eastAsia="Arial" w:cs="Arial"/>
                <w:sz w:val="20"/>
                <w:szCs w:val="20"/>
              </w:rPr>
              <w:t>Sends a welcome email to the Site Owner with links to the SPO Site Owner training module and governance guidance</w:t>
            </w:r>
          </w:p>
          <w:p>
            <w:pPr>
              <w:pStyle w:val="14"/>
              <w:numPr>
                <w:ilvl w:val="0"/>
                <w:numId w:val="1"/>
              </w:numPr>
              <w:spacing w:before="30" w:after="30"/>
            </w:pPr>
            <w:r>
              <w:rPr>
                <w:rFonts w:ascii="Arial" w:hAnsi="Arial" w:eastAsia="Arial" w:cs="Arial"/>
                <w:sz w:val="20"/>
                <w:szCs w:val="20"/>
              </w:rPr>
              <w:t>Records the site URL in the ServiceNow ticket and resolves it</w:t>
            </w:r>
          </w:p>
        </w:tc>
      </w:tr>
    </w:tbl>
    <w:p>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EAF4FB"/>
            <w:tcMar>
              <w:top w:w="100" w:type="dxa"/>
              <w:left w:w="140" w:type="dxa"/>
              <w:bottom w:w="100" w:type="dxa"/>
              <w:right w:w="140" w:type="dxa"/>
            </w:tcMar>
          </w:tcPr>
          <w:p>
            <w:pPr>
              <w:spacing w:before="40" w:after="40"/>
            </w:pPr>
            <w:r>
              <w:rPr>
                <w:rFonts w:ascii="Arial" w:hAnsi="Arial" w:eastAsia="Arial" w:cs="Arial"/>
                <w:b/>
                <w:bCs/>
                <w:color w:val="1A4E6E"/>
                <w:sz w:val="20"/>
                <w:szCs w:val="20"/>
              </w:rPr>
              <w:t xml:space="preserve">ℹ  </w:t>
            </w:r>
            <w:r>
              <w:rPr>
                <w:rFonts w:ascii="Arial" w:hAnsi="Arial" w:eastAsia="Arial" w:cs="Arial"/>
                <w:color w:val="1A4E6E"/>
                <w:sz w:val="20"/>
                <w:szCs w:val="20"/>
              </w:rPr>
              <w:t>Site Owners are required to complete the SPO Site Owner training module within 5 business days of the site being created. Non-completion may result in the site being placed in read-only mode pending training.</w:t>
            </w:r>
          </w:p>
        </w:tc>
      </w:tr>
    </w:tbl>
    <w:p>
      <w:pPr>
        <w:spacing w:before="0" w:after="80"/>
      </w:pPr>
    </w:p>
    <w:p>
      <w:pPr>
        <w:spacing w:before="0" w:after="80"/>
      </w:pPr>
    </w:p>
    <w:p>
      <w:pPr>
        <w:pStyle w:val="2"/>
        <w:pBdr>
          <w:bottom w:val="single" w:color="1C7293" w:sz="8" w:space="4"/>
        </w:pBdr>
        <w:spacing w:before="400" w:after="160"/>
      </w:pPr>
      <w:r>
        <w:rPr>
          <w:rFonts w:ascii="Arial" w:hAnsi="Arial" w:eastAsia="Arial" w:cs="Arial"/>
          <w:b/>
          <w:bCs/>
          <w:color w:val="0D2137"/>
          <w:sz w:val="36"/>
          <w:szCs w:val="36"/>
        </w:rPr>
        <w:t>3. SPO Outage and Incident Response</w:t>
      </w:r>
    </w:p>
    <w:p>
      <w:pPr>
        <w:spacing w:before="60" w:after="100"/>
      </w:pPr>
      <w:r>
        <w:rPr>
          <w:rFonts w:ascii="Arial" w:hAnsi="Arial" w:eastAsia="Arial" w:cs="Arial"/>
          <w:sz w:val="22"/>
          <w:szCs w:val="22"/>
        </w:rPr>
        <w:t>When SharePoint Online is unavailable or degraded, this process governs how the issue is detected, communicated, and resolved. All incidents are tracked in ServiceNow.</w:t>
      </w:r>
    </w:p>
    <w:p>
      <w:pPr>
        <w:pStyle w:val="3"/>
        <w:spacing w:before="320" w:after="120"/>
      </w:pPr>
      <w:r>
        <w:rPr>
          <w:rFonts w:ascii="Arial" w:hAnsi="Arial" w:eastAsia="Arial" w:cs="Arial"/>
          <w:b/>
          <w:bCs/>
          <w:color w:val="065A82"/>
          <w:sz w:val="28"/>
          <w:szCs w:val="28"/>
        </w:rPr>
        <w:t>3.1  Severity Classifications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2400"/>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Severity</w:t>
            </w:r>
          </w:p>
        </w:tc>
        <w:tc>
          <w:tcPr>
            <w:tcW w:w="24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Description</w:t>
            </w:r>
          </w:p>
        </w:tc>
        <w:tc>
          <w:tcPr>
            <w:tcW w:w="24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Example</w:t>
            </w:r>
          </w:p>
        </w:tc>
        <w:tc>
          <w:tcPr>
            <w:tcW w:w="27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Response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E0E8" w:sz="0" w:space="0"/>
              <w:left w:val="single" w:color="D5E0E8" w:sz="0" w:space="0"/>
              <w:bottom w:val="single" w:color="D5E0E8" w:sz="0" w:space="0"/>
              <w:right w:val="single" w:color="D5E0E8" w:sz="0" w:space="0"/>
            </w:tcBorders>
            <w:shd w:val="clear" w:color="auto" w:fill="C0392B"/>
            <w:tcMar>
              <w:top w:w="100" w:type="dxa"/>
              <w:left w:w="140" w:type="dxa"/>
              <w:bottom w:w="100" w:type="dxa"/>
              <w:right w:w="140" w:type="dxa"/>
            </w:tcMar>
          </w:tcPr>
          <w:p>
            <w:pPr>
              <w:spacing w:before="40" w:after="40"/>
            </w:pPr>
            <w:r>
              <w:rPr>
                <w:rFonts w:ascii="Arial" w:hAnsi="Arial" w:eastAsia="Arial" w:cs="Arial"/>
                <w:b/>
                <w:bCs/>
                <w:color w:val="FFFFFF"/>
                <w:sz w:val="20"/>
                <w:szCs w:val="20"/>
              </w:rPr>
              <w:t>SEV 1 — Full Outage</w:t>
            </w:r>
          </w:p>
        </w:tc>
        <w:tc>
          <w:tcPr>
            <w:tcW w:w="24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SharePoint Online is completely inaccessible across the organisation.</w:t>
            </w:r>
          </w:p>
        </w:tc>
        <w:tc>
          <w:tcPr>
            <w:tcW w:w="24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Users cannot log in or load any SPO page.</w:t>
            </w:r>
          </w:p>
        </w:tc>
        <w:tc>
          <w:tcPr>
            <w:tcW w:w="27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15 min notification to IT Manager. Org-wide advisory within 30 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E0E8" w:sz="0" w:space="0"/>
              <w:left w:val="single" w:color="D5E0E8" w:sz="0" w:space="0"/>
              <w:bottom w:val="single" w:color="D5E0E8" w:sz="0" w:space="0"/>
              <w:right w:val="single" w:color="D5E0E8" w:sz="0" w:space="0"/>
            </w:tcBorders>
            <w:shd w:val="clear" w:color="auto" w:fill="E67E22"/>
            <w:tcMar>
              <w:top w:w="100" w:type="dxa"/>
              <w:left w:w="140" w:type="dxa"/>
              <w:bottom w:w="100" w:type="dxa"/>
              <w:right w:w="140" w:type="dxa"/>
            </w:tcMar>
          </w:tcPr>
          <w:p>
            <w:pPr>
              <w:spacing w:before="40" w:after="40"/>
            </w:pPr>
            <w:r>
              <w:rPr>
                <w:rFonts w:ascii="Arial" w:hAnsi="Arial" w:eastAsia="Arial" w:cs="Arial"/>
                <w:b/>
                <w:bCs/>
                <w:color w:val="FFFFFF"/>
                <w:sz w:val="20"/>
                <w:szCs w:val="20"/>
              </w:rPr>
              <w:t>SEV 2 — Partial Outage</w:t>
            </w:r>
          </w:p>
        </w:tc>
        <w:tc>
          <w:tcPr>
            <w:tcW w:w="24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Specific SPO features or sites are unavailable.</w:t>
            </w:r>
          </w:p>
        </w:tc>
        <w:tc>
          <w:tcPr>
            <w:tcW w:w="24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Search is broken; specific libraries cannot be accessed.</w:t>
            </w:r>
          </w:p>
        </w:tc>
        <w:tc>
          <w:tcPr>
            <w:tcW w:w="27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Notify IT Manager within 1 hour. Advisory to affected teams.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D5E0E8" w:sz="0" w:space="0"/>
              <w:left w:val="single" w:color="D5E0E8" w:sz="0" w:space="0"/>
              <w:bottom w:val="single" w:color="D5E0E8" w:sz="0" w:space="0"/>
              <w:right w:val="single" w:color="D5E0E8" w:sz="0" w:space="0"/>
            </w:tcBorders>
            <w:shd w:val="clear" w:color="auto" w:fill="F39C12"/>
            <w:tcMar>
              <w:top w:w="100" w:type="dxa"/>
              <w:left w:w="140" w:type="dxa"/>
              <w:bottom w:w="100" w:type="dxa"/>
              <w:right w:w="140" w:type="dxa"/>
            </w:tcMar>
          </w:tcPr>
          <w:p>
            <w:pPr>
              <w:spacing w:before="40" w:after="40"/>
            </w:pPr>
            <w:r>
              <w:rPr>
                <w:rFonts w:ascii="Arial" w:hAnsi="Arial" w:eastAsia="Arial" w:cs="Arial"/>
                <w:b/>
                <w:bCs/>
                <w:color w:val="FFFFFF"/>
                <w:sz w:val="20"/>
                <w:szCs w:val="20"/>
              </w:rPr>
              <w:t>SEV 3 — Degraded Performance</w:t>
            </w:r>
          </w:p>
        </w:tc>
        <w:tc>
          <w:tcPr>
            <w:tcW w:w="24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SPO is accessible but slow or returning intermittent errors.</w:t>
            </w:r>
          </w:p>
        </w:tc>
        <w:tc>
          <w:tcPr>
            <w:tcW w:w="24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Pages load slowly; occasional 503 errors.</w:t>
            </w:r>
          </w:p>
        </w:tc>
        <w:tc>
          <w:tcPr>
            <w:tcW w:w="27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Monitor and log. Notify IT Manager if unresolved within 4 hours.</w:t>
            </w:r>
          </w:p>
        </w:tc>
      </w:tr>
    </w:tbl>
    <w:p>
      <w:pPr>
        <w:spacing w:before="0" w:after="80"/>
      </w:pPr>
    </w:p>
    <w:p>
      <w:pPr>
        <w:pStyle w:val="3"/>
        <w:spacing w:before="320" w:after="120"/>
      </w:pPr>
      <w:r>
        <w:rPr>
          <w:rFonts w:ascii="Arial" w:hAnsi="Arial" w:eastAsia="Arial" w:cs="Arial"/>
          <w:b/>
          <w:bCs/>
          <w:color w:val="065A82"/>
          <w:sz w:val="28"/>
          <w:szCs w:val="28"/>
        </w:rPr>
        <w:t>3.2  Step-by-Step Response Process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9"/>
        <w:gridCol w:w="2485"/>
        <w:gridCol w:w="60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Step</w:t>
            </w:r>
          </w:p>
        </w:tc>
        <w:tc>
          <w:tcPr>
            <w:tcW w:w="25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Action / Owner</w:t>
            </w:r>
          </w:p>
        </w:tc>
        <w:tc>
          <w:tcPr>
            <w:tcW w:w="61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1</w:t>
            </w:r>
          </w:p>
        </w:tc>
        <w:tc>
          <w:tcPr>
            <w:tcW w:w="25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Detect and Report</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User / SPO Admin</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Immediate</w:t>
            </w:r>
          </w:p>
        </w:tc>
        <w:tc>
          <w:tcPr>
            <w:tcW w:w="61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User reports an issue via ServiceNow using the 'SPO Incident' template, or</w:t>
            </w:r>
          </w:p>
          <w:p>
            <w:pPr>
              <w:pStyle w:val="14"/>
              <w:numPr>
                <w:ilvl w:val="0"/>
                <w:numId w:val="1"/>
              </w:numPr>
              <w:spacing w:before="30" w:after="30"/>
            </w:pPr>
            <w:r>
              <w:rPr>
                <w:rFonts w:ascii="Arial" w:hAnsi="Arial" w:eastAsia="Arial" w:cs="Arial"/>
                <w:sz w:val="20"/>
                <w:szCs w:val="20"/>
              </w:rPr>
              <w:t>SPO Admin detects the issue via the Microsoft 365 Service Health Dashboard</w:t>
            </w:r>
          </w:p>
          <w:p>
            <w:pPr>
              <w:pStyle w:val="14"/>
              <w:numPr>
                <w:ilvl w:val="0"/>
                <w:numId w:val="1"/>
              </w:numPr>
              <w:spacing w:before="30" w:after="30"/>
            </w:pPr>
            <w:r>
              <w:rPr>
                <w:rFonts w:ascii="Arial" w:hAnsi="Arial" w:eastAsia="Arial" w:cs="Arial"/>
                <w:sz w:val="20"/>
                <w:szCs w:val="20"/>
              </w:rPr>
              <w:t>Check the M365 Admin Centre: admin.microsoft.com → Health → Service Health</w:t>
            </w:r>
          </w:p>
          <w:p>
            <w:pPr>
              <w:pStyle w:val="14"/>
              <w:numPr>
                <w:ilvl w:val="0"/>
                <w:numId w:val="1"/>
              </w:numPr>
              <w:spacing w:before="30" w:after="30"/>
            </w:pPr>
            <w:r>
              <w:rPr>
                <w:rFonts w:ascii="Arial" w:hAnsi="Arial" w:eastAsia="Arial" w:cs="Arial"/>
                <w:sz w:val="20"/>
                <w:szCs w:val="20"/>
              </w:rPr>
              <w:t>Log a ServiceNow incident if one has not already been raised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2</w:t>
            </w:r>
          </w:p>
        </w:tc>
        <w:tc>
          <w:tcPr>
            <w:tcW w:w="25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Triage and Confirm</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SPO Admin</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Within 15 minutes</w:t>
            </w:r>
          </w:p>
        </w:tc>
        <w:tc>
          <w:tcPr>
            <w:tcW w:w="61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Confirm the scope: is this affecting one user, a team, or the entire organisation?</w:t>
            </w:r>
          </w:p>
          <w:p>
            <w:pPr>
              <w:pStyle w:val="14"/>
              <w:numPr>
                <w:ilvl w:val="0"/>
                <w:numId w:val="1"/>
              </w:numPr>
              <w:spacing w:before="30" w:after="30"/>
            </w:pPr>
            <w:r>
              <w:rPr>
                <w:rFonts w:ascii="Arial" w:hAnsi="Arial" w:eastAsia="Arial" w:cs="Arial"/>
                <w:sz w:val="20"/>
                <w:szCs w:val="20"/>
              </w:rPr>
              <w:t>Check the M365 Service Health Dashboard for any active Microsoft advisories or incidents</w:t>
            </w:r>
          </w:p>
          <w:p>
            <w:pPr>
              <w:pStyle w:val="14"/>
              <w:numPr>
                <w:ilvl w:val="0"/>
                <w:numId w:val="1"/>
              </w:numPr>
              <w:spacing w:before="30" w:after="30"/>
            </w:pPr>
            <w:r>
              <w:rPr>
                <w:rFonts w:ascii="Arial" w:hAnsi="Arial" w:eastAsia="Arial" w:cs="Arial"/>
                <w:sz w:val="20"/>
                <w:szCs w:val="20"/>
              </w:rPr>
              <w:t>Determine whether the issue is Microsoft-side (tenant/platform) or internal (network, configuration)</w:t>
            </w:r>
          </w:p>
          <w:p>
            <w:pPr>
              <w:pStyle w:val="14"/>
              <w:numPr>
                <w:ilvl w:val="0"/>
                <w:numId w:val="1"/>
              </w:numPr>
              <w:spacing w:before="30" w:after="30"/>
            </w:pPr>
            <w:r>
              <w:rPr>
                <w:rFonts w:ascii="Arial" w:hAnsi="Arial" w:eastAsia="Arial" w:cs="Arial"/>
                <w:sz w:val="20"/>
                <w:szCs w:val="20"/>
              </w:rPr>
              <w:t>Assign a severity level (SEV 1, 2, or 3) in the ServiceNow ticket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3</w:t>
            </w:r>
          </w:p>
        </w:tc>
        <w:tc>
          <w:tcPr>
            <w:tcW w:w="25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Communicate</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SPO Admin / IT Manager</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As per severity</w:t>
            </w:r>
          </w:p>
        </w:tc>
        <w:tc>
          <w:tcPr>
            <w:tcW w:w="61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SEV 1: Notify IT Manager within 15 minutes; send org-wide advisory via email or Teams</w:t>
            </w:r>
          </w:p>
          <w:p>
            <w:pPr>
              <w:pStyle w:val="14"/>
              <w:numPr>
                <w:ilvl w:val="0"/>
                <w:numId w:val="1"/>
              </w:numPr>
              <w:spacing w:before="30" w:after="30"/>
            </w:pPr>
            <w:r>
              <w:rPr>
                <w:rFonts w:ascii="Arial" w:hAnsi="Arial" w:eastAsia="Arial" w:cs="Arial"/>
                <w:sz w:val="20"/>
                <w:szCs w:val="20"/>
              </w:rPr>
              <w:t>SEV 2: Notify IT Manager and send advisory to affected teams</w:t>
            </w:r>
          </w:p>
          <w:p>
            <w:pPr>
              <w:pStyle w:val="14"/>
              <w:numPr>
                <w:ilvl w:val="0"/>
                <w:numId w:val="1"/>
              </w:numPr>
              <w:spacing w:before="30" w:after="30"/>
            </w:pPr>
            <w:r>
              <w:rPr>
                <w:rFonts w:ascii="Arial" w:hAnsi="Arial" w:eastAsia="Arial" w:cs="Arial"/>
                <w:sz w:val="20"/>
                <w:szCs w:val="20"/>
              </w:rPr>
              <w:t>SEV 3: Log the issue; notify IT Manager if unresolved after 4 hours</w:t>
            </w:r>
          </w:p>
          <w:p>
            <w:pPr>
              <w:pStyle w:val="14"/>
              <w:numPr>
                <w:ilvl w:val="0"/>
                <w:numId w:val="1"/>
              </w:numPr>
              <w:spacing w:before="30" w:after="30"/>
            </w:pPr>
            <w:r>
              <w:rPr>
                <w:rFonts w:ascii="Arial" w:hAnsi="Arial" w:eastAsia="Arial" w:cs="Arial"/>
                <w:sz w:val="20"/>
                <w:szCs w:val="20"/>
              </w:rPr>
              <w:t>Post a status update to the Intranet or IT Teams channel</w:t>
            </w:r>
          </w:p>
          <w:p>
            <w:pPr>
              <w:pStyle w:val="14"/>
              <w:numPr>
                <w:ilvl w:val="0"/>
                <w:numId w:val="1"/>
              </w:numPr>
              <w:spacing w:before="30" w:after="30"/>
            </w:pPr>
            <w:r>
              <w:rPr>
                <w:rFonts w:ascii="Arial" w:hAnsi="Arial" w:eastAsia="Arial" w:cs="Arial"/>
                <w:sz w:val="20"/>
                <w:szCs w:val="20"/>
              </w:rPr>
              <w:t>Update the ServiceNow ticket with all communications and findings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4</w:t>
            </w:r>
          </w:p>
        </w:tc>
        <w:tc>
          <w:tcPr>
            <w:tcW w:w="25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Resolve or Escalate</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SPO Admin / Microsoft</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As per severity</w:t>
            </w:r>
          </w:p>
        </w:tc>
        <w:tc>
          <w:tcPr>
            <w:tcW w:w="61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If internal issue: apply fix, test, and confirm resolution</w:t>
            </w:r>
          </w:p>
          <w:p>
            <w:pPr>
              <w:pStyle w:val="14"/>
              <w:numPr>
                <w:ilvl w:val="0"/>
                <w:numId w:val="1"/>
              </w:numPr>
              <w:spacing w:before="30" w:after="30"/>
            </w:pPr>
            <w:r>
              <w:rPr>
                <w:rFonts w:ascii="Arial" w:hAnsi="Arial" w:eastAsia="Arial" w:cs="Arial"/>
                <w:sz w:val="20"/>
                <w:szCs w:val="20"/>
              </w:rPr>
              <w:t>If Microsoft platform issue: log a Microsoft support ticket referencing the SHD advisory ID</w:t>
            </w:r>
          </w:p>
          <w:p>
            <w:pPr>
              <w:pStyle w:val="14"/>
              <w:numPr>
                <w:ilvl w:val="0"/>
                <w:numId w:val="1"/>
              </w:numPr>
              <w:spacing w:before="30" w:after="30"/>
            </w:pPr>
            <w:r>
              <w:rPr>
                <w:rFonts w:ascii="Arial" w:hAnsi="Arial" w:eastAsia="Arial" w:cs="Arial"/>
                <w:sz w:val="20"/>
                <w:szCs w:val="20"/>
              </w:rPr>
              <w:t>Monitor the Microsoft 365 Service Health Dashboard for updates</w:t>
            </w:r>
          </w:p>
          <w:p>
            <w:pPr>
              <w:pStyle w:val="14"/>
              <w:numPr>
                <w:ilvl w:val="0"/>
                <w:numId w:val="1"/>
              </w:numPr>
              <w:spacing w:before="30" w:after="30"/>
            </w:pPr>
            <w:r>
              <w:rPr>
                <w:rFonts w:ascii="Arial" w:hAnsi="Arial" w:eastAsia="Arial" w:cs="Arial"/>
                <w:sz w:val="20"/>
                <w:szCs w:val="20"/>
              </w:rPr>
              <w:t>Document all actions and timestamps in the ServiceNow ticket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5</w:t>
            </w:r>
          </w:p>
        </w:tc>
        <w:tc>
          <w:tcPr>
            <w:tcW w:w="25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Post-Incident Review</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SPO Admin / IT Manager</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Within 5 business days (SEV 1/2)</w:t>
            </w:r>
          </w:p>
        </w:tc>
        <w:tc>
          <w:tcPr>
            <w:tcW w:w="61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Resolve the ServiceNow ticket with a full description of the root cause and resolution</w:t>
            </w:r>
          </w:p>
          <w:p>
            <w:pPr>
              <w:pStyle w:val="14"/>
              <w:numPr>
                <w:ilvl w:val="0"/>
                <w:numId w:val="1"/>
              </w:numPr>
              <w:spacing w:before="30" w:after="30"/>
            </w:pPr>
            <w:r>
              <w:rPr>
                <w:rFonts w:ascii="Arial" w:hAnsi="Arial" w:eastAsia="Arial" w:cs="Arial"/>
                <w:sz w:val="20"/>
                <w:szCs w:val="20"/>
              </w:rPr>
              <w:t>For SEV 1 and SEV 2: complete a Post-Incident Review (PIR) document within 5 business days</w:t>
            </w:r>
          </w:p>
          <w:p>
            <w:pPr>
              <w:pStyle w:val="14"/>
              <w:numPr>
                <w:ilvl w:val="0"/>
                <w:numId w:val="1"/>
              </w:numPr>
              <w:spacing w:before="30" w:after="30"/>
            </w:pPr>
            <w:r>
              <w:rPr>
                <w:rFonts w:ascii="Arial" w:hAnsi="Arial" w:eastAsia="Arial" w:cs="Arial"/>
                <w:sz w:val="20"/>
                <w:szCs w:val="20"/>
              </w:rPr>
              <w:t>Identify any changes to process, monitoring, or configuration that would prevent recurrence</w:t>
            </w:r>
          </w:p>
          <w:p>
            <w:pPr>
              <w:pStyle w:val="14"/>
              <w:numPr>
                <w:ilvl w:val="0"/>
                <w:numId w:val="1"/>
              </w:numPr>
              <w:spacing w:before="30" w:after="30"/>
            </w:pPr>
            <w:r>
              <w:rPr>
                <w:rFonts w:ascii="Arial" w:hAnsi="Arial" w:eastAsia="Arial" w:cs="Arial"/>
                <w:sz w:val="20"/>
                <w:szCs w:val="20"/>
              </w:rPr>
              <w:t>Update the SPO Runbook on the Intranet Hub if a new resolution pattern was identified</w:t>
            </w:r>
          </w:p>
        </w:tc>
      </w:tr>
    </w:tbl>
    <w:p>
      <w:pPr>
        <w:spacing w:before="0" w:after="80"/>
      </w:pPr>
    </w:p>
    <w:p>
      <w:pPr>
        <w:pStyle w:val="3"/>
        <w:spacing w:before="320" w:after="120"/>
      </w:pPr>
      <w:r>
        <w:rPr>
          <w:rFonts w:ascii="Arial" w:hAnsi="Arial" w:eastAsia="Arial" w:cs="Arial"/>
          <w:b/>
          <w:bCs/>
          <w:color w:val="065A82"/>
          <w:sz w:val="28"/>
          <w:szCs w:val="28"/>
        </w:rPr>
        <w:t>3.3  Key Resources</w:t>
      </w:r>
    </w:p>
    <w:p>
      <w:pPr>
        <w:pStyle w:val="14"/>
        <w:numPr>
          <w:ilvl w:val="0"/>
          <w:numId w:val="1"/>
        </w:numPr>
        <w:spacing w:before="40" w:after="40"/>
      </w:pPr>
      <w:r>
        <w:rPr>
          <w:rFonts w:ascii="Arial" w:hAnsi="Arial" w:eastAsia="Arial" w:cs="Arial"/>
          <w:sz w:val="22"/>
          <w:szCs w:val="22"/>
        </w:rPr>
        <w:t>Microsoft 365 Service Health Dashboard: admin.microsoft.com/adminportal/home#/servicehealth</w:t>
      </w:r>
    </w:p>
    <w:p>
      <w:pPr>
        <w:pStyle w:val="14"/>
        <w:numPr>
          <w:ilvl w:val="0"/>
          <w:numId w:val="1"/>
        </w:numPr>
        <w:spacing w:before="40" w:after="40"/>
      </w:pPr>
      <w:r>
        <w:rPr>
          <w:rFonts w:ascii="Arial" w:hAnsi="Arial" w:eastAsia="Arial" w:cs="Arial"/>
          <w:sz w:val="22"/>
          <w:szCs w:val="22"/>
        </w:rPr>
        <w:t>ServiceNow SPO Incident Template: [link to template]</w:t>
      </w:r>
    </w:p>
    <w:p>
      <w:pPr>
        <w:pStyle w:val="14"/>
        <w:numPr>
          <w:ilvl w:val="0"/>
          <w:numId w:val="1"/>
        </w:numPr>
        <w:spacing w:before="40" w:after="40"/>
      </w:pPr>
      <w:r>
        <w:rPr>
          <w:rFonts w:ascii="Arial" w:hAnsi="Arial" w:eastAsia="Arial" w:cs="Arial"/>
          <w:sz w:val="22"/>
          <w:szCs w:val="22"/>
        </w:rPr>
        <w:t>SPO Runbook: [Intranet Hub &gt; IT &gt; SharePoint &gt; Runbook]</w:t>
      </w:r>
    </w:p>
    <w:p>
      <w:pPr>
        <w:pStyle w:val="14"/>
        <w:numPr>
          <w:ilvl w:val="0"/>
          <w:numId w:val="1"/>
        </w:numPr>
        <w:spacing w:before="40" w:after="40"/>
      </w:pPr>
      <w:r>
        <w:rPr>
          <w:rFonts w:ascii="Arial" w:hAnsi="Arial" w:eastAsia="Arial" w:cs="Arial"/>
          <w:sz w:val="22"/>
          <w:szCs w:val="22"/>
        </w:rPr>
        <w:t>IT Manager contact: [Name] — [phone/Teams]</w:t>
      </w:r>
    </w:p>
    <w:p>
      <w:pPr>
        <w:spacing w:before="0" w:after="80"/>
      </w:pPr>
    </w:p>
    <w:p>
      <w:pPr>
        <w:spacing w:before="0" w:after="80"/>
      </w:pPr>
    </w:p>
    <w:p>
      <w:pPr>
        <w:pStyle w:val="2"/>
        <w:pBdr>
          <w:bottom w:val="single" w:color="1C7293" w:sz="8" w:space="4"/>
        </w:pBdr>
        <w:spacing w:before="400" w:after="160"/>
      </w:pPr>
      <w:r>
        <w:rPr>
          <w:rFonts w:ascii="Arial" w:hAnsi="Arial" w:eastAsia="Arial" w:cs="Arial"/>
          <w:b/>
          <w:bCs/>
          <w:color w:val="0D2137"/>
          <w:sz w:val="36"/>
          <w:szCs w:val="36"/>
        </w:rPr>
        <w:t>4. Site Lifecycle Management</w:t>
      </w:r>
    </w:p>
    <w:p>
      <w:pPr>
        <w:spacing w:before="60" w:after="100"/>
      </w:pPr>
      <w:r>
        <w:rPr>
          <w:rFonts w:ascii="Arial" w:hAnsi="Arial" w:eastAsia="Arial" w:cs="Arial"/>
          <w:sz w:val="22"/>
          <w:szCs w:val="22"/>
        </w:rPr>
        <w:t>All SharePoint sites go through a defined lifecycle from creation through to decommissioning. SPO Admin conducts regular reviews to identify inactive sites and work with Site Owners to determine whether sites should be retained, archived, or removed. This keeps the environment clean, reduces storage costs, and ensures content remains relevant and findable.</w:t>
      </w:r>
    </w:p>
    <w:p>
      <w:pPr>
        <w:pStyle w:val="3"/>
        <w:spacing w:before="320" w:after="120"/>
      </w:pPr>
      <w:r>
        <w:rPr>
          <w:rFonts w:ascii="Arial" w:hAnsi="Arial" w:eastAsia="Arial" w:cs="Arial"/>
          <w:b/>
          <w:bCs/>
          <w:color w:val="065A82"/>
          <w:sz w:val="28"/>
          <w:szCs w:val="28"/>
        </w:rPr>
        <w:t>4.1  Lifecycle Stages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5"/>
        <w:gridCol w:w="2156"/>
        <w:gridCol w:w="1981"/>
        <w:gridCol w:w="1928"/>
        <w:gridCol w:w="1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5E0E8" w:sz="0" w:space="0"/>
              <w:left w:val="single" w:color="D5E0E8" w:sz="0" w:space="0"/>
              <w:bottom w:val="single" w:color="D5E0E8" w:sz="0" w:space="0"/>
              <w:right w:val="single" w:color="D5E0E8" w:sz="0" w:space="0"/>
            </w:tcBorders>
            <w:shd w:val="clear" w:color="auto" w:fill="1A7A44"/>
            <w:tcMar>
              <w:top w:w="100" w:type="dxa"/>
              <w:left w:w="140" w:type="dxa"/>
              <w:bottom w:w="100" w:type="dxa"/>
              <w:right w:w="140" w:type="dxa"/>
            </w:tcMar>
          </w:tcPr>
          <w:p>
            <w:pPr>
              <w:spacing w:before="40" w:after="40"/>
            </w:pPr>
            <w:r>
              <w:rPr>
                <w:rFonts w:ascii="Arial" w:hAnsi="Arial" w:eastAsia="Arial" w:cs="Arial"/>
                <w:b/>
                <w:bCs/>
                <w:color w:val="FFFFFF"/>
                <w:sz w:val="20"/>
                <w:szCs w:val="20"/>
              </w:rPr>
              <w:t>Active</w:t>
            </w:r>
          </w:p>
        </w:tc>
        <w:tc>
          <w:tcPr>
            <w:tcW w:w="2200" w:type="dxa"/>
            <w:tcBorders>
              <w:top w:val="single" w:color="D5E0E8" w:sz="0" w:space="0"/>
              <w:left w:val="single" w:color="D5E0E8" w:sz="0" w:space="0"/>
              <w:bottom w:val="single" w:color="D5E0E8" w:sz="0" w:space="0"/>
              <w:right w:val="single" w:color="D5E0E8" w:sz="0" w:space="0"/>
            </w:tcBorders>
            <w:shd w:val="clear" w:color="auto" w:fill="E67E22"/>
            <w:tcMar>
              <w:top w:w="100" w:type="dxa"/>
              <w:left w:w="140" w:type="dxa"/>
              <w:bottom w:w="100" w:type="dxa"/>
              <w:right w:w="140" w:type="dxa"/>
            </w:tcMar>
          </w:tcPr>
          <w:p>
            <w:pPr>
              <w:spacing w:before="40" w:after="40"/>
            </w:pPr>
            <w:r>
              <w:rPr>
                <w:rFonts w:ascii="Arial" w:hAnsi="Arial" w:eastAsia="Arial" w:cs="Arial"/>
                <w:b/>
                <w:bCs/>
                <w:color w:val="FFFFFF"/>
                <w:sz w:val="20"/>
                <w:szCs w:val="20"/>
              </w:rPr>
              <w:t>Inactive Alert</w:t>
            </w:r>
          </w:p>
        </w:tc>
        <w:tc>
          <w:tcPr>
            <w:tcW w:w="2000" w:type="dxa"/>
            <w:tcBorders>
              <w:top w:val="single" w:color="D5E0E8" w:sz="0" w:space="0"/>
              <w:left w:val="single" w:color="D5E0E8" w:sz="0" w:space="0"/>
              <w:bottom w:val="single" w:color="D5E0E8" w:sz="0" w:space="0"/>
              <w:right w:val="single" w:color="D5E0E8" w:sz="0" w:space="0"/>
            </w:tcBorders>
            <w:shd w:val="clear" w:color="auto" w:fill="065A82"/>
            <w:tcMar>
              <w:top w:w="100" w:type="dxa"/>
              <w:left w:w="140" w:type="dxa"/>
              <w:bottom w:w="100" w:type="dxa"/>
              <w:right w:w="140" w:type="dxa"/>
            </w:tcMar>
          </w:tcPr>
          <w:p>
            <w:pPr>
              <w:spacing w:before="40" w:after="40"/>
            </w:pPr>
            <w:r>
              <w:rPr>
                <w:rFonts w:ascii="Arial" w:hAnsi="Arial" w:eastAsia="Arial" w:cs="Arial"/>
                <w:b/>
                <w:bCs/>
                <w:color w:val="FFFFFF"/>
                <w:sz w:val="20"/>
                <w:szCs w:val="20"/>
              </w:rPr>
              <w:t>Owner Review</w:t>
            </w:r>
          </w:p>
        </w:tc>
        <w:tc>
          <w:tcPr>
            <w:tcW w:w="1960" w:type="dxa"/>
            <w:tcBorders>
              <w:top w:val="single" w:color="D5E0E8" w:sz="0" w:space="0"/>
              <w:left w:val="single" w:color="D5E0E8" w:sz="0" w:space="0"/>
              <w:bottom w:val="single" w:color="D5E0E8" w:sz="0" w:space="0"/>
              <w:right w:val="single" w:color="D5E0E8" w:sz="0" w:space="0"/>
            </w:tcBorders>
            <w:shd w:val="clear" w:color="auto" w:fill="5D6D7E"/>
            <w:tcMar>
              <w:top w:w="100" w:type="dxa"/>
              <w:left w:w="140" w:type="dxa"/>
              <w:bottom w:w="100" w:type="dxa"/>
              <w:right w:w="140" w:type="dxa"/>
            </w:tcMar>
          </w:tcPr>
          <w:p>
            <w:pPr>
              <w:spacing w:before="40" w:after="40"/>
            </w:pPr>
            <w:r>
              <w:rPr>
                <w:rFonts w:ascii="Arial" w:hAnsi="Arial" w:eastAsia="Arial" w:cs="Arial"/>
                <w:b/>
                <w:bCs/>
                <w:color w:val="FFFFFF"/>
                <w:sz w:val="20"/>
                <w:szCs w:val="20"/>
              </w:rPr>
              <w:t>Archive</w:t>
            </w:r>
          </w:p>
        </w:tc>
        <w:tc>
          <w:tcPr>
            <w:tcW w:w="1800" w:type="dxa"/>
            <w:tcBorders>
              <w:top w:val="single" w:color="D5E0E8" w:sz="0" w:space="0"/>
              <w:left w:val="single" w:color="D5E0E8" w:sz="0" w:space="0"/>
              <w:bottom w:val="single" w:color="D5E0E8" w:sz="0" w:space="0"/>
              <w:right w:val="single" w:color="D5E0E8" w:sz="0" w:space="0"/>
            </w:tcBorders>
            <w:shd w:val="clear" w:color="auto" w:fill="C0392B"/>
            <w:tcMar>
              <w:top w:w="100" w:type="dxa"/>
              <w:left w:w="140" w:type="dxa"/>
              <w:bottom w:w="100" w:type="dxa"/>
              <w:right w:w="140" w:type="dxa"/>
            </w:tcMar>
          </w:tcPr>
          <w:p>
            <w:pPr>
              <w:spacing w:before="40" w:after="40"/>
            </w:pPr>
            <w:r>
              <w:rPr>
                <w:rFonts w:ascii="Arial" w:hAnsi="Arial" w:eastAsia="Arial" w:cs="Arial"/>
                <w:b/>
                <w:bCs/>
                <w:color w:val="FFFFFF"/>
                <w:sz w:val="20"/>
                <w:szCs w:val="20"/>
              </w:rPr>
              <w:t>Decommission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color w:val="1A1A1A"/>
                <w:sz w:val="19"/>
                <w:szCs w:val="19"/>
              </w:rPr>
              <w:t>Site is in regular use. Activity detected within the last 180 days.</w:t>
            </w:r>
          </w:p>
        </w:tc>
        <w:tc>
          <w:tcPr>
            <w:tcW w:w="22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color w:val="1A1A1A"/>
                <w:sz w:val="19"/>
                <w:szCs w:val="19"/>
              </w:rPr>
              <w:t>No activity detected for 180+ days. Site Owner is notified to review.</w:t>
            </w:r>
          </w:p>
        </w:tc>
        <w:tc>
          <w:tcPr>
            <w:tcW w:w="20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color w:val="1A1A1A"/>
                <w:sz w:val="19"/>
                <w:szCs w:val="19"/>
              </w:rPr>
              <w:t>Site Owner has 30 days to confirm whether to keep, archive, or decommission.</w:t>
            </w:r>
          </w:p>
        </w:tc>
        <w:tc>
          <w:tcPr>
            <w:tcW w:w="19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color w:val="1A1A1A"/>
                <w:sz w:val="19"/>
                <w:szCs w:val="19"/>
              </w:rPr>
              <w:t>Site set to read-only. Retained for 12 months. Restorable on request.</w:t>
            </w:r>
          </w:p>
        </w:tc>
        <w:tc>
          <w:tcPr>
            <w:tcW w:w="18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color w:val="1A1A1A"/>
                <w:sz w:val="19"/>
                <w:szCs w:val="19"/>
              </w:rPr>
              <w:t>Site is deleted. Content backed up for 30 days before permanent deletion.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i/>
                <w:iCs/>
                <w:color w:val="555555"/>
                <w:sz w:val="18"/>
                <w:szCs w:val="18"/>
              </w:rPr>
              <w:t>No action required.</w:t>
            </w:r>
          </w:p>
        </w:tc>
        <w:tc>
          <w:tcPr>
            <w:tcW w:w="22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i/>
                <w:iCs/>
                <w:color w:val="555555"/>
                <w:sz w:val="18"/>
                <w:szCs w:val="18"/>
              </w:rPr>
              <w:t>SPO Admin sends review email.</w:t>
            </w:r>
          </w:p>
        </w:tc>
        <w:tc>
          <w:tcPr>
            <w:tcW w:w="20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i/>
                <w:iCs/>
                <w:color w:val="555555"/>
                <w:sz w:val="18"/>
                <w:szCs w:val="18"/>
              </w:rPr>
              <w:t>Site Owner responds to review email.</w:t>
            </w:r>
          </w:p>
        </w:tc>
        <w:tc>
          <w:tcPr>
            <w:tcW w:w="19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i/>
                <w:iCs/>
                <w:color w:val="555555"/>
                <w:sz w:val="18"/>
                <w:szCs w:val="18"/>
              </w:rPr>
              <w:t>Owner chooses archive, or no response after 30 days.</w:t>
            </w:r>
          </w:p>
        </w:tc>
        <w:tc>
          <w:tcPr>
            <w:tcW w:w="18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i/>
                <w:iCs/>
                <w:color w:val="555555"/>
                <w:sz w:val="18"/>
                <w:szCs w:val="18"/>
              </w:rPr>
              <w:t>Archive period ends, or owner requests deletion.</w:t>
            </w:r>
          </w:p>
        </w:tc>
      </w:tr>
    </w:tbl>
    <w:p>
      <w:pPr>
        <w:spacing w:before="0" w:after="80"/>
      </w:pPr>
    </w:p>
    <w:p>
      <w:pPr>
        <w:pStyle w:val="3"/>
        <w:spacing w:before="320" w:after="120"/>
      </w:pPr>
      <w:r>
        <w:rPr>
          <w:rFonts w:ascii="Arial" w:hAnsi="Arial" w:eastAsia="Arial" w:cs="Arial"/>
          <w:b/>
          <w:bCs/>
          <w:color w:val="065A82"/>
          <w:sz w:val="28"/>
          <w:szCs w:val="28"/>
        </w:rPr>
        <w:t>4.2  Review Cadence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360"/>
        <w:gridCol w:w="2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Frequency</w:t>
            </w:r>
          </w:p>
        </w:tc>
        <w:tc>
          <w:tcPr>
            <w:tcW w:w="43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Activity</w:t>
            </w:r>
          </w:p>
        </w:tc>
        <w:tc>
          <w:tcPr>
            <w:tcW w:w="28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Responsible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Quarterly</w:t>
            </w:r>
          </w:p>
        </w:tc>
        <w:tc>
          <w:tcPr>
            <w:tcW w:w="43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SPO Admin reviews the site activity report and flags sites with no activity in 180+ days.</w:t>
            </w:r>
          </w:p>
        </w:tc>
        <w:tc>
          <w:tcPr>
            <w:tcW w:w="28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SPO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Semi-Annual</w:t>
            </w:r>
          </w:p>
        </w:tc>
        <w:tc>
          <w:tcPr>
            <w:tcW w:w="43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Site Owners of inactive sites are formally notified via ServiceNow ticket.</w:t>
            </w:r>
          </w:p>
        </w:tc>
        <w:tc>
          <w:tcPr>
            <w:tcW w:w="28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SPO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Annual</w:t>
            </w:r>
          </w:p>
        </w:tc>
        <w:tc>
          <w:tcPr>
            <w:tcW w:w="43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Full site inventory review conducted with IT Manager. All sites validated against business need.</w:t>
            </w:r>
          </w:p>
        </w:tc>
        <w:tc>
          <w:tcPr>
            <w:tcW w:w="28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SPO Admin + IT 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Ad-hoc</w:t>
            </w:r>
          </w:p>
        </w:tc>
        <w:tc>
          <w:tcPr>
            <w:tcW w:w="43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Site Owners may request decommissioning at any time by submitting a ServiceNow ticket.</w:t>
            </w:r>
          </w:p>
        </w:tc>
        <w:tc>
          <w:tcPr>
            <w:tcW w:w="28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Site Owner</w:t>
            </w:r>
          </w:p>
        </w:tc>
      </w:tr>
    </w:tbl>
    <w:p>
      <w:pPr>
        <w:spacing w:before="0" w:after="80"/>
      </w:pPr>
    </w:p>
    <w:p>
      <w:pPr>
        <w:pStyle w:val="3"/>
        <w:spacing w:before="320" w:after="120"/>
      </w:pPr>
      <w:r>
        <w:rPr>
          <w:rFonts w:ascii="Arial" w:hAnsi="Arial" w:eastAsia="Arial" w:cs="Arial"/>
          <w:b/>
          <w:bCs/>
          <w:color w:val="065A82"/>
          <w:sz w:val="28"/>
          <w:szCs w:val="28"/>
        </w:rPr>
        <w:t>4.3  Site Owner Responsibilities During Review</w:t>
      </w:r>
    </w:p>
    <w:p>
      <w:pPr>
        <w:spacing w:before="60" w:after="100"/>
      </w:pPr>
      <w:r>
        <w:rPr>
          <w:rFonts w:ascii="Arial" w:hAnsi="Arial" w:eastAsia="Arial" w:cs="Arial"/>
          <w:sz w:val="22"/>
          <w:szCs w:val="22"/>
        </w:rPr>
        <w:t>When notified that a site is inactive, the Site Owner must respond within 30 days. Failure to respond will result in the site being automatically archived. The Site Owner's options are:</w:t>
      </w:r>
    </w:p>
    <w:p>
      <w:pPr>
        <w:pStyle w:val="14"/>
        <w:numPr>
          <w:ilvl w:val="0"/>
          <w:numId w:val="1"/>
        </w:numPr>
        <w:spacing w:before="40" w:after="40"/>
      </w:pPr>
      <w:r>
        <w:rPr>
          <w:rFonts w:ascii="Arial" w:hAnsi="Arial" w:eastAsia="Arial" w:cs="Arial"/>
          <w:sz w:val="22"/>
          <w:szCs w:val="22"/>
        </w:rPr>
        <w:t>Keep Active: Confirm the site is still required and provide a brief reason. SPO Admin resets the review clock.</w:t>
      </w:r>
    </w:p>
    <w:p>
      <w:pPr>
        <w:pStyle w:val="14"/>
        <w:numPr>
          <w:ilvl w:val="0"/>
          <w:numId w:val="1"/>
        </w:numPr>
        <w:spacing w:before="40" w:after="40"/>
      </w:pPr>
      <w:r>
        <w:rPr>
          <w:rFonts w:ascii="Arial" w:hAnsi="Arial" w:eastAsia="Arial" w:cs="Arial"/>
          <w:sz w:val="22"/>
          <w:szCs w:val="22"/>
        </w:rPr>
        <w:t>Archive: Site is set to read-only. All content is preserved and can be restored on request within 12 months.</w:t>
      </w:r>
    </w:p>
    <w:p>
      <w:pPr>
        <w:pStyle w:val="14"/>
        <w:numPr>
          <w:ilvl w:val="0"/>
          <w:numId w:val="1"/>
        </w:numPr>
        <w:spacing w:before="40" w:after="40"/>
      </w:pPr>
      <w:r>
        <w:rPr>
          <w:rFonts w:ascii="Arial" w:hAnsi="Arial" w:eastAsia="Arial" w:cs="Arial"/>
          <w:sz w:val="22"/>
          <w:szCs w:val="22"/>
        </w:rPr>
        <w:t>Decommission: Site is scheduled for deletion. SPO Admin will confirm a deletion date and back up the content.</w:t>
      </w:r>
    </w:p>
    <w:p>
      <w:pPr>
        <w:spacing w:before="0" w:after="80"/>
      </w:pPr>
    </w:p>
    <w:p>
      <w:pPr>
        <w:spacing w:before="0" w:after="80"/>
      </w:pPr>
    </w:p>
    <w:p>
      <w:pPr>
        <w:pStyle w:val="2"/>
        <w:pBdr>
          <w:bottom w:val="single" w:color="1C7293" w:sz="8" w:space="4"/>
        </w:pBdr>
        <w:spacing w:before="400" w:after="160"/>
      </w:pPr>
      <w:r>
        <w:rPr>
          <w:rFonts w:ascii="Arial" w:hAnsi="Arial" w:eastAsia="Arial" w:cs="Arial"/>
          <w:b/>
          <w:bCs/>
          <w:color w:val="0D2137"/>
          <w:sz w:val="36"/>
          <w:szCs w:val="36"/>
        </w:rPr>
        <w:t>5. External Guest Access (Proposed)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3E0"/>
            <w:tcMar>
              <w:top w:w="100" w:type="dxa"/>
              <w:left w:w="140" w:type="dxa"/>
              <w:bottom w:w="100" w:type="dxa"/>
              <w:right w:w="140" w:type="dxa"/>
            </w:tcMar>
          </w:tcPr>
          <w:p>
            <w:pPr>
              <w:spacing w:before="40" w:after="40"/>
            </w:pPr>
            <w:r>
              <w:rPr>
                <w:rFonts w:ascii="Arial" w:hAnsi="Arial" w:eastAsia="Arial" w:cs="Arial"/>
                <w:b/>
                <w:bCs/>
                <w:color w:val="7D4E00"/>
                <w:sz w:val="20"/>
                <w:szCs w:val="20"/>
              </w:rPr>
              <w:t xml:space="preserve">📋  </w:t>
            </w:r>
            <w:r>
              <w:rPr>
                <w:rFonts w:ascii="Arial" w:hAnsi="Arial" w:eastAsia="Arial" w:cs="Arial"/>
                <w:color w:val="7D4E00"/>
                <w:sz w:val="20"/>
                <w:szCs w:val="20"/>
              </w:rPr>
              <w:t>Note: The process for external guest access has not yet been finalised. The steps below are proposed and are subject to review and approval before being formally adopted. This section should not be treated as current policy.</w:t>
            </w:r>
          </w:p>
        </w:tc>
      </w:tr>
    </w:tbl>
    <w:p>
      <w:pPr>
        <w:spacing w:before="60" w:after="100"/>
      </w:pPr>
      <w:r>
        <w:rPr>
          <w:rFonts w:ascii="Arial" w:hAnsi="Arial" w:eastAsia="Arial" w:cs="Arial"/>
          <w:sz w:val="22"/>
          <w:szCs w:val="22"/>
        </w:rPr>
        <w:t>The proposed process below outlines how external guest access would work once approved. External guest access would allow users outside the organisation (non-org email addresses) to access specific SharePoint sites. Because external sharing carries additional security risk, it is proposed that it requires an elevated approval path, with all access being time-limited, audited, and subject to renewal or revocation.</w:t>
      </w:r>
    </w:p>
    <w:p>
      <w:pPr>
        <w:pStyle w:val="3"/>
        <w:spacing w:before="320" w:after="120"/>
      </w:pPr>
      <w:r>
        <w:rPr>
          <w:rFonts w:ascii="Arial" w:hAnsi="Arial" w:eastAsia="Arial" w:cs="Arial"/>
          <w:b/>
          <w:bCs/>
          <w:color w:val="065A82"/>
          <w:sz w:val="28"/>
          <w:szCs w:val="28"/>
        </w:rPr>
        <w:t>5.1  Proposed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Field</w:t>
            </w:r>
          </w:p>
        </w:tc>
        <w:tc>
          <w:tcPr>
            <w:tcW w:w="65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Ticket Type</w:t>
            </w:r>
          </w:p>
        </w:tc>
        <w:tc>
          <w:tcPr>
            <w:tcW w:w="65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SPO External Access Request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Submitted By</w:t>
            </w:r>
          </w:p>
        </w:tc>
        <w:tc>
          <w:tcPr>
            <w:tcW w:w="65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Internal staff member or Site Owner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Approver</w:t>
            </w:r>
          </w:p>
        </w:tc>
        <w:tc>
          <w:tcPr>
            <w:tcW w:w="65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Business Unit 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Fulfilled By</w:t>
            </w:r>
          </w:p>
        </w:tc>
        <w:tc>
          <w:tcPr>
            <w:tcW w:w="65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SPO Admin / IT Security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Default Access Period</w:t>
            </w:r>
          </w:p>
        </w:tc>
        <w:tc>
          <w:tcPr>
            <w:tcW w:w="65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90 days (can be shorter; extension requires a new request)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Maximum Permission</w:t>
            </w:r>
          </w:p>
        </w:tc>
        <w:tc>
          <w:tcPr>
            <w:tcW w:w="65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Contribute — guests cannot be granted Member, Owner, or admin rights</w:t>
            </w:r>
          </w:p>
        </w:tc>
      </w:tr>
    </w:tbl>
    <w:p>
      <w:pPr>
        <w:spacing w:before="0" w:after="80"/>
      </w:pPr>
    </w:p>
    <w:p>
      <w:pPr>
        <w:pStyle w:val="3"/>
        <w:spacing w:before="320" w:after="120"/>
      </w:pPr>
      <w:r>
        <w:rPr>
          <w:rFonts w:ascii="Arial" w:hAnsi="Arial" w:eastAsia="Arial" w:cs="Arial"/>
          <w:b/>
          <w:bCs/>
          <w:color w:val="065A82"/>
          <w:sz w:val="28"/>
          <w:szCs w:val="28"/>
        </w:rPr>
        <w:t>5.2  Proposed Step-by-Step Process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9"/>
        <w:gridCol w:w="2480"/>
        <w:gridCol w:w="6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Step</w:t>
            </w:r>
          </w:p>
        </w:tc>
        <w:tc>
          <w:tcPr>
            <w:tcW w:w="25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Action / Owner</w:t>
            </w:r>
          </w:p>
        </w:tc>
        <w:tc>
          <w:tcPr>
            <w:tcW w:w="61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1</w:t>
            </w:r>
          </w:p>
        </w:tc>
        <w:tc>
          <w:tcPr>
            <w:tcW w:w="25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Submit Request</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User / Site Owner</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Day 0</w:t>
            </w:r>
          </w:p>
        </w:tc>
        <w:tc>
          <w:tcPr>
            <w:tcW w:w="61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Log in to the ServiceNow portal</w:t>
            </w:r>
          </w:p>
          <w:p>
            <w:pPr>
              <w:pStyle w:val="14"/>
              <w:numPr>
                <w:ilvl w:val="0"/>
                <w:numId w:val="1"/>
              </w:numPr>
              <w:spacing w:before="30" w:after="30"/>
            </w:pPr>
            <w:r>
              <w:rPr>
                <w:rFonts w:ascii="Arial" w:hAnsi="Arial" w:eastAsia="Arial" w:cs="Arial"/>
                <w:sz w:val="20"/>
                <w:szCs w:val="20"/>
              </w:rPr>
              <w:t>Open the 'SPO External Access Request' form</w:t>
            </w:r>
          </w:p>
          <w:p>
            <w:pPr>
              <w:pStyle w:val="14"/>
              <w:numPr>
                <w:ilvl w:val="0"/>
                <w:numId w:val="1"/>
              </w:numPr>
              <w:spacing w:before="30" w:after="30"/>
            </w:pPr>
            <w:r>
              <w:rPr>
                <w:rFonts w:ascii="Arial" w:hAnsi="Arial" w:eastAsia="Arial" w:cs="Arial"/>
                <w:sz w:val="20"/>
                <w:szCs w:val="20"/>
              </w:rPr>
              <w:t>Provide: guest's full name, email address, organisation, site URL, permission level needed, access duration, and business justification</w:t>
            </w:r>
          </w:p>
          <w:p>
            <w:pPr>
              <w:pStyle w:val="14"/>
              <w:numPr>
                <w:ilvl w:val="0"/>
                <w:numId w:val="1"/>
              </w:numPr>
              <w:spacing w:before="30" w:after="30"/>
            </w:pPr>
            <w:r>
              <w:rPr>
                <w:rFonts w:ascii="Arial" w:hAnsi="Arial" w:eastAsia="Arial" w:cs="Arial"/>
                <w:sz w:val="20"/>
                <w:szCs w:val="20"/>
              </w:rPr>
              <w:t>Submit the ticket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2</w:t>
            </w:r>
          </w:p>
        </w:tc>
        <w:tc>
          <w:tcPr>
            <w:tcW w:w="25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BU Manager Approval</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BU Manager</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Within 1 business day</w:t>
            </w:r>
          </w:p>
        </w:tc>
        <w:tc>
          <w:tcPr>
            <w:tcW w:w="61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BU Manager receives an email notification from ServiceNow</w:t>
            </w:r>
          </w:p>
          <w:p>
            <w:pPr>
              <w:pStyle w:val="14"/>
              <w:numPr>
                <w:ilvl w:val="0"/>
                <w:numId w:val="1"/>
              </w:numPr>
              <w:spacing w:before="30" w:after="30"/>
            </w:pPr>
            <w:r>
              <w:rPr>
                <w:rFonts w:ascii="Arial" w:hAnsi="Arial" w:eastAsia="Arial" w:cs="Arial"/>
                <w:sz w:val="20"/>
                <w:szCs w:val="20"/>
              </w:rPr>
              <w:t>Reviews the request and confirms the business need for external access</w:t>
            </w:r>
          </w:p>
          <w:p>
            <w:pPr>
              <w:pStyle w:val="14"/>
              <w:numPr>
                <w:ilvl w:val="0"/>
                <w:numId w:val="1"/>
              </w:numPr>
              <w:spacing w:before="30" w:after="30"/>
            </w:pPr>
            <w:r>
              <w:rPr>
                <w:rFonts w:ascii="Arial" w:hAnsi="Arial" w:eastAsia="Arial" w:cs="Arial"/>
                <w:sz w:val="20"/>
                <w:szCs w:val="20"/>
              </w:rPr>
              <w:t>Approves or denies — denial closes the ticket with the reason recorded</w:t>
            </w:r>
          </w:p>
          <w:p>
            <w:pPr>
              <w:pStyle w:val="14"/>
              <w:numPr>
                <w:ilvl w:val="0"/>
                <w:numId w:val="1"/>
              </w:numPr>
              <w:spacing w:before="30" w:after="30"/>
            </w:pPr>
            <w:r>
              <w:rPr>
                <w:rFonts w:ascii="Arial" w:hAnsi="Arial" w:eastAsia="Arial" w:cs="Arial"/>
                <w:sz w:val="20"/>
                <w:szCs w:val="20"/>
              </w:rPr>
              <w:t>Approved tickets are automatically routed to SPO Admin / IT Security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3</w:t>
            </w:r>
          </w:p>
        </w:tc>
        <w:tc>
          <w:tcPr>
            <w:tcW w:w="25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SPO Admin / IT Security Review</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SPO Admin / IT Security</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Within 1 business day of approval</w:t>
            </w:r>
          </w:p>
        </w:tc>
        <w:tc>
          <w:tcPr>
            <w:tcW w:w="61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Confirms the guest's email domain is not on the organisation's blocked domain list</w:t>
            </w:r>
          </w:p>
          <w:p>
            <w:pPr>
              <w:pStyle w:val="14"/>
              <w:numPr>
                <w:ilvl w:val="0"/>
                <w:numId w:val="1"/>
              </w:numPr>
              <w:spacing w:before="30" w:after="30"/>
            </w:pPr>
            <w:r>
              <w:rPr>
                <w:rFonts w:ascii="Arial" w:hAnsi="Arial" w:eastAsia="Arial" w:cs="Arial"/>
                <w:sz w:val="20"/>
                <w:szCs w:val="20"/>
              </w:rPr>
              <w:t>Verifies that external sharing is enabled for the target site</w:t>
            </w:r>
          </w:p>
          <w:p>
            <w:pPr>
              <w:pStyle w:val="14"/>
              <w:numPr>
                <w:ilvl w:val="0"/>
                <w:numId w:val="1"/>
              </w:numPr>
              <w:spacing w:before="30" w:after="30"/>
            </w:pPr>
            <w:r>
              <w:rPr>
                <w:rFonts w:ascii="Arial" w:hAnsi="Arial" w:eastAsia="Arial" w:cs="Arial"/>
                <w:sz w:val="20"/>
                <w:szCs w:val="20"/>
              </w:rPr>
              <w:t>Confirms access duration and permission level are appropriate</w:t>
            </w:r>
          </w:p>
          <w:p>
            <w:pPr>
              <w:pStyle w:val="14"/>
              <w:numPr>
                <w:ilvl w:val="0"/>
                <w:numId w:val="1"/>
              </w:numPr>
              <w:spacing w:before="30" w:after="30"/>
            </w:pPr>
            <w:r>
              <w:rPr>
                <w:rFonts w:ascii="Arial" w:hAnsi="Arial" w:eastAsia="Arial" w:cs="Arial"/>
                <w:sz w:val="20"/>
                <w:szCs w:val="20"/>
              </w:rPr>
              <w:t>Logs the guest in the External Access Register (maintained by SPO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4</w:t>
            </w:r>
          </w:p>
        </w:tc>
        <w:tc>
          <w:tcPr>
            <w:tcW w:w="25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Send Guest Invitation</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SPO Admin</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Same day as review completion</w:t>
            </w:r>
          </w:p>
        </w:tc>
        <w:tc>
          <w:tcPr>
            <w:tcW w:w="61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Sends a guest invitation via Azure AD B2B to the guest's email address</w:t>
            </w:r>
          </w:p>
          <w:p>
            <w:pPr>
              <w:pStyle w:val="14"/>
              <w:numPr>
                <w:ilvl w:val="0"/>
                <w:numId w:val="1"/>
              </w:numPr>
              <w:spacing w:before="30" w:after="30"/>
            </w:pPr>
            <w:r>
              <w:rPr>
                <w:rFonts w:ascii="Arial" w:hAnsi="Arial" w:eastAsia="Arial" w:cs="Arial"/>
                <w:sz w:val="20"/>
                <w:szCs w:val="20"/>
              </w:rPr>
              <w:t>Sets the access expiry date in line with the approved duration (default 90 days)</w:t>
            </w:r>
          </w:p>
          <w:p>
            <w:pPr>
              <w:pStyle w:val="14"/>
              <w:numPr>
                <w:ilvl w:val="0"/>
                <w:numId w:val="1"/>
              </w:numPr>
              <w:spacing w:before="30" w:after="30"/>
            </w:pPr>
            <w:r>
              <w:rPr>
                <w:rFonts w:ascii="Arial" w:hAnsi="Arial" w:eastAsia="Arial" w:cs="Arial"/>
                <w:sz w:val="20"/>
                <w:szCs w:val="20"/>
              </w:rPr>
              <w:t>Updates the External Access Register with the guest details, site, expiry date, and approver</w:t>
            </w:r>
          </w:p>
          <w:p>
            <w:pPr>
              <w:pStyle w:val="14"/>
              <w:numPr>
                <w:ilvl w:val="0"/>
                <w:numId w:val="1"/>
              </w:numPr>
              <w:spacing w:before="30" w:after="30"/>
            </w:pPr>
            <w:r>
              <w:rPr>
                <w:rFonts w:ascii="Arial" w:hAnsi="Arial" w:eastAsia="Arial" w:cs="Arial"/>
                <w:sz w:val="20"/>
                <w:szCs w:val="20"/>
              </w:rPr>
              <w:t>Resolves the ServiceNow ticket and notifies the internal requestor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5</w:t>
            </w:r>
          </w:p>
        </w:tc>
        <w:tc>
          <w:tcPr>
            <w:tcW w:w="25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Guest Accepts and Accesses Site</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Guest User</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Guest action</w:t>
            </w:r>
          </w:p>
        </w:tc>
        <w:tc>
          <w:tcPr>
            <w:tcW w:w="61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Guest receives the Microsoft invitation email and accepts it</w:t>
            </w:r>
          </w:p>
          <w:p>
            <w:pPr>
              <w:pStyle w:val="14"/>
              <w:numPr>
                <w:ilvl w:val="0"/>
                <w:numId w:val="1"/>
              </w:numPr>
              <w:spacing w:before="30" w:after="30"/>
            </w:pPr>
            <w:r>
              <w:rPr>
                <w:rFonts w:ascii="Arial" w:hAnsi="Arial" w:eastAsia="Arial" w:cs="Arial"/>
                <w:sz w:val="20"/>
                <w:szCs w:val="20"/>
              </w:rPr>
              <w:t>Guest is prompted to verify their identity (MFA if configured for the tenant)</w:t>
            </w:r>
          </w:p>
          <w:p>
            <w:pPr>
              <w:pStyle w:val="14"/>
              <w:numPr>
                <w:ilvl w:val="0"/>
                <w:numId w:val="1"/>
              </w:numPr>
              <w:spacing w:before="30" w:after="30"/>
            </w:pPr>
            <w:r>
              <w:rPr>
                <w:rFonts w:ascii="Arial" w:hAnsi="Arial" w:eastAsia="Arial" w:cs="Arial"/>
                <w:sz w:val="20"/>
                <w:szCs w:val="20"/>
              </w:rPr>
              <w:t>Guest can access the specified site at the agreed permission level</w:t>
            </w:r>
          </w:p>
          <w:p>
            <w:pPr>
              <w:pStyle w:val="14"/>
              <w:numPr>
                <w:ilvl w:val="0"/>
                <w:numId w:val="1"/>
              </w:numPr>
              <w:spacing w:before="30" w:after="30"/>
            </w:pPr>
            <w:r>
              <w:rPr>
                <w:rFonts w:ascii="Arial" w:hAnsi="Arial" w:eastAsia="Arial" w:cs="Arial"/>
                <w:sz w:val="20"/>
                <w:szCs w:val="20"/>
              </w:rPr>
              <w:t>Guest cannot navigate beyond what they have been explicitly granted access 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6</w:t>
            </w:r>
          </w:p>
        </w:tc>
        <w:tc>
          <w:tcPr>
            <w:tcW w:w="25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Access Review and Renewal</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Site Owner / SPO Admin</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At 30 and 90 days</w:t>
            </w:r>
          </w:p>
        </w:tc>
        <w:tc>
          <w:tcPr>
            <w:tcW w:w="61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SPO Admin sends a review notification to the Site Owner at the 30-day and 90-day marks</w:t>
            </w:r>
          </w:p>
          <w:p>
            <w:pPr>
              <w:pStyle w:val="14"/>
              <w:numPr>
                <w:ilvl w:val="0"/>
                <w:numId w:val="1"/>
              </w:numPr>
              <w:spacing w:before="30" w:after="30"/>
            </w:pPr>
            <w:r>
              <w:rPr>
                <w:rFonts w:ascii="Arial" w:hAnsi="Arial" w:eastAsia="Arial" w:cs="Arial"/>
                <w:sz w:val="20"/>
                <w:szCs w:val="20"/>
              </w:rPr>
              <w:t>Site Owner confirms whether access should be extended or revoked</w:t>
            </w:r>
          </w:p>
          <w:p>
            <w:pPr>
              <w:pStyle w:val="14"/>
              <w:numPr>
                <w:ilvl w:val="0"/>
                <w:numId w:val="1"/>
              </w:numPr>
              <w:spacing w:before="30" w:after="30"/>
            </w:pPr>
            <w:r>
              <w:rPr>
                <w:rFonts w:ascii="Arial" w:hAnsi="Arial" w:eastAsia="Arial" w:cs="Arial"/>
                <w:sz w:val="20"/>
                <w:szCs w:val="20"/>
              </w:rPr>
              <w:t>Extend: Site Owner submits a new ServiceNow External Access Request</w:t>
            </w:r>
          </w:p>
          <w:p>
            <w:pPr>
              <w:pStyle w:val="14"/>
              <w:numPr>
                <w:ilvl w:val="0"/>
                <w:numId w:val="1"/>
              </w:numPr>
              <w:spacing w:before="30" w:after="30"/>
            </w:pPr>
            <w:r>
              <w:rPr>
                <w:rFonts w:ascii="Arial" w:hAnsi="Arial" w:eastAsia="Arial" w:cs="Arial"/>
                <w:sz w:val="20"/>
                <w:szCs w:val="20"/>
              </w:rPr>
              <w:t>Revoke: SPO Admin removes the guest from the site and updates the External Access Register</w:t>
            </w:r>
          </w:p>
          <w:p>
            <w:pPr>
              <w:pStyle w:val="14"/>
              <w:numPr>
                <w:ilvl w:val="0"/>
                <w:numId w:val="1"/>
              </w:numPr>
              <w:spacing w:before="30" w:after="30"/>
            </w:pPr>
            <w:r>
              <w:rPr>
                <w:rFonts w:ascii="Arial" w:hAnsi="Arial" w:eastAsia="Arial" w:cs="Arial"/>
                <w:sz w:val="20"/>
                <w:szCs w:val="20"/>
              </w:rPr>
              <w:t>At expiry, access is automatically revoked if no renewal is submitted</w:t>
            </w:r>
          </w:p>
        </w:tc>
      </w:tr>
    </w:tbl>
    <w:p>
      <w:pPr>
        <w:spacing w:before="0" w:after="80"/>
      </w:pPr>
    </w:p>
    <w:p>
      <w:pPr>
        <w:pStyle w:val="3"/>
        <w:spacing w:before="320" w:after="120"/>
      </w:pPr>
      <w:r>
        <w:rPr>
          <w:rFonts w:ascii="Arial" w:hAnsi="Arial" w:eastAsia="Arial" w:cs="Arial"/>
          <w:b/>
          <w:bCs/>
          <w:color w:val="065A82"/>
          <w:sz w:val="28"/>
          <w:szCs w:val="28"/>
        </w:rPr>
        <w:t>5.3  Proposed Guest Access Rules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EF9E7"/>
            <w:tcMar>
              <w:top w:w="100" w:type="dxa"/>
              <w:left w:w="140" w:type="dxa"/>
              <w:bottom w:w="100" w:type="dxa"/>
              <w:right w:w="140" w:type="dxa"/>
            </w:tcMar>
          </w:tcPr>
          <w:p>
            <w:pPr>
              <w:spacing w:before="40" w:after="40"/>
            </w:pPr>
            <w:r>
              <w:rPr>
                <w:rFonts w:ascii="Arial" w:hAnsi="Arial" w:eastAsia="Arial" w:cs="Arial"/>
                <w:b/>
                <w:bCs/>
                <w:color w:val="7D6608"/>
                <w:sz w:val="20"/>
                <w:szCs w:val="20"/>
              </w:rPr>
              <w:t xml:space="preserve">⚠  </w:t>
            </w:r>
            <w:r>
              <w:rPr>
                <w:rFonts w:ascii="Arial" w:hAnsi="Arial" w:eastAsia="Arial" w:cs="Arial"/>
                <w:color w:val="7D6608"/>
                <w:sz w:val="20"/>
                <w:szCs w:val="20"/>
              </w:rPr>
              <w:t>The following proposed rules are under consideration. They have not yet been formally approved and should not be enforced until this section is ratified.</w:t>
            </w:r>
          </w:p>
        </w:tc>
      </w:tr>
    </w:tbl>
    <w:p>
      <w:pPr>
        <w:pStyle w:val="14"/>
        <w:numPr>
          <w:ilvl w:val="0"/>
          <w:numId w:val="1"/>
        </w:numPr>
        <w:spacing w:before="40" w:after="40"/>
      </w:pPr>
      <w:r>
        <w:rPr>
          <w:rFonts w:ascii="Arial" w:hAnsi="Arial" w:eastAsia="Arial" w:cs="Arial"/>
          <w:sz w:val="22"/>
          <w:szCs w:val="22"/>
        </w:rPr>
        <w:t>Only approved domains are permitted. Requests for domains on the blocked list will be denied.</w:t>
      </w:r>
    </w:p>
    <w:p>
      <w:pPr>
        <w:pStyle w:val="14"/>
        <w:numPr>
          <w:ilvl w:val="0"/>
          <w:numId w:val="1"/>
        </w:numPr>
        <w:spacing w:before="40" w:after="40"/>
      </w:pPr>
      <w:r>
        <w:rPr>
          <w:rFonts w:ascii="Arial" w:hAnsi="Arial" w:eastAsia="Arial" w:cs="Arial"/>
          <w:sz w:val="22"/>
          <w:szCs w:val="22"/>
        </w:rPr>
        <w:t>Guests may not be granted Member, Owner, or any administrative permissions.</w:t>
      </w:r>
    </w:p>
    <w:p>
      <w:pPr>
        <w:pStyle w:val="14"/>
        <w:numPr>
          <w:ilvl w:val="0"/>
          <w:numId w:val="1"/>
        </w:numPr>
        <w:spacing w:before="40" w:after="40"/>
      </w:pPr>
      <w:r>
        <w:rPr>
          <w:rFonts w:ascii="Arial" w:hAnsi="Arial" w:eastAsia="Arial" w:cs="Arial"/>
          <w:sz w:val="22"/>
          <w:szCs w:val="22"/>
        </w:rPr>
        <w:t>Access is limited to a maximum of 90 days. Extensions require a new ServiceNow request.</w:t>
      </w:r>
    </w:p>
    <w:p>
      <w:pPr>
        <w:pStyle w:val="14"/>
        <w:numPr>
          <w:ilvl w:val="0"/>
          <w:numId w:val="1"/>
        </w:numPr>
        <w:spacing w:before="40" w:after="40"/>
      </w:pPr>
      <w:r>
        <w:rPr>
          <w:rFonts w:ascii="Arial" w:hAnsi="Arial" w:eastAsia="Arial" w:cs="Arial"/>
          <w:sz w:val="22"/>
          <w:szCs w:val="22"/>
        </w:rPr>
        <w:t>All guest activity is logged in the Microsoft 365 Unified Audit Log.</w:t>
      </w:r>
    </w:p>
    <w:p>
      <w:pPr>
        <w:pStyle w:val="14"/>
        <w:numPr>
          <w:ilvl w:val="0"/>
          <w:numId w:val="1"/>
        </w:numPr>
        <w:spacing w:before="40" w:after="40"/>
      </w:pPr>
      <w:r>
        <w:rPr>
          <w:rFonts w:ascii="Arial" w:hAnsi="Arial" w:eastAsia="Arial" w:cs="Arial"/>
          <w:sz w:val="22"/>
          <w:szCs w:val="22"/>
        </w:rPr>
        <w:t>Guests do not receive access to the broader SharePoint environment — only the explicitly approved site.</w:t>
      </w:r>
    </w:p>
    <w:p>
      <w:pPr>
        <w:pStyle w:val="14"/>
        <w:numPr>
          <w:ilvl w:val="0"/>
          <w:numId w:val="1"/>
        </w:numPr>
        <w:spacing w:before="40" w:after="40"/>
      </w:pPr>
      <w:r>
        <w:rPr>
          <w:rFonts w:ascii="Arial" w:hAnsi="Arial" w:eastAsia="Arial" w:cs="Arial"/>
          <w:sz w:val="22"/>
          <w:szCs w:val="22"/>
        </w:rPr>
        <w:t>Site Owners are responsible for monitoring and revoking guest access when it is no longer required.</w:t>
      </w:r>
    </w:p>
    <w:p>
      <w:pPr>
        <w:spacing w:before="0" w:after="80"/>
      </w:pPr>
    </w:p>
    <w:p>
      <w:pPr>
        <w:spacing w:before="0" w:after="80"/>
      </w:pPr>
    </w:p>
    <w:p>
      <w:pPr>
        <w:pStyle w:val="2"/>
        <w:pBdr>
          <w:bottom w:val="single" w:color="1C7293" w:sz="8" w:space="4"/>
        </w:pBdr>
        <w:spacing w:before="400" w:after="160"/>
      </w:pPr>
      <w:r>
        <w:rPr>
          <w:rFonts w:ascii="Arial" w:hAnsi="Arial" w:eastAsia="Arial" w:cs="Arial"/>
          <w:b/>
          <w:bCs/>
          <w:color w:val="0D2137"/>
          <w:sz w:val="36"/>
          <w:szCs w:val="36"/>
        </w:rPr>
        <w:t>6. Microsoft Teams Governance and Operations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EAF4FB"/>
            <w:tcMar>
              <w:top w:w="100" w:type="dxa"/>
              <w:left w:w="140" w:type="dxa"/>
              <w:bottom w:w="100" w:type="dxa"/>
              <w:right w:w="140" w:type="dxa"/>
            </w:tcMar>
          </w:tcPr>
          <w:p>
            <w:pPr>
              <w:spacing w:before="40" w:after="40"/>
            </w:pPr>
            <w:r>
              <w:rPr>
                <w:rFonts w:ascii="Arial" w:hAnsi="Arial" w:eastAsia="Arial" w:cs="Arial"/>
                <w:b/>
                <w:bCs/>
                <w:color w:val="1A4E6E"/>
                <w:sz w:val="20"/>
                <w:szCs w:val="20"/>
              </w:rPr>
              <w:t xml:space="preserve">ℹ  </w:t>
            </w:r>
            <w:r>
              <w:rPr>
                <w:rFonts w:ascii="Arial" w:hAnsi="Arial" w:eastAsia="Arial" w:cs="Arial"/>
                <w:color w:val="1A4E6E"/>
                <w:sz w:val="20"/>
                <w:szCs w:val="20"/>
              </w:rPr>
              <w:t>This section has been incorporated from the existing NGAPAC MS Teams Concept of Operations (Ver 1.2 — ITC Approved). It is included here for reference and to provide a complete operational picture of the M365 collaboration environment alongside SharePoint Online.</w:t>
            </w:r>
          </w:p>
        </w:tc>
      </w:tr>
    </w:tbl>
    <w:p>
      <w:pPr>
        <w:spacing w:before="60" w:after="100"/>
      </w:pPr>
      <w:r>
        <w:rPr>
          <w:rFonts w:ascii="Arial" w:hAnsi="Arial" w:eastAsia="Arial" w:cs="Arial"/>
          <w:sz w:val="22"/>
          <w:szCs w:val="22"/>
        </w:rPr>
        <w:t>Microsoft Teams (MS Teams) is the primary real-time collaboration and communication platform within the M365 tenancy. It operates alongside SharePoint Online and shares the same governance framework. This section describes the Teams hierarchy, governance configuration, and the processes for onboarding users — including 3rd Party Partners — to Workspaces and Channels.</w:t>
      </w:r>
    </w:p>
    <w:p>
      <w:pPr>
        <w:spacing w:before="0" w:after="80"/>
      </w:pPr>
    </w:p>
    <w:p>
      <w:pPr>
        <w:pStyle w:val="3"/>
        <w:spacing w:before="320" w:after="120"/>
      </w:pPr>
      <w:r>
        <w:rPr>
          <w:rFonts w:ascii="Arial" w:hAnsi="Arial" w:eastAsia="Arial" w:cs="Arial"/>
          <w:b/>
          <w:bCs/>
          <w:color w:val="065A82"/>
          <w:sz w:val="28"/>
          <w:szCs w:val="28"/>
        </w:rPr>
        <w:t>6.1  MS Teams Hierarchy</w:t>
      </w:r>
    </w:p>
    <w:p>
      <w:pPr>
        <w:spacing w:before="60" w:after="100"/>
      </w:pPr>
      <w:r>
        <w:rPr>
          <w:rFonts w:ascii="Arial" w:hAnsi="Arial" w:eastAsia="Arial" w:cs="Arial"/>
          <w:sz w:val="22"/>
          <w:szCs w:val="22"/>
        </w:rPr>
        <w:t>MS Teams has two primary components:</w:t>
      </w:r>
    </w:p>
    <w:p>
      <w:pPr>
        <w:pStyle w:val="14"/>
        <w:numPr>
          <w:ilvl w:val="0"/>
          <w:numId w:val="1"/>
        </w:numPr>
        <w:spacing w:before="40" w:after="40"/>
      </w:pPr>
      <w:r>
        <w:rPr>
          <w:rFonts w:ascii="Arial" w:hAnsi="Arial" w:eastAsia="Arial" w:cs="Arial"/>
          <w:sz w:val="22"/>
          <w:szCs w:val="22"/>
        </w:rPr>
        <w:t>MS Teams Workspaces (hereinafter Workspaces); and</w:t>
      </w:r>
    </w:p>
    <w:p>
      <w:pPr>
        <w:pStyle w:val="14"/>
        <w:numPr>
          <w:ilvl w:val="0"/>
          <w:numId w:val="1"/>
        </w:numPr>
        <w:spacing w:before="40" w:after="40"/>
      </w:pPr>
      <w:r>
        <w:rPr>
          <w:rFonts w:ascii="Arial" w:hAnsi="Arial" w:eastAsia="Arial" w:cs="Arial"/>
          <w:sz w:val="22"/>
          <w:szCs w:val="22"/>
        </w:rPr>
        <w:t>MS Teams Channels (hereinafter Channels).</w:t>
      </w:r>
    </w:p>
    <w:p>
      <w:pPr>
        <w:spacing w:before="60" w:after="100"/>
      </w:pPr>
      <w:r>
        <w:rPr>
          <w:rFonts w:ascii="Arial" w:hAnsi="Arial" w:eastAsia="Arial" w:cs="Arial"/>
          <w:sz w:val="22"/>
          <w:szCs w:val="22"/>
        </w:rPr>
        <w:t>Workspaces are collaboration containers. The NGAPAC Workspaces are configured to provide access only to authenticated users that belong to the NGAPAC Active Directory domain — this includes regular employees, labour hire contract employees, and 3rd Party Partners — also known as members.</w:t>
      </w:r>
    </w:p>
    <w:p>
      <w:pPr>
        <w:spacing w:before="0" w:after="80"/>
      </w:pPr>
    </w:p>
    <w:p>
      <w:pPr>
        <w:pStyle w:val="4"/>
        <w:spacing w:before="200" w:after="80"/>
      </w:pPr>
      <w:r>
        <w:rPr>
          <w:rFonts w:ascii="Arial" w:hAnsi="Arial" w:eastAsia="Arial" w:cs="Arial"/>
          <w:b/>
          <w:bCs/>
          <w:color w:val="1C7293"/>
          <w:sz w:val="24"/>
          <w:szCs w:val="24"/>
        </w:rPr>
        <w:t>6.1.1  Workspace Access Modes</w:t>
      </w:r>
    </w:p>
    <w:p>
      <w:pPr>
        <w:spacing w:before="60" w:after="100"/>
      </w:pPr>
      <w:r>
        <w:rPr>
          <w:rFonts w:ascii="Arial" w:hAnsi="Arial" w:eastAsia="Arial" w:cs="Arial"/>
          <w:sz w:val="22"/>
          <w:szCs w:val="22"/>
        </w:rPr>
        <w:t>Workspaces operate in one of two modes: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Mode</w:t>
            </w:r>
          </w:p>
        </w:tc>
        <w:tc>
          <w:tcPr>
            <w:tcW w:w="73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Private</w:t>
            </w:r>
          </w:p>
        </w:tc>
        <w:tc>
          <w:tcPr>
            <w:tcW w:w="73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Workspaces in Private mode can only be accessed by members who have been deliberately added through the process identified in this ConOps document.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Public</w:t>
            </w:r>
          </w:p>
        </w:tc>
        <w:tc>
          <w:tcPr>
            <w:tcW w:w="73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Public mode would allow all NGAPAC authenticated users to access the Workspace. Due to the presence of 3rd Party Partners in the Active Directory, there will be no public Workspaces provisioned in the NGAPAC M365 Teams instance. Any request to set a Workspace to Public mode requires prior approval from ITC and ICWG.</w:t>
            </w:r>
          </w:p>
        </w:tc>
      </w:tr>
    </w:tbl>
    <w:p>
      <w:pPr>
        <w:spacing w:before="0" w:after="80"/>
      </w:pPr>
    </w:p>
    <w:p>
      <w:pPr>
        <w:pStyle w:val="4"/>
        <w:spacing w:before="200" w:after="80"/>
      </w:pPr>
      <w:r>
        <w:rPr>
          <w:rFonts w:ascii="Arial" w:hAnsi="Arial" w:eastAsia="Arial" w:cs="Arial"/>
          <w:b/>
          <w:bCs/>
          <w:color w:val="1C7293"/>
          <w:sz w:val="24"/>
          <w:szCs w:val="24"/>
        </w:rPr>
        <w:t>6.1.2  Channel Types</w:t>
      </w:r>
    </w:p>
    <w:p>
      <w:pPr>
        <w:spacing w:before="60" w:after="100"/>
      </w:pPr>
      <w:r>
        <w:rPr>
          <w:rFonts w:ascii="Arial" w:hAnsi="Arial" w:eastAsia="Arial" w:cs="Arial"/>
          <w:sz w:val="22"/>
          <w:szCs w:val="22"/>
        </w:rPr>
        <w:t>Channels are subcomponents of a Workspace used for more refined collaboration within a subset of onboarded members. Channels come in three types: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Channel Type</w:t>
            </w:r>
          </w:p>
        </w:tc>
        <w:tc>
          <w:tcPr>
            <w:tcW w:w="73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Standard</w:t>
            </w:r>
          </w:p>
        </w:tc>
        <w:tc>
          <w:tcPr>
            <w:tcW w:w="73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Automatically accessible to all members onboarded to the Workspace in which the Channel was created.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Private</w:t>
            </w:r>
          </w:p>
        </w:tc>
        <w:tc>
          <w:tcPr>
            <w:tcW w:w="73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Accessible only to a selected number of individual members who have been specifically onboarded to that Channel within the Workspace.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Shared</w:t>
            </w:r>
          </w:p>
        </w:tc>
        <w:tc>
          <w:tcPr>
            <w:tcW w:w="73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Accessible to people within and outside NGAPL. Within the NGAPAC M365 implementation, Shared Channels are disabled by default policy.</w:t>
            </w:r>
          </w:p>
        </w:tc>
      </w:tr>
    </w:tbl>
    <w:p>
      <w:pPr>
        <w:spacing w:before="0" w:after="80"/>
      </w:pPr>
    </w:p>
    <w:p>
      <w:pPr>
        <w:spacing w:before="0" w:after="80"/>
      </w:pPr>
    </w:p>
    <w:p>
      <w:pPr>
        <w:pStyle w:val="3"/>
        <w:spacing w:before="320" w:after="120"/>
      </w:pPr>
      <w:r>
        <w:rPr>
          <w:rFonts w:ascii="Arial" w:hAnsi="Arial" w:eastAsia="Arial" w:cs="Arial"/>
          <w:b/>
          <w:bCs/>
          <w:color w:val="065A82"/>
          <w:sz w:val="28"/>
          <w:szCs w:val="28"/>
        </w:rPr>
        <w:t>6.2  MS Teams Governance Configuration</w:t>
      </w:r>
    </w:p>
    <w:p>
      <w:pPr>
        <w:spacing w:before="60" w:after="100"/>
      </w:pPr>
      <w:r>
        <w:rPr>
          <w:rFonts w:ascii="Arial" w:hAnsi="Arial" w:eastAsia="Arial" w:cs="Arial"/>
          <w:sz w:val="22"/>
          <w:szCs w:val="22"/>
        </w:rPr>
        <w:t>The MS Teams M365 tenant is secured by Teams policy to control, enable, or disable features at three levels:</w:t>
      </w:r>
    </w:p>
    <w:p>
      <w:pPr>
        <w:pStyle w:val="14"/>
        <w:numPr>
          <w:ilvl w:val="0"/>
          <w:numId w:val="1"/>
        </w:numPr>
        <w:spacing w:before="40" w:after="40"/>
      </w:pPr>
      <w:r>
        <w:rPr>
          <w:rFonts w:ascii="Arial" w:hAnsi="Arial" w:eastAsia="Arial" w:cs="Arial"/>
          <w:sz w:val="22"/>
          <w:szCs w:val="22"/>
        </w:rPr>
        <w:t>The base policy applied to the MS Teams Organisation;</w:t>
      </w:r>
    </w:p>
    <w:p>
      <w:pPr>
        <w:pStyle w:val="14"/>
        <w:numPr>
          <w:ilvl w:val="0"/>
          <w:numId w:val="1"/>
        </w:numPr>
        <w:spacing w:before="40" w:after="40"/>
      </w:pPr>
      <w:r>
        <w:rPr>
          <w:rFonts w:ascii="Arial" w:hAnsi="Arial" w:eastAsia="Arial" w:cs="Arial"/>
          <w:sz w:val="22"/>
          <w:szCs w:val="22"/>
        </w:rPr>
        <w:t>A policy that applies to all Workspaces; and</w:t>
      </w:r>
    </w:p>
    <w:p>
      <w:pPr>
        <w:pStyle w:val="14"/>
        <w:numPr>
          <w:ilvl w:val="0"/>
          <w:numId w:val="1"/>
        </w:numPr>
        <w:spacing w:before="40" w:after="40"/>
      </w:pPr>
      <w:r>
        <w:rPr>
          <w:rFonts w:ascii="Arial" w:hAnsi="Arial" w:eastAsia="Arial" w:cs="Arial"/>
          <w:sz w:val="22"/>
          <w:szCs w:val="22"/>
        </w:rPr>
        <w:t>A policy that applies to Channels — a low-level, fine-grained control at the Channel level.</w:t>
      </w:r>
    </w:p>
    <w:p>
      <w:pPr>
        <w:spacing w:before="0" w:after="80"/>
      </w:pPr>
    </w:p>
    <w:p>
      <w:pPr>
        <w:pStyle w:val="4"/>
        <w:spacing w:before="200" w:after="80"/>
      </w:pPr>
      <w:r>
        <w:rPr>
          <w:rFonts w:ascii="Arial" w:hAnsi="Arial" w:eastAsia="Arial" w:cs="Arial"/>
          <w:b/>
          <w:bCs/>
          <w:color w:val="1C7293"/>
          <w:sz w:val="24"/>
          <w:szCs w:val="24"/>
        </w:rPr>
        <w:t>6.2.1  Workspace Configuration Standards</w:t>
      </w:r>
    </w:p>
    <w:p>
      <w:pPr>
        <w:spacing w:before="60" w:after="100"/>
      </w:pPr>
      <w:r>
        <w:rPr>
          <w:rFonts w:ascii="Arial" w:hAnsi="Arial" w:eastAsia="Arial" w:cs="Arial"/>
          <w:sz w:val="22"/>
          <w:szCs w:val="22"/>
        </w:rPr>
        <w:t>All Workspaces within the NGAPAC M365 tenancy must comply with the following configuration standards: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Configuration Item</w:t>
            </w:r>
          </w:p>
        </w:tc>
        <w:tc>
          <w:tcPr>
            <w:tcW w:w="63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Standard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Workspace Creation</w:t>
            </w:r>
          </w:p>
        </w:tc>
        <w:tc>
          <w:tcPr>
            <w:tcW w:w="63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All Workspaces are created exclusively by the NGAPAC ES IT team. Requests are submitted via the Special Access Request form on the NGAPAC Information Technology portal. Only NGAPAC employees may request a new Workspace — 3rd Party Partners cannot initiate Workspace creation requests.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Workspace Owners</w:t>
            </w:r>
          </w:p>
        </w:tc>
        <w:tc>
          <w:tcPr>
            <w:tcW w:w="63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NGAPAC ES IT is configured as the owner of all Workspaces (Application-Support Team or Service Desk Team).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Privacy Setting</w:t>
            </w:r>
          </w:p>
        </w:tc>
        <w:tc>
          <w:tcPr>
            <w:tcW w:w="63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All Workspaces are configured to Private mode only. Any request for Public mode requires prior approval from ITC and ICWG.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3rd Party Labelling</w:t>
            </w:r>
          </w:p>
        </w:tc>
        <w:tc>
          <w:tcPr>
            <w:tcW w:w="63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Not for 3rd Party Partner Access is added to the description of all Workspaces and their Channels, unless ITC has approved Partner access via a C-909A 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Chat Retention</w:t>
            </w:r>
          </w:p>
        </w:tc>
        <w:tc>
          <w:tcPr>
            <w:tcW w:w="63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Chat traffic on Workspaces and Channels is subject to a retention policy of 12 months.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Recordings</w:t>
            </w:r>
          </w:p>
        </w:tc>
        <w:tc>
          <w:tcPr>
            <w:tcW w:w="63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Meeting and session recordings are disabled by policy for all Workspaces and Channels.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Access Reviews</w:t>
            </w:r>
          </w:p>
        </w:tc>
        <w:tc>
          <w:tcPr>
            <w:tcW w:w="63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Access reviews are configured as part of the initial Workspace/Channel setup. A yearly review is conducted for all Workspaces. The requestor is responsible for completing the review. ITC is added to view membership review results for any Workspaces or Channels enabled for 3rd Party Partner access.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Information Barriers</w:t>
            </w:r>
          </w:p>
        </w:tc>
        <w:tc>
          <w:tcPr>
            <w:tcW w:w="63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Information barrier segments are applied to specified project Workspaces (e.g. KC139, C27J, AIR6500) to restrict 3rd Party Partner access to those projects only. All Channels within project Workspaces are set as Private Channels — no Standard or Shared Channels are permitted.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bCs/>
                <w:color w:val="1A1A1A"/>
                <w:sz w:val="20"/>
                <w:szCs w:val="20"/>
              </w:rPr>
              <w:t>Membership Changes</w:t>
            </w:r>
          </w:p>
        </w:tc>
        <w:tc>
          <w:tcPr>
            <w:tcW w:w="63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Any subsequent membership changes to Workspaces or Channels must be completed via a ServiceNow service ticket.</w:t>
            </w:r>
          </w:p>
        </w:tc>
      </w:tr>
    </w:tbl>
    <w:p>
      <w:pPr>
        <w:spacing w:before="0" w:after="80"/>
      </w:pPr>
    </w:p>
    <w:p>
      <w:pPr>
        <w:spacing w:before="0" w:after="80"/>
      </w:pPr>
    </w:p>
    <w:p>
      <w:pPr>
        <w:pStyle w:val="3"/>
        <w:spacing w:before="320" w:after="120"/>
      </w:pPr>
      <w:r>
        <w:rPr>
          <w:rFonts w:ascii="Arial" w:hAnsi="Arial" w:eastAsia="Arial" w:cs="Arial"/>
          <w:b/>
          <w:bCs/>
          <w:color w:val="065A82"/>
          <w:sz w:val="28"/>
          <w:szCs w:val="28"/>
        </w:rPr>
        <w:t>6.3  Workspaces User Onboarding</w:t>
      </w:r>
    </w:p>
    <w:p>
      <w:pPr>
        <w:pStyle w:val="4"/>
        <w:spacing w:before="200" w:after="80"/>
      </w:pPr>
      <w:r>
        <w:rPr>
          <w:rFonts w:ascii="Arial" w:hAnsi="Arial" w:eastAsia="Arial" w:cs="Arial"/>
          <w:b/>
          <w:bCs/>
          <w:color w:val="1C7293"/>
          <w:sz w:val="24"/>
          <w:szCs w:val="24"/>
        </w:rPr>
        <w:t>6.3.1  NGAPAC Employee Onboarding</w:t>
      </w:r>
    </w:p>
    <w:p>
      <w:pPr>
        <w:spacing w:before="60" w:after="100"/>
      </w:pPr>
      <w:r>
        <w:rPr>
          <w:rFonts w:ascii="Arial" w:hAnsi="Arial" w:eastAsia="Arial" w:cs="Arial"/>
          <w:sz w:val="22"/>
          <w:szCs w:val="22"/>
        </w:rPr>
        <w:t>NGAPAC employees are onboarded to Workspaces and Channels by NGAPAC ES IT, either at the time of migration to the M365 tenancy or through the birthright onboarding process. Only NGAPAC employees (regular and contract labour) who are authenticated users in the NGAPAC Active Directory are onboarded during migration. 3rd Party Partners are not included in the initial migration batch.</w:t>
      </w:r>
    </w:p>
    <w:p>
      <w:pPr>
        <w:spacing w:before="60" w:after="100"/>
      </w:pPr>
      <w:r>
        <w:rPr>
          <w:rFonts w:ascii="Arial" w:hAnsi="Arial" w:eastAsia="Arial" w:cs="Arial"/>
          <w:sz w:val="22"/>
          <w:szCs w:val="22"/>
        </w:rPr>
        <w:t>As part of the M365 project compliance and quality control, user accounts are extracted from Active Directory — including full name and description — to ensure that 3rd Party Partner accounts are not included in the initial or accidental migration batch. The initial onboarding is performed via PowerShell script using pre-configured CSV files validated by the ES IT team. Any subsequent membership changes must be completed via a ServiceNow service ticket.</w:t>
      </w:r>
    </w:p>
    <w:p>
      <w:pPr>
        <w:spacing w:before="0" w:after="80"/>
      </w:pPr>
    </w:p>
    <w:p>
      <w:pPr>
        <w:pStyle w:val="4"/>
        <w:spacing w:before="200" w:after="80"/>
      </w:pPr>
      <w:r>
        <w:rPr>
          <w:rFonts w:ascii="Arial" w:hAnsi="Arial" w:eastAsia="Arial" w:cs="Arial"/>
          <w:b/>
          <w:bCs/>
          <w:color w:val="1C7293"/>
          <w:sz w:val="24"/>
          <w:szCs w:val="24"/>
        </w:rPr>
        <w:t>6.3.2  Workspace and Channel Preparation for 3rd Party Partner Access</w:t>
      </w:r>
    </w:p>
    <w:p>
      <w:pPr>
        <w:spacing w:before="60" w:after="100"/>
      </w:pPr>
      <w:r>
        <w:rPr>
          <w:rFonts w:ascii="Arial" w:hAnsi="Arial" w:eastAsia="Arial" w:cs="Arial"/>
          <w:sz w:val="22"/>
          <w:szCs w:val="22"/>
        </w:rPr>
        <w:t>This process prepares a Workspace for 3rd Party Partner access. Completing this process enables the Workspace and Channels for Partner access — it does not onboard individual Partner users. Individual onboarding is covered in Section 6.3.3.</w:t>
      </w:r>
    </w:p>
    <w:p>
      <w:pPr>
        <w:spacing w:before="60" w:after="100"/>
      </w:pPr>
      <w:r>
        <w:rPr>
          <w:rFonts w:ascii="Arial" w:hAnsi="Arial" w:eastAsia="Arial" w:cs="Arial"/>
          <w:sz w:val="22"/>
          <w:szCs w:val="22"/>
        </w:rPr>
        <w:t>3rd Party Partners may only be onboarded to Workspaces operating in Private mode with Private Channels. They cannot be onboarded to Workspaces or Channels with any other configuration.</w:t>
      </w:r>
    </w:p>
    <w:p>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9"/>
        <w:gridCol w:w="2482"/>
        <w:gridCol w:w="60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Step</w:t>
            </w:r>
          </w:p>
        </w:tc>
        <w:tc>
          <w:tcPr>
            <w:tcW w:w="25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Action / Owner</w:t>
            </w:r>
          </w:p>
        </w:tc>
        <w:tc>
          <w:tcPr>
            <w:tcW w:w="61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1</w:t>
            </w:r>
          </w:p>
        </w:tc>
        <w:tc>
          <w:tcPr>
            <w:tcW w:w="25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Complete C-909A Form</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Project Sponsor</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Prior to submission</w:t>
            </w:r>
          </w:p>
        </w:tc>
        <w:tc>
          <w:tcPr>
            <w:tcW w:w="61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Project Sponsor fills out the Collaborative Workspace form C-909A, covering the Workspace and Channels including any conditionality requirements</w:t>
            </w:r>
          </w:p>
          <w:p>
            <w:pPr>
              <w:pStyle w:val="14"/>
              <w:numPr>
                <w:ilvl w:val="0"/>
                <w:numId w:val="1"/>
              </w:numPr>
              <w:spacing w:before="30" w:after="30"/>
            </w:pPr>
            <w:r>
              <w:rPr>
                <w:rFonts w:ascii="Arial" w:hAnsi="Arial" w:eastAsia="Arial" w:cs="Arial"/>
                <w:sz w:val="20"/>
                <w:szCs w:val="20"/>
              </w:rPr>
              <w:t>C-909A is a global form available in PrOP</w:t>
            </w:r>
          </w:p>
          <w:p>
            <w:pPr>
              <w:pStyle w:val="14"/>
              <w:numPr>
                <w:ilvl w:val="0"/>
                <w:numId w:val="1"/>
              </w:numPr>
              <w:spacing w:before="30" w:after="30"/>
            </w:pPr>
            <w:r>
              <w:rPr>
                <w:rFonts w:ascii="Arial" w:hAnsi="Arial" w:eastAsia="Arial" w:cs="Arial"/>
                <w:sz w:val="20"/>
                <w:szCs w:val="20"/>
              </w:rPr>
              <w:t>Completed form is forwarded to ITC for review and approval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2</w:t>
            </w:r>
          </w:p>
        </w:tc>
        <w:tc>
          <w:tcPr>
            <w:tcW w:w="25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Submit Special Access Request</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Project Sponsor</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After ITC approval of C-909A</w:t>
            </w:r>
          </w:p>
        </w:tc>
        <w:tc>
          <w:tcPr>
            <w:tcW w:w="61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Project Sponsor completes the Special Access Request form via the NGAPAC Information Technology portal</w:t>
            </w:r>
          </w:p>
          <w:p>
            <w:pPr>
              <w:pStyle w:val="14"/>
              <w:numPr>
                <w:ilvl w:val="0"/>
                <w:numId w:val="1"/>
              </w:numPr>
              <w:spacing w:before="30" w:after="30"/>
            </w:pPr>
            <w:r>
              <w:rPr>
                <w:rFonts w:ascii="Arial" w:hAnsi="Arial" w:eastAsia="Arial" w:cs="Arial"/>
                <w:sz w:val="20"/>
                <w:szCs w:val="20"/>
              </w:rPr>
              <w:t>Submits the form to NGAPAC ES IT with the ITC-approved C-909A form attached</w:t>
            </w:r>
          </w:p>
          <w:p>
            <w:pPr>
              <w:pStyle w:val="14"/>
              <w:numPr>
                <w:ilvl w:val="0"/>
                <w:numId w:val="1"/>
              </w:numPr>
              <w:spacing w:before="30" w:after="30"/>
            </w:pPr>
            <w:r>
              <w:rPr>
                <w:rFonts w:ascii="Arial" w:hAnsi="Arial" w:eastAsia="Arial" w:cs="Arial"/>
                <w:sz w:val="20"/>
                <w:szCs w:val="20"/>
              </w:rPr>
              <w:t>The approved C-909A form is stored in the NGAPAC ES IT SharePoint portal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3</w:t>
            </w:r>
          </w:p>
        </w:tc>
        <w:tc>
          <w:tcPr>
            <w:tcW w:w="25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Modify Workspace for Partner Access</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NGAPAC ES IT</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Upon receipt</w:t>
            </w:r>
          </w:p>
        </w:tc>
        <w:tc>
          <w:tcPr>
            <w:tcW w:w="61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ES IT modifies the Workspace in line with the ITC-approved C-909A form including any conditionality</w:t>
            </w:r>
          </w:p>
          <w:p>
            <w:pPr>
              <w:pStyle w:val="14"/>
              <w:numPr>
                <w:ilvl w:val="0"/>
                <w:numId w:val="1"/>
              </w:numPr>
              <w:spacing w:before="30" w:after="30"/>
            </w:pPr>
            <w:r>
              <w:rPr>
                <w:rFonts w:ascii="Arial" w:hAnsi="Arial" w:eastAsia="Arial" w:cs="Arial"/>
                <w:sz w:val="20"/>
                <w:szCs w:val="20"/>
              </w:rPr>
              <w:t>No individual 3rd Party Partner users are added at this stage</w:t>
            </w:r>
          </w:p>
          <w:p>
            <w:pPr>
              <w:pStyle w:val="14"/>
              <w:numPr>
                <w:ilvl w:val="0"/>
                <w:numId w:val="1"/>
              </w:numPr>
              <w:spacing w:before="30" w:after="30"/>
            </w:pPr>
            <w:r>
              <w:rPr>
                <w:rFonts w:ascii="Arial" w:hAnsi="Arial" w:eastAsia="Arial" w:cs="Arial"/>
                <w:sz w:val="20"/>
                <w:szCs w:val="20"/>
              </w:rPr>
              <w:t>For new Workspaces: ES IT creates a new Workspace in line with the approved C-909A form instead of modifying an existing one</w:t>
            </w:r>
          </w:p>
          <w:p>
            <w:pPr>
              <w:pStyle w:val="14"/>
              <w:numPr>
                <w:ilvl w:val="0"/>
                <w:numId w:val="1"/>
              </w:numPr>
              <w:spacing w:before="30" w:after="30"/>
            </w:pPr>
            <w:r>
              <w:rPr>
                <w:rFonts w:ascii="Arial" w:hAnsi="Arial" w:eastAsia="Arial" w:cs="Arial"/>
                <w:sz w:val="20"/>
                <w:szCs w:val="20"/>
              </w:rPr>
              <w:t>For individual Partner onboarding proceed to Section 6.3.3</w:t>
            </w:r>
          </w:p>
        </w:tc>
      </w:tr>
    </w:tbl>
    <w:p>
      <w:pPr>
        <w:spacing w:before="0" w:after="80"/>
      </w:pPr>
    </w:p>
    <w:p>
      <w:pPr>
        <w:pStyle w:val="4"/>
        <w:spacing w:before="200" w:after="80"/>
      </w:pPr>
      <w:r>
        <w:rPr>
          <w:rFonts w:ascii="Arial" w:hAnsi="Arial" w:eastAsia="Arial" w:cs="Arial"/>
          <w:b/>
          <w:bCs/>
          <w:color w:val="1C7293"/>
          <w:sz w:val="24"/>
          <w:szCs w:val="24"/>
        </w:rPr>
        <w:t>6.3.3  Individual 3rd Party Partner Onboarding</w:t>
      </w:r>
    </w:p>
    <w:p>
      <w:pPr>
        <w:spacing w:before="60" w:after="100"/>
      </w:pPr>
      <w:r>
        <w:rPr>
          <w:rFonts w:ascii="Arial" w:hAnsi="Arial" w:eastAsia="Arial" w:cs="Arial"/>
          <w:sz w:val="22"/>
          <w:szCs w:val="22"/>
        </w:rPr>
        <w:t>Once a Workspace has been prepared per Section 6.3.2, individual 3rd Party Partner users present in the NGAPAC Active Directory may be onboarded using the following process.</w:t>
      </w:r>
    </w:p>
    <w:p>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9"/>
        <w:gridCol w:w="2481"/>
        <w:gridCol w:w="6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Step</w:t>
            </w:r>
          </w:p>
        </w:tc>
        <w:tc>
          <w:tcPr>
            <w:tcW w:w="25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Action / Owner</w:t>
            </w:r>
          </w:p>
        </w:tc>
        <w:tc>
          <w:tcPr>
            <w:tcW w:w="61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1</w:t>
            </w:r>
          </w:p>
        </w:tc>
        <w:tc>
          <w:tcPr>
            <w:tcW w:w="25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Complete C-909B Form</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3rd Party Partner / Project Sponsor</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Prior to submission</w:t>
            </w:r>
          </w:p>
        </w:tc>
        <w:tc>
          <w:tcPr>
            <w:tcW w:w="61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A C-909B form (potentially multiple) is completed by the 3rd Party Partner user</w:t>
            </w:r>
          </w:p>
          <w:p>
            <w:pPr>
              <w:pStyle w:val="14"/>
              <w:numPr>
                <w:ilvl w:val="0"/>
                <w:numId w:val="1"/>
              </w:numPr>
              <w:spacing w:before="30" w:after="30"/>
            </w:pPr>
            <w:r>
              <w:rPr>
                <w:rFonts w:ascii="Arial" w:hAnsi="Arial" w:eastAsia="Arial" w:cs="Arial"/>
                <w:sz w:val="20"/>
                <w:szCs w:val="20"/>
              </w:rPr>
              <w:t>Requires endorsement and sign-off from the Workspace Project Sponsor identified on the associated C-909A form</w:t>
            </w:r>
          </w:p>
          <w:p>
            <w:pPr>
              <w:pStyle w:val="14"/>
              <w:numPr>
                <w:ilvl w:val="0"/>
                <w:numId w:val="1"/>
              </w:numPr>
              <w:spacing w:before="30" w:after="30"/>
            </w:pPr>
            <w:r>
              <w:rPr>
                <w:rFonts w:ascii="Arial" w:hAnsi="Arial" w:eastAsia="Arial" w:cs="Arial"/>
                <w:sz w:val="20"/>
                <w:szCs w:val="20"/>
              </w:rPr>
              <w:t>C-909B is a global form in PrOP and must be forwarded to ITC for review and approval</w:t>
            </w:r>
          </w:p>
          <w:p>
            <w:pPr>
              <w:pStyle w:val="14"/>
              <w:numPr>
                <w:ilvl w:val="0"/>
                <w:numId w:val="1"/>
              </w:numPr>
              <w:spacing w:before="30" w:after="30"/>
            </w:pPr>
            <w:r>
              <w:rPr>
                <w:rFonts w:ascii="Arial" w:hAnsi="Arial" w:eastAsia="Arial" w:cs="Arial"/>
                <w:sz w:val="20"/>
                <w:szCs w:val="20"/>
              </w:rPr>
              <w:t>Once ITC-approved, the Project Sponsor completes the Special Access Request form and submits it along with the approved C-909B to NGAPAC ES 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2</w:t>
            </w:r>
          </w:p>
        </w:tc>
        <w:tc>
          <w:tcPr>
            <w:tcW w:w="250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Validate Workspace Eligibility</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NGAPAC ES IT</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Upon receipt</w:t>
            </w:r>
          </w:p>
        </w:tc>
        <w:tc>
          <w:tcPr>
            <w:tcW w:w="6160" w:type="dxa"/>
            <w:tcBorders>
              <w:top w:val="single" w:color="D5E0E8" w:sz="0" w:space="0"/>
              <w:left w:val="single" w:color="D5E0E8" w:sz="0" w:space="0"/>
              <w:bottom w:val="single" w:color="D5E0E8" w:sz="0" w:space="0"/>
              <w:right w:val="single" w:color="D5E0E8" w:sz="0" w:space="0"/>
            </w:tcBorders>
            <w:shd w:val="clear" w:color="auto" w:fill="FFFFFF"/>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ES IT verifies the target Workspace and Channels have been enabled for 3rd Party Partner access by checking ITC-approved C-909A forms in the ES IT SharePoint portal</w:t>
            </w:r>
          </w:p>
          <w:p>
            <w:pPr>
              <w:pStyle w:val="14"/>
              <w:numPr>
                <w:ilvl w:val="0"/>
                <w:numId w:val="1"/>
              </w:numPr>
              <w:spacing w:before="30" w:after="30"/>
            </w:pPr>
            <w:r>
              <w:rPr>
                <w:rFonts w:ascii="Arial" w:hAnsi="Arial" w:eastAsia="Arial" w:cs="Arial"/>
                <w:sz w:val="20"/>
                <w:szCs w:val="20"/>
              </w:rPr>
              <w:t>No C-909A on record: ES IT engages the Project Sponsor and directs them to follow Section 6.3.2 before any Partner access can proceed</w:t>
            </w:r>
          </w:p>
          <w:p>
            <w:pPr>
              <w:pStyle w:val="14"/>
              <w:numPr>
                <w:ilvl w:val="0"/>
                <w:numId w:val="1"/>
              </w:numPr>
              <w:spacing w:before="30" w:after="30"/>
            </w:pPr>
            <w:r>
              <w:rPr>
                <w:rFonts w:ascii="Arial" w:hAnsi="Arial" w:eastAsia="Arial" w:cs="Arial"/>
                <w:sz w:val="20"/>
                <w:szCs w:val="20"/>
              </w:rPr>
              <w:t>Valid C-909A on record: ES IT stores the C-909B in the SharePoint portal and proceeds to Step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jc w:val="center"/>
            </w:pPr>
            <w:r>
              <w:rPr>
                <w:rFonts w:ascii="Arial" w:hAnsi="Arial" w:eastAsia="Arial" w:cs="Arial"/>
                <w:b/>
                <w:bCs/>
                <w:color w:val="065A82"/>
                <w:sz w:val="22"/>
                <w:szCs w:val="22"/>
              </w:rPr>
              <w:t>3</w:t>
            </w:r>
          </w:p>
        </w:tc>
        <w:tc>
          <w:tcPr>
            <w:tcW w:w="25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20"/>
            </w:pPr>
            <w:r>
              <w:rPr>
                <w:rFonts w:ascii="Arial" w:hAnsi="Arial" w:eastAsia="Arial" w:cs="Arial"/>
                <w:b/>
                <w:bCs/>
                <w:color w:val="0D2137"/>
                <w:sz w:val="20"/>
                <w:szCs w:val="20"/>
              </w:rPr>
              <w:t>Provision Partner User</w:t>
            </w:r>
          </w:p>
          <w:p>
            <w:pPr>
              <w:spacing w:before="0" w:after="20"/>
            </w:pPr>
            <w:r>
              <w:rPr>
                <w:rFonts w:ascii="Arial" w:hAnsi="Arial" w:eastAsia="Arial" w:cs="Arial"/>
                <w:b/>
                <w:bCs/>
                <w:color w:val="1C7293"/>
                <w:sz w:val="18"/>
                <w:szCs w:val="18"/>
              </w:rPr>
              <w:t xml:space="preserve">Who: </w:t>
            </w:r>
            <w:r>
              <w:rPr>
                <w:rFonts w:ascii="Arial" w:hAnsi="Arial" w:eastAsia="Arial" w:cs="Arial"/>
                <w:color w:val="1C7293"/>
                <w:sz w:val="18"/>
                <w:szCs w:val="18"/>
              </w:rPr>
              <w:t>NGAPAC ES IT</w:t>
            </w:r>
          </w:p>
          <w:p>
            <w:pPr>
              <w:spacing w:before="0" w:after="40"/>
            </w:pPr>
            <w:r>
              <w:rPr>
                <w:rFonts w:ascii="Arial" w:hAnsi="Arial" w:eastAsia="Arial" w:cs="Arial"/>
                <w:b/>
                <w:bCs/>
                <w:color w:val="666666"/>
                <w:sz w:val="18"/>
                <w:szCs w:val="18"/>
              </w:rPr>
              <w:t xml:space="preserve">SLA: </w:t>
            </w:r>
            <w:r>
              <w:rPr>
                <w:rFonts w:ascii="Arial" w:hAnsi="Arial" w:eastAsia="Arial" w:cs="Arial"/>
                <w:color w:val="666666"/>
                <w:sz w:val="18"/>
                <w:szCs w:val="18"/>
              </w:rPr>
              <w:t>After validation</w:t>
            </w:r>
          </w:p>
        </w:tc>
        <w:tc>
          <w:tcPr>
            <w:tcW w:w="61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pStyle w:val="14"/>
              <w:numPr>
                <w:ilvl w:val="0"/>
                <w:numId w:val="1"/>
              </w:numPr>
              <w:spacing w:before="30" w:after="30"/>
            </w:pPr>
            <w:r>
              <w:rPr>
                <w:rFonts w:ascii="Arial" w:hAnsi="Arial" w:eastAsia="Arial" w:cs="Arial"/>
                <w:sz w:val="20"/>
                <w:szCs w:val="20"/>
              </w:rPr>
              <w:t>ES IT provisions the individual 3rd Party Partner user to the approved Workspaces and Channels</w:t>
            </w:r>
          </w:p>
          <w:p>
            <w:pPr>
              <w:pStyle w:val="14"/>
              <w:numPr>
                <w:ilvl w:val="0"/>
                <w:numId w:val="1"/>
              </w:numPr>
              <w:spacing w:before="30" w:after="30"/>
            </w:pPr>
            <w:r>
              <w:rPr>
                <w:rFonts w:ascii="Arial" w:hAnsi="Arial" w:eastAsia="Arial" w:cs="Arial"/>
                <w:sz w:val="20"/>
                <w:szCs w:val="20"/>
              </w:rPr>
              <w:t>Provisioning complies with conditionality in Section 2 or Section 8 of the C-909B form</w:t>
            </w:r>
          </w:p>
          <w:p>
            <w:pPr>
              <w:pStyle w:val="14"/>
              <w:numPr>
                <w:ilvl w:val="0"/>
                <w:numId w:val="1"/>
              </w:numPr>
              <w:spacing w:before="30" w:after="30"/>
            </w:pPr>
            <w:r>
              <w:rPr>
                <w:rFonts w:ascii="Arial" w:hAnsi="Arial" w:eastAsia="Arial" w:cs="Arial"/>
                <w:sz w:val="20"/>
                <w:szCs w:val="20"/>
              </w:rPr>
              <w:t>Any subsequent membership changes require the Project Sponsor to redo the C-909B, reseek ITC approval, and resubmit to NGAPAC ES IT</w:t>
            </w:r>
          </w:p>
        </w:tc>
      </w:tr>
    </w:tbl>
    <w:p>
      <w:pPr>
        <w:spacing w:before="0" w:after="80"/>
      </w:pPr>
    </w:p>
    <w:p>
      <w:pPr>
        <w:spacing w:before="0" w:after="80"/>
      </w:pPr>
    </w:p>
    <w:p>
      <w:pPr>
        <w:pStyle w:val="2"/>
        <w:pBdr>
          <w:bottom w:val="single" w:color="1C7293" w:sz="8" w:space="4"/>
        </w:pBdr>
        <w:spacing w:before="400" w:after="160"/>
      </w:pPr>
      <w:r>
        <w:rPr>
          <w:rFonts w:ascii="Arial" w:hAnsi="Arial" w:eastAsia="Arial" w:cs="Arial"/>
          <w:b/>
          <w:bCs/>
          <w:color w:val="0D2137"/>
          <w:sz w:val="36"/>
          <w:szCs w:val="36"/>
        </w:rPr>
        <w:t>Document Control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3400"/>
        <w:gridCol w:w="2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Version</w:t>
            </w:r>
          </w:p>
        </w:tc>
        <w:tc>
          <w:tcPr>
            <w:tcW w:w="20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Date</w:t>
            </w:r>
          </w:p>
        </w:tc>
        <w:tc>
          <w:tcPr>
            <w:tcW w:w="340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Changes</w:t>
            </w:r>
          </w:p>
        </w:tc>
        <w:tc>
          <w:tcPr>
            <w:tcW w:w="2560" w:type="dxa"/>
            <w:tcBorders>
              <w:top w:val="single" w:color="D5E0E8" w:sz="0" w:space="0"/>
              <w:left w:val="single" w:color="D5E0E8" w:sz="0" w:space="0"/>
              <w:bottom w:val="single" w:color="D5E0E8" w:sz="0" w:space="0"/>
              <w:right w:val="single" w:color="D5E0E8" w:sz="0" w:space="0"/>
            </w:tcBorders>
            <w:shd w:val="clear" w:color="auto" w:fill="0D2137"/>
            <w:tcMar>
              <w:top w:w="100" w:type="dxa"/>
              <w:left w:w="140" w:type="dxa"/>
              <w:bottom w:w="100" w:type="dxa"/>
              <w:right w:w="140" w:type="dxa"/>
            </w:tcMar>
          </w:tcPr>
          <w:p>
            <w:pPr>
              <w:spacing w:before="40" w:after="40"/>
            </w:pPr>
            <w:r>
              <w:rPr>
                <w:rFonts w:ascii="Arial" w:hAnsi="Arial" w:eastAsia="Arial" w:cs="Arial"/>
                <w:b/>
                <w:bCs/>
                <w:color w:val="FFFFFF"/>
                <w:sz w:val="20"/>
                <w:szCs w:val="20"/>
              </w:rPr>
              <w:t>Author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1.0</w:t>
            </w:r>
          </w:p>
        </w:tc>
        <w:tc>
          <w:tcPr>
            <w:tcW w:w="20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[Month Year]</w:t>
            </w:r>
          </w:p>
        </w:tc>
        <w:tc>
          <w:tcPr>
            <w:tcW w:w="340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Initial draft</w:t>
            </w:r>
          </w:p>
        </w:tc>
        <w:tc>
          <w:tcPr>
            <w:tcW w:w="2560" w:type="dxa"/>
            <w:tcBorders>
              <w:top w:val="single" w:color="D5E0E8" w:sz="0" w:space="0"/>
              <w:left w:val="single" w:color="D5E0E8" w:sz="0" w:space="0"/>
              <w:bottom w:val="single" w:color="D5E0E8" w:sz="0" w:space="0"/>
              <w:right w:val="single" w:color="D5E0E8" w:sz="0" w:space="0"/>
            </w:tcBorders>
            <w:shd w:val="clear" w:color="auto" w:fill="F2F6F9"/>
            <w:tcMar>
              <w:top w:w="100" w:type="dxa"/>
              <w:left w:w="140" w:type="dxa"/>
              <w:bottom w:w="100" w:type="dxa"/>
              <w:right w:w="140" w:type="dxa"/>
            </w:tcMar>
            <w:vAlign w:val="top"/>
          </w:tcPr>
          <w:p>
            <w:pPr>
              <w:spacing w:before="40" w:after="40"/>
            </w:pPr>
            <w:r>
              <w:rPr>
                <w:rFonts w:ascii="Arial" w:hAnsi="Arial" w:eastAsia="Arial" w:cs="Arial"/>
                <w:b w:val="0"/>
                <w:bCs w:val="0"/>
                <w:color w:val="1A1A1A"/>
                <w:sz w:val="20"/>
                <w:szCs w:val="20"/>
              </w:rPr>
              <w:t>[Name]</w:t>
            </w:r>
          </w:p>
        </w:tc>
      </w:tr>
    </w:tbl>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86"/>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FantasqueSansM Nerd Font">
    <w:panose1 w:val="020B0609020204030204"/>
    <w:charset w:val="00"/>
    <w:family w:val="auto"/>
    <w:pitch w:val="default"/>
    <w:sig w:usb0="800002EF" w:usb1="1000396B" w:usb2="00000010" w:usb3="00000000" w:csb0="0000009F" w:csb1="CF430000"/>
  </w:font>
  <w:font w:name="DejaVu Sans">
    <w:panose1 w:val="020B0606030804020204"/>
    <w:charset w:val="86"/>
    <w:family w:val="swiss"/>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3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0" w:type="dxa"/>
          <w:tcBorders>
            <w:top w:val="single" w:color="D5E0E8" w:sz="4" w:space="0"/>
            <w:left w:val="nil"/>
            <w:bottom w:val="nil"/>
            <w:right w:val="nil"/>
          </w:tcBorders>
          <w:tcMar>
            <w:top w:w="60" w:type="dxa"/>
            <w:left w:w="0" w:type="dxa"/>
            <w:bottom w:w="0" w:type="dxa"/>
            <w:right w:w="0" w:type="dxa"/>
          </w:tcMar>
        </w:tcPr>
        <w:p>
          <w:pPr>
            <w:spacing w:before="0" w:after="0"/>
          </w:pPr>
          <w:r>
            <w:rPr>
              <w:rFonts w:ascii="Arial" w:hAnsi="Arial" w:eastAsia="Arial" w:cs="Arial"/>
              <w:color w:val="999999"/>
              <w:sz w:val="16"/>
              <w:szCs w:val="16"/>
            </w:rPr>
            <w:t>[Organization Name]  |  Information Technology</w:t>
          </w:r>
        </w:p>
      </w:tc>
      <w:tc>
        <w:tcPr>
          <w:tcW w:w="3720" w:type="dxa"/>
          <w:tcBorders>
            <w:top w:val="single" w:color="D5E0E8" w:sz="4" w:space="0"/>
            <w:left w:val="nil"/>
            <w:bottom w:val="nil"/>
            <w:right w:val="nil"/>
          </w:tcBorders>
          <w:tcMar>
            <w:top w:w="60" w:type="dxa"/>
            <w:left w:w="0" w:type="dxa"/>
            <w:bottom w:w="0" w:type="dxa"/>
            <w:right w:w="0" w:type="dxa"/>
          </w:tcMar>
        </w:tcPr>
        <w:p>
          <w:pPr>
            <w:spacing w:before="0" w:after="0"/>
            <w:jc w:val="right"/>
          </w:pPr>
          <w:r>
            <w:rPr>
              <w:rFonts w:ascii="Arial" w:hAnsi="Arial" w:eastAsia="Arial" w:cs="Arial"/>
              <w:color w:val="999999"/>
              <w:sz w:val="16"/>
              <w:szCs w:val="16"/>
            </w:rPr>
            <w:t xml:space="preserve">Page </w:t>
          </w:r>
          <w:r>
            <w:fldChar w:fldCharType="begin"/>
          </w:r>
          <w:r>
            <w:instrText xml:space="preserve">PAGE</w:instrText>
          </w:r>
          <w:r>
            <w:fldChar w:fldCharType="separate"/>
          </w:r>
          <w:r>
            <w:fldChar w:fldCharType="end"/>
          </w:r>
        </w:p>
      </w:tc>
    </w:tr>
  </w:tbl>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3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nil"/>
            <w:left w:val="nil"/>
            <w:bottom w:val="single" w:color="1C7293" w:sz="6" w:space="0"/>
            <w:right w:val="nil"/>
          </w:tcBorders>
          <w:tcMar>
            <w:top w:w="0" w:type="dxa"/>
            <w:left w:w="0" w:type="dxa"/>
            <w:bottom w:w="60" w:type="dxa"/>
            <w:right w:w="0" w:type="dxa"/>
          </w:tcMar>
        </w:tcPr>
        <w:p>
          <w:pPr>
            <w:spacing w:before="0" w:after="0"/>
          </w:pPr>
          <w:r>
            <w:rPr>
              <w:rFonts w:ascii="Arial" w:hAnsi="Arial" w:eastAsia="Arial" w:cs="Arial"/>
              <w:b/>
              <w:bCs/>
              <w:color w:val="0D2137"/>
              <w:sz w:val="18"/>
              <w:szCs w:val="18"/>
            </w:rPr>
            <w:t>SharePoint Online — ConOp</w:t>
          </w:r>
        </w:p>
      </w:tc>
      <w:tc>
        <w:tcPr>
          <w:tcW w:w="3720" w:type="dxa"/>
          <w:tcBorders>
            <w:top w:val="nil"/>
            <w:left w:val="nil"/>
            <w:bottom w:val="single" w:color="1C7293" w:sz="6" w:space="0"/>
            <w:right w:val="nil"/>
          </w:tcBorders>
          <w:tcMar>
            <w:top w:w="0" w:type="dxa"/>
            <w:left w:w="0" w:type="dxa"/>
            <w:bottom w:w="60" w:type="dxa"/>
            <w:right w:w="0" w:type="dxa"/>
          </w:tcMar>
        </w:tcPr>
        <w:p>
          <w:pPr>
            <w:spacing w:before="0" w:after="0"/>
            <w:jc w:val="right"/>
          </w:pPr>
          <w:r>
            <w:rPr>
              <w:rFonts w:ascii="Arial" w:hAnsi="Arial" w:eastAsia="Arial" w:cs="Arial"/>
              <w:color w:val="777777"/>
              <w:sz w:val="18"/>
              <w:szCs w:val="18"/>
            </w:rPr>
            <w:t>Version 1.0  |  [Month Year]</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79778"/>
    <w:multiLevelType w:val="singleLevel"/>
    <w:tmpl w:val="FFF79778"/>
    <w:lvl w:ilvl="0" w:tentative="0">
      <w:start w:val="1"/>
      <w:numFmt w:val="bullet"/>
      <w:lvlText w:val="•"/>
      <w:lvlJc w:val="left"/>
      <w:pPr>
        <w:ind w:left="56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FFE6CE6"/>
    <w:rsid w:val="98FDD5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2"/>
      <w:szCs w:val="22"/>
    </w:rPr>
  </w:style>
  <w:style w:type="paragraph" w:styleId="2">
    <w:name w:val="heading 1"/>
    <w:next w:val="1"/>
    <w:qFormat/>
    <w:uiPriority w:val="0"/>
    <w:pPr>
      <w:spacing w:before="400" w:after="160"/>
      <w:outlineLvl w:val="0"/>
    </w:pPr>
    <w:rPr>
      <w:rFonts w:ascii="Arial" w:hAnsi="Arial" w:eastAsia="Arial" w:cs="Arial"/>
      <w:b/>
      <w:bCs/>
      <w:color w:val="0D2137"/>
      <w:sz w:val="36"/>
      <w:szCs w:val="36"/>
    </w:rPr>
  </w:style>
  <w:style w:type="paragraph" w:styleId="3">
    <w:name w:val="heading 2"/>
    <w:next w:val="1"/>
    <w:qFormat/>
    <w:uiPriority w:val="0"/>
    <w:pPr>
      <w:spacing w:before="320" w:after="120"/>
      <w:outlineLvl w:val="1"/>
    </w:pPr>
    <w:rPr>
      <w:rFonts w:ascii="Arial" w:hAnsi="Arial" w:eastAsia="Arial" w:cs="Arial"/>
      <w:b/>
      <w:bCs/>
      <w:color w:val="065A82"/>
      <w:sz w:val="28"/>
      <w:szCs w:val="28"/>
    </w:rPr>
  </w:style>
  <w:style w:type="paragraph" w:styleId="4">
    <w:name w:val="heading 3"/>
    <w:next w:val="1"/>
    <w:qFormat/>
    <w:uiPriority w:val="0"/>
    <w:pPr>
      <w:spacing w:before="200" w:after="80"/>
      <w:outlineLvl w:val="2"/>
    </w:pPr>
    <w:rPr>
      <w:rFonts w:ascii="Arial" w:hAnsi="Arial" w:eastAsia="Arial" w:cs="Arial"/>
      <w:b/>
      <w:bCs/>
      <w:color w:val="1C7293"/>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color w:val="1A1A1A"/>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color w:val="1A1A1A"/>
      <w:sz w:val="56"/>
      <w:szCs w:val="56"/>
    </w:rPr>
  </w:style>
  <w:style w:type="paragraph" w:styleId="14">
    <w:name w:val="List Paragraph"/>
    <w:qFormat/>
    <w:uiPriority w:val="0"/>
    <w:rPr>
      <w:rFonts w:ascii="Arial" w:hAnsi="Arial" w:eastAsia="Arial" w:cs="Arial"/>
      <w:color w:val="1A1A1A"/>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jj</cp:lastModifiedBy>
  <dcterms:modified xsi:type="dcterms:W3CDTF">2026-03-23T10:06:29Z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